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18CBC5">
      <w:pPr>
        <w:rPr>
          <w:rFonts w:ascii="仿宋_GB2312" w:hAnsi="仿宋_GB2312" w:eastAsia="仿宋_GB2312" w:cs="仿宋_GB2312"/>
          <w:sz w:val="36"/>
          <w:szCs w:val="36"/>
        </w:rPr>
      </w:pPr>
    </w:p>
    <w:p w14:paraId="31E970E1">
      <w:pPr>
        <w:rPr>
          <w:rFonts w:ascii="仿宋_GB2312" w:hAnsi="仿宋_GB2312" w:eastAsia="仿宋_GB2312" w:cs="仿宋_GB2312"/>
          <w:sz w:val="36"/>
          <w:szCs w:val="36"/>
        </w:rPr>
      </w:pPr>
    </w:p>
    <w:p w14:paraId="1508F79C">
      <w:pPr>
        <w:rPr>
          <w:rFonts w:ascii="仿宋_GB2312" w:hAnsi="仿宋_GB2312" w:eastAsia="仿宋_GB2312" w:cs="仿宋_GB2312"/>
          <w:sz w:val="36"/>
          <w:szCs w:val="36"/>
        </w:rPr>
      </w:pPr>
      <w:bookmarkStart w:id="363" w:name="_GoBack"/>
      <w:bookmarkEnd w:id="363"/>
    </w:p>
    <w:p w14:paraId="672AD11D">
      <w:pPr>
        <w:adjustRightInd w:val="0"/>
        <w:snapToGrid w:val="0"/>
        <w:jc w:val="center"/>
        <w:outlineLvl w:val="0"/>
        <w:rPr>
          <w:rFonts w:ascii="方正小标宋_GBK" w:eastAsia="方正小标宋_GBK"/>
          <w:bCs/>
          <w:sz w:val="72"/>
          <w:szCs w:val="72"/>
        </w:rPr>
      </w:pPr>
      <w:bookmarkStart w:id="0" w:name="_Toc915"/>
      <w:bookmarkStart w:id="1" w:name="_Toc11140"/>
      <w:bookmarkStart w:id="2" w:name="_Toc12619"/>
      <w:bookmarkStart w:id="3" w:name="_Toc29795"/>
      <w:r>
        <w:rPr>
          <w:rFonts w:hint="eastAsia" w:ascii="方正小标宋_GBK" w:eastAsia="方正小标宋_GBK"/>
          <w:bCs/>
          <w:sz w:val="72"/>
          <w:szCs w:val="72"/>
        </w:rPr>
        <w:t>建设项目环境影响报告表</w:t>
      </w:r>
      <w:bookmarkEnd w:id="0"/>
      <w:bookmarkEnd w:id="1"/>
      <w:bookmarkEnd w:id="2"/>
    </w:p>
    <w:p w14:paraId="759D96CB">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（生态影响类）</w:t>
      </w:r>
    </w:p>
    <w:p w14:paraId="70ABD29F">
      <w:pPr>
        <w:ind w:firstLine="1040"/>
        <w:rPr>
          <w:rFonts w:eastAsia="仿宋"/>
          <w:sz w:val="44"/>
          <w:szCs w:val="44"/>
        </w:rPr>
      </w:pPr>
    </w:p>
    <w:p w14:paraId="3DA5AAC6">
      <w:pPr>
        <w:ind w:firstLine="1040"/>
        <w:rPr>
          <w:rFonts w:eastAsia="仿宋"/>
          <w:sz w:val="44"/>
          <w:szCs w:val="44"/>
        </w:rPr>
      </w:pPr>
    </w:p>
    <w:p w14:paraId="04FD91EB">
      <w:pPr>
        <w:pStyle w:val="41"/>
        <w:rPr>
          <w:color w:val="auto"/>
        </w:rPr>
      </w:pPr>
    </w:p>
    <w:p w14:paraId="7B2B867E">
      <w:pPr>
        <w:ind w:firstLine="1040"/>
        <w:rPr>
          <w:rFonts w:eastAsia="仿宋"/>
          <w:sz w:val="44"/>
          <w:szCs w:val="44"/>
        </w:rPr>
      </w:pPr>
    </w:p>
    <w:p w14:paraId="7062B965">
      <w:pPr>
        <w:ind w:firstLine="1040"/>
        <w:rPr>
          <w:rFonts w:eastAsia="仿宋"/>
          <w:sz w:val="44"/>
          <w:szCs w:val="44"/>
        </w:rPr>
      </w:pPr>
    </w:p>
    <w:p w14:paraId="3DB92CF7">
      <w:pPr>
        <w:ind w:firstLine="1040"/>
        <w:rPr>
          <w:rFonts w:eastAsia="仿宋"/>
          <w:sz w:val="44"/>
          <w:szCs w:val="44"/>
        </w:rPr>
      </w:pPr>
    </w:p>
    <w:p w14:paraId="64AE7A21">
      <w:pPr>
        <w:ind w:firstLine="1040"/>
        <w:rPr>
          <w:rFonts w:eastAsia="仿宋"/>
          <w:sz w:val="36"/>
          <w:szCs w:val="36"/>
        </w:rPr>
      </w:pPr>
    </w:p>
    <w:p w14:paraId="59DFF238">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 xml:space="preserve">项目名称： </w:t>
      </w:r>
      <w:r>
        <w:rPr>
          <w:rFonts w:hint="eastAsia" w:ascii="仿宋_GB2312" w:eastAsia="仿宋_GB2312"/>
          <w:sz w:val="36"/>
          <w:szCs w:val="36"/>
          <w:u w:val="single"/>
        </w:rPr>
        <w:t xml:space="preserve">  </w:t>
      </w:r>
      <w:r>
        <w:rPr>
          <w:rFonts w:hint="eastAsia" w:ascii="仿宋_GB2312" w:eastAsia="仿宋_GB2312"/>
          <w:sz w:val="36"/>
          <w:szCs w:val="36"/>
          <w:u w:val="single"/>
          <w:lang w:eastAsia="zh-CN"/>
        </w:rPr>
        <w:t>耒阳市导子东湖风电场项目</w:t>
      </w:r>
      <w:r>
        <w:rPr>
          <w:rFonts w:hint="eastAsia" w:ascii="仿宋_GB2312" w:eastAsia="仿宋_GB2312"/>
          <w:sz w:val="36"/>
          <w:szCs w:val="36"/>
          <w:u w:val="single"/>
        </w:rPr>
        <w:t xml:space="preserve"> </w:t>
      </w:r>
      <w:r>
        <w:rPr>
          <w:rFonts w:ascii="仿宋_GB2312" w:eastAsia="仿宋_GB2312"/>
          <w:sz w:val="36"/>
          <w:szCs w:val="36"/>
          <w:u w:val="single"/>
        </w:rPr>
        <w:t xml:space="preserve">   </w:t>
      </w:r>
    </w:p>
    <w:p w14:paraId="57C510FC">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lang w:eastAsia="zh-CN"/>
        </w:rPr>
        <w:t>耒阳国电投风力发电有限公司</w:t>
      </w:r>
    </w:p>
    <w:p w14:paraId="0F2F1F92">
      <w:pPr>
        <w:adjustRightInd w:val="0"/>
        <w:snapToGrid w:val="0"/>
        <w:spacing w:line="288" w:lineRule="auto"/>
        <w:ind w:firstLine="1040"/>
        <w:rPr>
          <w:rFonts w:ascii="仿宋_GB2312" w:eastAsia="仿宋_GB2312"/>
          <w:sz w:val="36"/>
          <w:szCs w:val="36"/>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w:t>
      </w:r>
      <w:r>
        <w:rPr>
          <w:rFonts w:hint="eastAsia" w:ascii="仿宋_GB2312" w:eastAsia="仿宋_GB2312"/>
          <w:sz w:val="36"/>
          <w:szCs w:val="36"/>
          <w:u w:val="single"/>
        </w:rPr>
        <w:t>二〇二</w:t>
      </w:r>
      <w:r>
        <w:rPr>
          <w:rFonts w:hint="eastAsia" w:ascii="仿宋_GB2312" w:eastAsia="仿宋_GB2312"/>
          <w:sz w:val="36"/>
          <w:szCs w:val="36"/>
          <w:u w:val="single"/>
          <w:lang w:val="en-US" w:eastAsia="zh-CN"/>
        </w:rPr>
        <w:t>四</w:t>
      </w:r>
      <w:r>
        <w:rPr>
          <w:rFonts w:hint="eastAsia" w:ascii="仿宋_GB2312" w:eastAsia="仿宋_GB2312"/>
          <w:sz w:val="36"/>
          <w:szCs w:val="36"/>
          <w:u w:val="single"/>
        </w:rPr>
        <w:t>年</w:t>
      </w:r>
      <w:r>
        <w:rPr>
          <w:rFonts w:hint="eastAsia" w:ascii="仿宋_GB2312" w:eastAsia="仿宋_GB2312"/>
          <w:sz w:val="36"/>
          <w:szCs w:val="36"/>
          <w:u w:val="single"/>
          <w:lang w:val="en-US" w:eastAsia="zh-CN"/>
        </w:rPr>
        <w:t>三</w:t>
      </w:r>
      <w:r>
        <w:rPr>
          <w:rFonts w:hint="eastAsia" w:ascii="仿宋_GB2312" w:eastAsia="仿宋_GB2312"/>
          <w:sz w:val="36"/>
          <w:szCs w:val="36"/>
          <w:u w:val="single"/>
        </w:rPr>
        <w:t>月</w:t>
      </w:r>
      <w:r>
        <w:rPr>
          <w:rFonts w:ascii="仿宋_GB2312" w:eastAsia="仿宋_GB2312"/>
          <w:sz w:val="36"/>
          <w:szCs w:val="36"/>
          <w:u w:val="single"/>
        </w:rPr>
        <w:t xml:space="preserve">      </w:t>
      </w:r>
    </w:p>
    <w:p w14:paraId="448604FB">
      <w:pPr>
        <w:adjustRightInd w:val="0"/>
        <w:snapToGrid w:val="0"/>
        <w:spacing w:line="288" w:lineRule="auto"/>
        <w:ind w:firstLine="1040"/>
        <w:rPr>
          <w:rFonts w:ascii="仿宋_GB2312" w:eastAsia="仿宋_GB2312"/>
          <w:sz w:val="36"/>
          <w:szCs w:val="36"/>
          <w:u w:val="single"/>
        </w:rPr>
      </w:pPr>
      <w:bookmarkStart w:id="4" w:name="_Hlk57884087"/>
    </w:p>
    <w:p w14:paraId="2CFFC8B4">
      <w:pPr>
        <w:adjustRightInd w:val="0"/>
        <w:snapToGrid w:val="0"/>
        <w:spacing w:line="288" w:lineRule="auto"/>
        <w:ind w:firstLine="1040"/>
        <w:rPr>
          <w:rFonts w:ascii="仿宋_GB2312" w:eastAsia="仿宋_GB2312"/>
          <w:sz w:val="36"/>
          <w:szCs w:val="36"/>
        </w:rPr>
      </w:pPr>
    </w:p>
    <w:p w14:paraId="68EFB948">
      <w:pPr>
        <w:adjustRightInd w:val="0"/>
        <w:snapToGrid w:val="0"/>
        <w:spacing w:line="288" w:lineRule="auto"/>
        <w:ind w:firstLine="1040"/>
        <w:rPr>
          <w:rFonts w:ascii="仿宋_GB2312" w:eastAsia="仿宋_GB2312"/>
          <w:sz w:val="36"/>
          <w:szCs w:val="36"/>
        </w:rPr>
      </w:pPr>
    </w:p>
    <w:p w14:paraId="2AE51F4C">
      <w:pPr>
        <w:adjustRightInd w:val="0"/>
        <w:snapToGrid w:val="0"/>
        <w:spacing w:line="288" w:lineRule="auto"/>
        <w:ind w:firstLine="1040"/>
        <w:rPr>
          <w:rFonts w:ascii="仿宋_GB2312" w:eastAsia="仿宋_GB2312"/>
          <w:sz w:val="36"/>
          <w:szCs w:val="36"/>
        </w:rPr>
      </w:pPr>
    </w:p>
    <w:bookmarkEnd w:id="4"/>
    <w:p w14:paraId="06BA47DC">
      <w:pPr>
        <w:adjustRightInd w:val="0"/>
        <w:snapToGrid w:val="0"/>
        <w:spacing w:line="288" w:lineRule="auto"/>
        <w:jc w:val="center"/>
        <w:rPr>
          <w:rFonts w:ascii="楷体_GB2312" w:eastAsia="楷体_GB2312"/>
          <w:sz w:val="36"/>
          <w:szCs w:val="36"/>
        </w:rPr>
      </w:pPr>
    </w:p>
    <w:p w14:paraId="10E8429A">
      <w:pPr>
        <w:adjustRightInd w:val="0"/>
        <w:snapToGrid w:val="0"/>
        <w:spacing w:line="288" w:lineRule="auto"/>
        <w:jc w:val="center"/>
        <w:outlineLvl w:val="0"/>
        <w:rPr>
          <w:rFonts w:ascii="楷体_GB2312" w:eastAsia="楷体_GB2312"/>
          <w:sz w:val="36"/>
          <w:szCs w:val="36"/>
        </w:rPr>
      </w:pPr>
      <w:bookmarkStart w:id="5" w:name="_Toc20885"/>
      <w:r>
        <w:rPr>
          <w:rFonts w:hint="eastAsia" w:ascii="楷体_GB2312" w:eastAsia="楷体_GB2312"/>
          <w:sz w:val="36"/>
          <w:szCs w:val="36"/>
        </w:rPr>
        <w:t>中华人民共和国生态环境部制</w:t>
      </w:r>
      <w:bookmarkEnd w:id="5"/>
    </w:p>
    <w:p w14:paraId="16214B96">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440" w:right="1797" w:bottom="1440" w:left="1797" w:header="851" w:footer="1077" w:gutter="0"/>
          <w:pgBorders>
            <w:top w:val="none" w:sz="0" w:space="0"/>
            <w:left w:val="none" w:sz="0" w:space="0"/>
            <w:bottom w:val="none" w:sz="0" w:space="0"/>
            <w:right w:val="none" w:sz="0" w:space="0"/>
          </w:pgBorders>
          <w:pgNumType w:start="3"/>
          <w:cols w:space="720" w:num="1"/>
          <w:docGrid w:linePitch="312" w:charSpace="0"/>
        </w:sectPr>
      </w:pPr>
    </w:p>
    <w:p w14:paraId="7076D31C">
      <w:pPr>
        <w:spacing w:line="600" w:lineRule="auto"/>
        <w:jc w:val="center"/>
        <w:rPr>
          <w:b/>
          <w:bCs/>
          <w:sz w:val="36"/>
          <w:szCs w:val="44"/>
        </w:rPr>
      </w:pPr>
      <w:bookmarkStart w:id="6" w:name="_Toc567"/>
      <w:r>
        <w:rPr>
          <w:rFonts w:hint="eastAsia"/>
          <w:b/>
          <w:bCs/>
          <w:sz w:val="36"/>
          <w:szCs w:val="44"/>
        </w:rPr>
        <w:t>目录</w:t>
      </w:r>
      <w:bookmarkEnd w:id="6"/>
    </w:p>
    <w:sdt>
      <w:sdtPr>
        <w:rPr>
          <w:rFonts w:ascii="宋体" w:hAnsi="宋体" w:eastAsia="宋体" w:cs="Times New Roman"/>
          <w:kern w:val="2"/>
          <w:sz w:val="21"/>
          <w:szCs w:val="24"/>
          <w:lang w:val="en-US" w:eastAsia="zh-CN" w:bidi="ar-SA"/>
        </w:rPr>
        <w:id w:val="147463661"/>
        <w15:color w:val="DBDBDB"/>
        <w:docPartObj>
          <w:docPartGallery w:val="Table of Contents"/>
          <w:docPartUnique/>
        </w:docPartObj>
      </w:sdtPr>
      <w:sdtEndPr>
        <w:rPr>
          <w:rFonts w:ascii="Times New Roman" w:hAnsi="Times New Roman" w:eastAsia="宋体" w:cs="Times New Roman"/>
          <w:kern w:val="2"/>
          <w:sz w:val="21"/>
          <w:szCs w:val="32"/>
          <w:lang w:val="en-US" w:eastAsia="zh-CN" w:bidi="ar-SA"/>
        </w:rPr>
      </w:sdtEndPr>
      <w:sdtContent>
        <w:p w14:paraId="26BA02FC">
          <w:pPr>
            <w:spacing w:before="0" w:beforeLines="0" w:after="0" w:afterLines="0" w:line="240" w:lineRule="auto"/>
            <w:ind w:left="0" w:leftChars="0" w:right="0" w:rightChars="0" w:firstLine="0" w:firstLineChars="0"/>
            <w:jc w:val="center"/>
          </w:pPr>
          <w:r>
            <w:rPr>
              <w:sz w:val="24"/>
              <w:szCs w:val="32"/>
            </w:rPr>
            <w:fldChar w:fldCharType="begin"/>
          </w:r>
          <w:r>
            <w:rPr>
              <w:sz w:val="24"/>
              <w:szCs w:val="32"/>
            </w:rPr>
            <w:instrText xml:space="preserve">TOC \o "1-1" \h \u </w:instrText>
          </w:r>
          <w:r>
            <w:rPr>
              <w:sz w:val="24"/>
              <w:szCs w:val="32"/>
            </w:rPr>
            <w:fldChar w:fldCharType="separate"/>
          </w:r>
        </w:p>
        <w:p w14:paraId="714F83AD">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_Toc27841 </w:instrText>
          </w:r>
          <w:r>
            <w:rPr>
              <w:b/>
              <w:bCs/>
              <w:sz w:val="24"/>
              <w:szCs w:val="24"/>
            </w:rPr>
            <w:fldChar w:fldCharType="separate"/>
          </w:r>
          <w:r>
            <w:rPr>
              <w:rFonts w:hint="eastAsia"/>
              <w:b/>
              <w:bCs/>
              <w:sz w:val="24"/>
              <w:szCs w:val="24"/>
            </w:rPr>
            <w:t>一、建设项目基本情况</w:t>
          </w:r>
          <w:r>
            <w:rPr>
              <w:b/>
              <w:bCs/>
              <w:sz w:val="24"/>
              <w:szCs w:val="24"/>
            </w:rPr>
            <w:tab/>
          </w:r>
          <w:r>
            <w:rPr>
              <w:b/>
              <w:bCs/>
              <w:sz w:val="24"/>
              <w:szCs w:val="24"/>
            </w:rPr>
            <w:fldChar w:fldCharType="begin"/>
          </w:r>
          <w:r>
            <w:rPr>
              <w:b/>
              <w:bCs/>
              <w:sz w:val="24"/>
              <w:szCs w:val="24"/>
            </w:rPr>
            <w:instrText xml:space="preserve"> PAGEREF _Toc27841 \h </w:instrText>
          </w:r>
          <w:r>
            <w:rPr>
              <w:b/>
              <w:bCs/>
              <w:sz w:val="24"/>
              <w:szCs w:val="24"/>
            </w:rPr>
            <w:fldChar w:fldCharType="separate"/>
          </w:r>
          <w:r>
            <w:rPr>
              <w:b/>
              <w:bCs/>
              <w:sz w:val="24"/>
              <w:szCs w:val="24"/>
            </w:rPr>
            <w:t>1</w:t>
          </w:r>
          <w:r>
            <w:rPr>
              <w:b/>
              <w:bCs/>
              <w:sz w:val="24"/>
              <w:szCs w:val="24"/>
            </w:rPr>
            <w:fldChar w:fldCharType="end"/>
          </w:r>
          <w:r>
            <w:rPr>
              <w:b/>
              <w:bCs/>
              <w:sz w:val="24"/>
              <w:szCs w:val="24"/>
            </w:rPr>
            <w:fldChar w:fldCharType="end"/>
          </w:r>
        </w:p>
        <w:p w14:paraId="3963F8C0">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_Toc30393 </w:instrText>
          </w:r>
          <w:r>
            <w:rPr>
              <w:b/>
              <w:bCs/>
              <w:sz w:val="24"/>
              <w:szCs w:val="24"/>
            </w:rPr>
            <w:fldChar w:fldCharType="separate"/>
          </w:r>
          <w:r>
            <w:rPr>
              <w:rFonts w:hint="eastAsia"/>
              <w:b/>
              <w:bCs/>
              <w:sz w:val="24"/>
              <w:szCs w:val="24"/>
            </w:rPr>
            <w:t>二、建设内容</w:t>
          </w:r>
          <w:r>
            <w:rPr>
              <w:b/>
              <w:bCs/>
              <w:sz w:val="24"/>
              <w:szCs w:val="24"/>
            </w:rPr>
            <w:tab/>
          </w:r>
          <w:r>
            <w:rPr>
              <w:b/>
              <w:bCs/>
              <w:sz w:val="24"/>
              <w:szCs w:val="24"/>
            </w:rPr>
            <w:fldChar w:fldCharType="begin"/>
          </w:r>
          <w:r>
            <w:rPr>
              <w:b/>
              <w:bCs/>
              <w:sz w:val="24"/>
              <w:szCs w:val="24"/>
            </w:rPr>
            <w:instrText xml:space="preserve"> PAGEREF _Toc30393 \h </w:instrText>
          </w:r>
          <w:r>
            <w:rPr>
              <w:b/>
              <w:bCs/>
              <w:sz w:val="24"/>
              <w:szCs w:val="24"/>
            </w:rPr>
            <w:fldChar w:fldCharType="separate"/>
          </w:r>
          <w:r>
            <w:rPr>
              <w:b/>
              <w:bCs/>
              <w:sz w:val="24"/>
              <w:szCs w:val="24"/>
            </w:rPr>
            <w:t>14</w:t>
          </w:r>
          <w:r>
            <w:rPr>
              <w:b/>
              <w:bCs/>
              <w:sz w:val="24"/>
              <w:szCs w:val="24"/>
            </w:rPr>
            <w:fldChar w:fldCharType="end"/>
          </w:r>
          <w:r>
            <w:rPr>
              <w:b/>
              <w:bCs/>
              <w:sz w:val="24"/>
              <w:szCs w:val="24"/>
            </w:rPr>
            <w:fldChar w:fldCharType="end"/>
          </w:r>
        </w:p>
        <w:p w14:paraId="43CE56E4">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_Toc17545 </w:instrText>
          </w:r>
          <w:r>
            <w:rPr>
              <w:b/>
              <w:bCs/>
              <w:sz w:val="24"/>
              <w:szCs w:val="24"/>
            </w:rPr>
            <w:fldChar w:fldCharType="separate"/>
          </w:r>
          <w:r>
            <w:rPr>
              <w:rFonts w:hint="eastAsia"/>
              <w:b/>
              <w:bCs/>
              <w:sz w:val="24"/>
              <w:szCs w:val="24"/>
            </w:rPr>
            <w:t>三、生态环境现状、保护目标及评价标准</w:t>
          </w:r>
          <w:r>
            <w:rPr>
              <w:b/>
              <w:bCs/>
              <w:sz w:val="24"/>
              <w:szCs w:val="24"/>
            </w:rPr>
            <w:tab/>
          </w:r>
          <w:r>
            <w:rPr>
              <w:b/>
              <w:bCs/>
              <w:sz w:val="24"/>
              <w:szCs w:val="24"/>
            </w:rPr>
            <w:fldChar w:fldCharType="begin"/>
          </w:r>
          <w:r>
            <w:rPr>
              <w:b/>
              <w:bCs/>
              <w:sz w:val="24"/>
              <w:szCs w:val="24"/>
            </w:rPr>
            <w:instrText xml:space="preserve"> PAGEREF _Toc17545 \h </w:instrText>
          </w:r>
          <w:r>
            <w:rPr>
              <w:b/>
              <w:bCs/>
              <w:sz w:val="24"/>
              <w:szCs w:val="24"/>
            </w:rPr>
            <w:fldChar w:fldCharType="separate"/>
          </w:r>
          <w:r>
            <w:rPr>
              <w:b/>
              <w:bCs/>
              <w:sz w:val="24"/>
              <w:szCs w:val="24"/>
            </w:rPr>
            <w:t>30</w:t>
          </w:r>
          <w:r>
            <w:rPr>
              <w:b/>
              <w:bCs/>
              <w:sz w:val="24"/>
              <w:szCs w:val="24"/>
            </w:rPr>
            <w:fldChar w:fldCharType="end"/>
          </w:r>
          <w:r>
            <w:rPr>
              <w:b/>
              <w:bCs/>
              <w:sz w:val="24"/>
              <w:szCs w:val="24"/>
            </w:rPr>
            <w:fldChar w:fldCharType="end"/>
          </w:r>
        </w:p>
        <w:p w14:paraId="2FDE2EB4">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_Toc32677 </w:instrText>
          </w:r>
          <w:r>
            <w:rPr>
              <w:b/>
              <w:bCs/>
              <w:sz w:val="24"/>
              <w:szCs w:val="24"/>
            </w:rPr>
            <w:fldChar w:fldCharType="separate"/>
          </w:r>
          <w:r>
            <w:rPr>
              <w:rFonts w:hint="eastAsia"/>
              <w:b/>
              <w:bCs/>
              <w:sz w:val="24"/>
              <w:szCs w:val="24"/>
            </w:rPr>
            <w:t>四、生态环境影响分析</w:t>
          </w:r>
          <w:r>
            <w:rPr>
              <w:b/>
              <w:bCs/>
              <w:sz w:val="24"/>
              <w:szCs w:val="24"/>
            </w:rPr>
            <w:tab/>
          </w:r>
          <w:r>
            <w:rPr>
              <w:b/>
              <w:bCs/>
              <w:sz w:val="24"/>
              <w:szCs w:val="24"/>
            </w:rPr>
            <w:fldChar w:fldCharType="begin"/>
          </w:r>
          <w:r>
            <w:rPr>
              <w:b/>
              <w:bCs/>
              <w:sz w:val="24"/>
              <w:szCs w:val="24"/>
            </w:rPr>
            <w:instrText xml:space="preserve"> PAGEREF _Toc32677 \h </w:instrText>
          </w:r>
          <w:r>
            <w:rPr>
              <w:b/>
              <w:bCs/>
              <w:sz w:val="24"/>
              <w:szCs w:val="24"/>
            </w:rPr>
            <w:fldChar w:fldCharType="separate"/>
          </w:r>
          <w:r>
            <w:rPr>
              <w:b/>
              <w:bCs/>
              <w:sz w:val="24"/>
              <w:szCs w:val="24"/>
            </w:rPr>
            <w:t>51</w:t>
          </w:r>
          <w:r>
            <w:rPr>
              <w:b/>
              <w:bCs/>
              <w:sz w:val="24"/>
              <w:szCs w:val="24"/>
            </w:rPr>
            <w:fldChar w:fldCharType="end"/>
          </w:r>
          <w:r>
            <w:rPr>
              <w:b/>
              <w:bCs/>
              <w:sz w:val="24"/>
              <w:szCs w:val="24"/>
            </w:rPr>
            <w:fldChar w:fldCharType="end"/>
          </w:r>
        </w:p>
        <w:p w14:paraId="27376BEE">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_Toc27032 </w:instrText>
          </w:r>
          <w:r>
            <w:rPr>
              <w:b/>
              <w:bCs/>
              <w:sz w:val="24"/>
              <w:szCs w:val="24"/>
            </w:rPr>
            <w:fldChar w:fldCharType="separate"/>
          </w:r>
          <w:r>
            <w:rPr>
              <w:rFonts w:hint="eastAsia"/>
              <w:b/>
              <w:bCs/>
              <w:sz w:val="24"/>
              <w:szCs w:val="24"/>
            </w:rPr>
            <w:t>五、主要生态环境保护措施</w:t>
          </w:r>
          <w:r>
            <w:rPr>
              <w:b/>
              <w:bCs/>
              <w:sz w:val="24"/>
              <w:szCs w:val="24"/>
            </w:rPr>
            <w:tab/>
          </w:r>
          <w:r>
            <w:rPr>
              <w:b/>
              <w:bCs/>
              <w:sz w:val="24"/>
              <w:szCs w:val="24"/>
            </w:rPr>
            <w:fldChar w:fldCharType="begin"/>
          </w:r>
          <w:r>
            <w:rPr>
              <w:b/>
              <w:bCs/>
              <w:sz w:val="24"/>
              <w:szCs w:val="24"/>
            </w:rPr>
            <w:instrText xml:space="preserve"> PAGEREF _Toc27032 \h </w:instrText>
          </w:r>
          <w:r>
            <w:rPr>
              <w:b/>
              <w:bCs/>
              <w:sz w:val="24"/>
              <w:szCs w:val="24"/>
            </w:rPr>
            <w:fldChar w:fldCharType="separate"/>
          </w:r>
          <w:r>
            <w:rPr>
              <w:b/>
              <w:bCs/>
              <w:sz w:val="24"/>
              <w:szCs w:val="24"/>
            </w:rPr>
            <w:t>85</w:t>
          </w:r>
          <w:r>
            <w:rPr>
              <w:b/>
              <w:bCs/>
              <w:sz w:val="24"/>
              <w:szCs w:val="24"/>
            </w:rPr>
            <w:fldChar w:fldCharType="end"/>
          </w:r>
          <w:r>
            <w:rPr>
              <w:b/>
              <w:bCs/>
              <w:sz w:val="24"/>
              <w:szCs w:val="24"/>
            </w:rPr>
            <w:fldChar w:fldCharType="end"/>
          </w:r>
        </w:p>
        <w:p w14:paraId="14C76733">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_Toc32537 </w:instrText>
          </w:r>
          <w:r>
            <w:rPr>
              <w:b/>
              <w:bCs/>
              <w:sz w:val="24"/>
              <w:szCs w:val="24"/>
            </w:rPr>
            <w:fldChar w:fldCharType="separate"/>
          </w:r>
          <w:r>
            <w:rPr>
              <w:rFonts w:hint="eastAsia"/>
              <w:b/>
              <w:bCs/>
              <w:sz w:val="24"/>
              <w:szCs w:val="24"/>
            </w:rPr>
            <w:t>六、生态环境保护措施监督检查清单</w:t>
          </w:r>
          <w:r>
            <w:rPr>
              <w:b/>
              <w:bCs/>
              <w:sz w:val="24"/>
              <w:szCs w:val="24"/>
            </w:rPr>
            <w:tab/>
          </w:r>
          <w:r>
            <w:rPr>
              <w:b/>
              <w:bCs/>
              <w:sz w:val="24"/>
              <w:szCs w:val="24"/>
            </w:rPr>
            <w:fldChar w:fldCharType="begin"/>
          </w:r>
          <w:r>
            <w:rPr>
              <w:b/>
              <w:bCs/>
              <w:sz w:val="24"/>
              <w:szCs w:val="24"/>
            </w:rPr>
            <w:instrText xml:space="preserve"> PAGEREF _Toc32537 \h </w:instrText>
          </w:r>
          <w:r>
            <w:rPr>
              <w:b/>
              <w:bCs/>
              <w:sz w:val="24"/>
              <w:szCs w:val="24"/>
            </w:rPr>
            <w:fldChar w:fldCharType="separate"/>
          </w:r>
          <w:r>
            <w:rPr>
              <w:b/>
              <w:bCs/>
              <w:sz w:val="24"/>
              <w:szCs w:val="24"/>
            </w:rPr>
            <w:t>110</w:t>
          </w:r>
          <w:r>
            <w:rPr>
              <w:b/>
              <w:bCs/>
              <w:sz w:val="24"/>
              <w:szCs w:val="24"/>
            </w:rPr>
            <w:fldChar w:fldCharType="end"/>
          </w:r>
          <w:r>
            <w:rPr>
              <w:b/>
              <w:bCs/>
              <w:sz w:val="24"/>
              <w:szCs w:val="24"/>
            </w:rPr>
            <w:fldChar w:fldCharType="end"/>
          </w:r>
        </w:p>
        <w:p w14:paraId="65878865">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_Toc5371 </w:instrText>
          </w:r>
          <w:r>
            <w:rPr>
              <w:b/>
              <w:bCs/>
              <w:sz w:val="24"/>
              <w:szCs w:val="24"/>
            </w:rPr>
            <w:fldChar w:fldCharType="separate"/>
          </w:r>
          <w:r>
            <w:rPr>
              <w:rFonts w:hint="eastAsia"/>
              <w:b/>
              <w:bCs/>
              <w:sz w:val="24"/>
              <w:szCs w:val="24"/>
            </w:rPr>
            <w:t>七、结论</w:t>
          </w:r>
          <w:r>
            <w:rPr>
              <w:b/>
              <w:bCs/>
              <w:sz w:val="24"/>
              <w:szCs w:val="24"/>
            </w:rPr>
            <w:tab/>
          </w:r>
          <w:r>
            <w:rPr>
              <w:b/>
              <w:bCs/>
              <w:sz w:val="24"/>
              <w:szCs w:val="24"/>
            </w:rPr>
            <w:fldChar w:fldCharType="begin"/>
          </w:r>
          <w:r>
            <w:rPr>
              <w:b/>
              <w:bCs/>
              <w:sz w:val="24"/>
              <w:szCs w:val="24"/>
            </w:rPr>
            <w:instrText xml:space="preserve"> PAGEREF _Toc5371 \h </w:instrText>
          </w:r>
          <w:r>
            <w:rPr>
              <w:b/>
              <w:bCs/>
              <w:sz w:val="24"/>
              <w:szCs w:val="24"/>
            </w:rPr>
            <w:fldChar w:fldCharType="separate"/>
          </w:r>
          <w:r>
            <w:rPr>
              <w:b/>
              <w:bCs/>
              <w:sz w:val="24"/>
              <w:szCs w:val="24"/>
            </w:rPr>
            <w:t>113</w:t>
          </w:r>
          <w:r>
            <w:rPr>
              <w:b/>
              <w:bCs/>
              <w:sz w:val="24"/>
              <w:szCs w:val="24"/>
            </w:rPr>
            <w:fldChar w:fldCharType="end"/>
          </w:r>
          <w:r>
            <w:rPr>
              <w:b/>
              <w:bCs/>
              <w:sz w:val="24"/>
              <w:szCs w:val="24"/>
            </w:rPr>
            <w:fldChar w:fldCharType="end"/>
          </w:r>
        </w:p>
        <w:p w14:paraId="19100BB2">
          <w:pPr>
            <w:pStyle w:val="23"/>
            <w:tabs>
              <w:tab w:val="right" w:leader="dot" w:pos="9072"/>
            </w:tabs>
            <w:spacing w:line="400" w:lineRule="exact"/>
            <w:rPr>
              <w:b/>
              <w:bCs/>
              <w:sz w:val="24"/>
              <w:szCs w:val="24"/>
            </w:rPr>
          </w:pPr>
          <w:r>
            <w:rPr>
              <w:b/>
              <w:bCs/>
              <w:sz w:val="24"/>
              <w:szCs w:val="24"/>
            </w:rPr>
            <w:fldChar w:fldCharType="begin"/>
          </w:r>
          <w:r>
            <w:rPr>
              <w:b/>
              <w:bCs/>
              <w:sz w:val="24"/>
              <w:szCs w:val="24"/>
            </w:rPr>
            <w:instrText xml:space="preserve"> HYPERLINK \l _Toc7896 </w:instrText>
          </w:r>
          <w:r>
            <w:rPr>
              <w:b/>
              <w:bCs/>
              <w:sz w:val="24"/>
              <w:szCs w:val="24"/>
            </w:rPr>
            <w:fldChar w:fldCharType="separate"/>
          </w:r>
          <w:r>
            <w:rPr>
              <w:rFonts w:hint="eastAsia"/>
              <w:b/>
              <w:bCs/>
              <w:sz w:val="24"/>
              <w:szCs w:val="24"/>
              <w:lang w:val="en-US" w:eastAsia="zh-CN"/>
            </w:rPr>
            <w:t>八、耒阳市导子东湖风电场项目80MW风电项目对鸟类影响评价专题</w:t>
          </w:r>
          <w:r>
            <w:rPr>
              <w:b/>
              <w:bCs/>
              <w:sz w:val="24"/>
              <w:szCs w:val="24"/>
            </w:rPr>
            <w:tab/>
          </w:r>
          <w:r>
            <w:rPr>
              <w:b/>
              <w:bCs/>
              <w:sz w:val="24"/>
              <w:szCs w:val="24"/>
            </w:rPr>
            <w:fldChar w:fldCharType="begin"/>
          </w:r>
          <w:r>
            <w:rPr>
              <w:b/>
              <w:bCs/>
              <w:sz w:val="24"/>
              <w:szCs w:val="24"/>
            </w:rPr>
            <w:instrText xml:space="preserve"> PAGEREF _Toc7896 \h </w:instrText>
          </w:r>
          <w:r>
            <w:rPr>
              <w:b/>
              <w:bCs/>
              <w:sz w:val="24"/>
              <w:szCs w:val="24"/>
            </w:rPr>
            <w:fldChar w:fldCharType="separate"/>
          </w:r>
          <w:r>
            <w:rPr>
              <w:b/>
              <w:bCs/>
              <w:sz w:val="24"/>
              <w:szCs w:val="24"/>
            </w:rPr>
            <w:t>114</w:t>
          </w:r>
          <w:r>
            <w:rPr>
              <w:b/>
              <w:bCs/>
              <w:sz w:val="24"/>
              <w:szCs w:val="24"/>
            </w:rPr>
            <w:fldChar w:fldCharType="end"/>
          </w:r>
          <w:r>
            <w:rPr>
              <w:b/>
              <w:bCs/>
              <w:sz w:val="24"/>
              <w:szCs w:val="24"/>
            </w:rPr>
            <w:fldChar w:fldCharType="end"/>
          </w:r>
        </w:p>
        <w:p w14:paraId="462F2313">
          <w:pPr>
            <w:pStyle w:val="23"/>
            <w:tabs>
              <w:tab w:val="right" w:leader="dot" w:pos="9072"/>
            </w:tabs>
            <w:spacing w:line="400" w:lineRule="exact"/>
            <w:rPr>
              <w:b/>
              <w:bCs/>
            </w:rPr>
          </w:pPr>
          <w:r>
            <w:rPr>
              <w:b/>
              <w:bCs/>
              <w:sz w:val="24"/>
              <w:szCs w:val="24"/>
            </w:rPr>
            <w:fldChar w:fldCharType="begin"/>
          </w:r>
          <w:r>
            <w:rPr>
              <w:b/>
              <w:bCs/>
              <w:sz w:val="24"/>
              <w:szCs w:val="24"/>
            </w:rPr>
            <w:instrText xml:space="preserve"> HYPERLINK \l _Toc29347 </w:instrText>
          </w:r>
          <w:r>
            <w:rPr>
              <w:b/>
              <w:bCs/>
              <w:sz w:val="24"/>
              <w:szCs w:val="24"/>
            </w:rPr>
            <w:fldChar w:fldCharType="separate"/>
          </w:r>
          <w:r>
            <w:rPr>
              <w:rFonts w:hint="eastAsia"/>
              <w:b/>
              <w:bCs/>
              <w:sz w:val="24"/>
              <w:szCs w:val="24"/>
              <w:lang w:val="en-US" w:eastAsia="zh-CN"/>
            </w:rPr>
            <w:t>九、耒阳市导子东湖风电场项目电磁辐射评价专题</w:t>
          </w:r>
          <w:r>
            <w:rPr>
              <w:b/>
              <w:bCs/>
              <w:sz w:val="24"/>
              <w:szCs w:val="24"/>
            </w:rPr>
            <w:tab/>
          </w:r>
          <w:r>
            <w:rPr>
              <w:b/>
              <w:bCs/>
              <w:sz w:val="24"/>
              <w:szCs w:val="24"/>
            </w:rPr>
            <w:fldChar w:fldCharType="begin"/>
          </w:r>
          <w:r>
            <w:rPr>
              <w:b/>
              <w:bCs/>
              <w:sz w:val="24"/>
              <w:szCs w:val="24"/>
            </w:rPr>
            <w:instrText xml:space="preserve"> PAGEREF _Toc29347 \h </w:instrText>
          </w:r>
          <w:r>
            <w:rPr>
              <w:b/>
              <w:bCs/>
              <w:sz w:val="24"/>
              <w:szCs w:val="24"/>
            </w:rPr>
            <w:fldChar w:fldCharType="separate"/>
          </w:r>
          <w:r>
            <w:rPr>
              <w:b/>
              <w:bCs/>
              <w:sz w:val="24"/>
              <w:szCs w:val="24"/>
            </w:rPr>
            <w:t>115</w:t>
          </w:r>
          <w:r>
            <w:rPr>
              <w:b/>
              <w:bCs/>
              <w:sz w:val="24"/>
              <w:szCs w:val="24"/>
            </w:rPr>
            <w:fldChar w:fldCharType="end"/>
          </w:r>
          <w:r>
            <w:rPr>
              <w:b/>
              <w:bCs/>
              <w:sz w:val="24"/>
              <w:szCs w:val="24"/>
            </w:rPr>
            <w:fldChar w:fldCharType="end"/>
          </w:r>
        </w:p>
        <w:p w14:paraId="4355D4F3">
          <w:pPr>
            <w:spacing w:line="360" w:lineRule="auto"/>
            <w:rPr>
              <w:sz w:val="24"/>
              <w:szCs w:val="32"/>
            </w:rPr>
          </w:pPr>
          <w:r>
            <w:rPr>
              <w:szCs w:val="32"/>
            </w:rPr>
            <w:fldChar w:fldCharType="end"/>
          </w:r>
        </w:p>
      </w:sdtContent>
    </w:sdt>
    <w:p w14:paraId="4BB25971">
      <w:pPr>
        <w:rPr>
          <w:b/>
          <w:bCs/>
          <w:sz w:val="28"/>
          <w:szCs w:val="28"/>
        </w:rPr>
      </w:pPr>
      <w:r>
        <w:rPr>
          <w:rFonts w:hint="eastAsia"/>
          <w:b/>
          <w:bCs/>
          <w:sz w:val="28"/>
          <w:szCs w:val="28"/>
        </w:rPr>
        <w:t>附件：</w:t>
      </w:r>
    </w:p>
    <w:p w14:paraId="660D1836">
      <w:pPr>
        <w:spacing w:line="360" w:lineRule="auto"/>
        <w:rPr>
          <w:sz w:val="24"/>
        </w:rPr>
      </w:pPr>
      <w:r>
        <w:rPr>
          <w:rFonts w:hint="eastAsia"/>
          <w:sz w:val="24"/>
        </w:rPr>
        <w:t>附件1：环评委托书</w:t>
      </w:r>
    </w:p>
    <w:p w14:paraId="16E88B54">
      <w:pPr>
        <w:spacing w:line="360" w:lineRule="auto"/>
        <w:rPr>
          <w:rFonts w:hint="eastAsia"/>
          <w:sz w:val="24"/>
        </w:rPr>
      </w:pPr>
      <w:r>
        <w:rPr>
          <w:rFonts w:hint="eastAsia"/>
          <w:sz w:val="24"/>
        </w:rPr>
        <w:t>附件</w:t>
      </w:r>
      <w:r>
        <w:rPr>
          <w:sz w:val="24"/>
        </w:rPr>
        <w:t>2</w:t>
      </w:r>
      <w:r>
        <w:rPr>
          <w:rFonts w:hint="eastAsia"/>
          <w:sz w:val="24"/>
        </w:rPr>
        <w:t>：</w:t>
      </w:r>
      <w:bookmarkStart w:id="7" w:name="_Hlk113526263"/>
      <w:r>
        <w:rPr>
          <w:rFonts w:hint="eastAsia"/>
          <w:sz w:val="24"/>
          <w:u w:val="none"/>
        </w:rPr>
        <w:t>国家电投集团广东电力有限公司</w:t>
      </w:r>
      <w:r>
        <w:rPr>
          <w:rFonts w:hint="eastAsia"/>
          <w:sz w:val="24"/>
          <w:u w:val="none"/>
          <w:lang w:val="en-US" w:eastAsia="zh-CN"/>
        </w:rPr>
        <w:t>与耒阳市人民政府签订的风电项风电项目开发协议</w:t>
      </w:r>
    </w:p>
    <w:p w14:paraId="14A9537C">
      <w:pPr>
        <w:spacing w:line="360" w:lineRule="auto"/>
        <w:rPr>
          <w:rFonts w:hint="eastAsia"/>
          <w:sz w:val="24"/>
          <w:lang w:val="en-US" w:eastAsia="zh-CN"/>
        </w:rPr>
      </w:pPr>
      <w:r>
        <w:rPr>
          <w:rFonts w:hint="eastAsia"/>
          <w:sz w:val="24"/>
          <w:lang w:val="en-US" w:eastAsia="zh-CN"/>
        </w:rPr>
        <w:t>附件3：</w:t>
      </w:r>
      <w:r>
        <w:rPr>
          <w:rFonts w:hint="eastAsia"/>
          <w:sz w:val="24"/>
          <w:szCs w:val="32"/>
          <w:u w:val="none"/>
          <w:lang w:val="en-US" w:eastAsia="zh-CN"/>
        </w:rPr>
        <w:t>湖南省发展和改革委员会关于核准耒阳市导子东湖风电场项目的批复（湘发改许[2023]38号</w:t>
      </w:r>
    </w:p>
    <w:p w14:paraId="72D2A761">
      <w:pPr>
        <w:spacing w:line="360" w:lineRule="auto"/>
        <w:rPr>
          <w:rFonts w:hint="eastAsia"/>
          <w:sz w:val="24"/>
          <w:szCs w:val="32"/>
          <w:u w:val="none"/>
          <w:lang w:val="en-US" w:eastAsia="zh-CN"/>
        </w:rPr>
      </w:pPr>
      <w:r>
        <w:rPr>
          <w:rFonts w:hint="eastAsia"/>
          <w:sz w:val="24"/>
          <w:lang w:val="en-US" w:eastAsia="zh-CN"/>
        </w:rPr>
        <w:t>附件4：</w:t>
      </w:r>
      <w:r>
        <w:rPr>
          <w:rFonts w:hint="eastAsia"/>
          <w:sz w:val="24"/>
          <w:szCs w:val="32"/>
          <w:u w:val="none"/>
          <w:lang w:val="en-US" w:eastAsia="zh-CN"/>
        </w:rPr>
        <w:t>衡阳市自然资源和规划局关于耒阳市导子东湖风电场项目用地预审与选址初审意见的报告（衡资源规划报[2022]15号）</w:t>
      </w:r>
    </w:p>
    <w:p w14:paraId="7567FBA7">
      <w:pPr>
        <w:spacing w:line="360" w:lineRule="auto"/>
        <w:rPr>
          <w:rFonts w:hint="default"/>
          <w:sz w:val="24"/>
          <w:lang w:val="en-US" w:eastAsia="zh-CN"/>
        </w:rPr>
      </w:pPr>
      <w:r>
        <w:rPr>
          <w:rFonts w:hint="eastAsia"/>
          <w:sz w:val="24"/>
          <w:szCs w:val="32"/>
          <w:u w:val="none"/>
          <w:lang w:val="en-US" w:eastAsia="zh-CN"/>
        </w:rPr>
        <w:t>附件5：湖南省自然资源厅建设项目用地预审与选址意见书（用字第430000202300012号）</w:t>
      </w:r>
    </w:p>
    <w:p w14:paraId="13DC96FE">
      <w:pPr>
        <w:spacing w:line="360" w:lineRule="auto"/>
        <w:rPr>
          <w:rFonts w:hint="default"/>
          <w:sz w:val="24"/>
          <w:szCs w:val="32"/>
          <w:u w:val="none"/>
          <w:lang w:val="en-US" w:eastAsia="zh-CN"/>
        </w:rPr>
      </w:pPr>
      <w:r>
        <w:rPr>
          <w:rFonts w:hint="eastAsia"/>
          <w:sz w:val="24"/>
          <w:lang w:val="en-US" w:eastAsia="zh-CN"/>
        </w:rPr>
        <w:t>附件6：</w:t>
      </w:r>
      <w:r>
        <w:rPr>
          <w:rFonts w:hint="eastAsia"/>
          <w:sz w:val="24"/>
          <w:szCs w:val="32"/>
          <w:u w:val="none"/>
          <w:lang w:val="en-US" w:eastAsia="zh-CN"/>
        </w:rPr>
        <w:t>耒阳市林业局关于耒阳市导子东湖风电场项目选址意见</w:t>
      </w:r>
    </w:p>
    <w:p w14:paraId="135FDD7E">
      <w:pPr>
        <w:spacing w:line="360" w:lineRule="auto"/>
        <w:rPr>
          <w:rFonts w:hint="default"/>
          <w:sz w:val="24"/>
          <w:szCs w:val="32"/>
          <w:u w:val="none"/>
          <w:lang w:val="en-US" w:eastAsia="zh-CN"/>
        </w:rPr>
      </w:pPr>
      <w:r>
        <w:rPr>
          <w:rFonts w:hint="eastAsia"/>
          <w:sz w:val="24"/>
          <w:szCs w:val="32"/>
          <w:u w:val="none"/>
          <w:lang w:val="en-US" w:eastAsia="zh-CN"/>
        </w:rPr>
        <w:t>附件7：衡阳市生态环境局耒阳分局关于耒阳市导子东湖风电场项目自然保护区选址的查询意见</w:t>
      </w:r>
    </w:p>
    <w:p w14:paraId="156E5B07">
      <w:pPr>
        <w:spacing w:line="360" w:lineRule="auto"/>
        <w:rPr>
          <w:rFonts w:hint="default"/>
          <w:sz w:val="24"/>
          <w:lang w:val="en-US" w:eastAsia="zh-CN"/>
        </w:rPr>
      </w:pPr>
      <w:r>
        <w:rPr>
          <w:rFonts w:hint="eastAsia"/>
          <w:sz w:val="24"/>
          <w:szCs w:val="32"/>
          <w:u w:val="none"/>
          <w:lang w:val="en-US" w:eastAsia="zh-CN"/>
        </w:rPr>
        <w:t>附件8：耒阳市水利局关于对《耒阳市导子东湖风电场项目选址意见的请示》的复函（耒水函[2022]13号）</w:t>
      </w:r>
    </w:p>
    <w:p w14:paraId="00D2D304">
      <w:pPr>
        <w:spacing w:line="360" w:lineRule="auto"/>
        <w:rPr>
          <w:rFonts w:hint="eastAsia"/>
          <w:sz w:val="24"/>
          <w:lang w:val="en-US" w:eastAsia="zh-CN"/>
        </w:rPr>
      </w:pPr>
      <w:r>
        <w:rPr>
          <w:rFonts w:hint="eastAsia"/>
          <w:sz w:val="24"/>
          <w:szCs w:val="32"/>
          <w:u w:val="none"/>
          <w:lang w:val="en-US" w:eastAsia="zh-CN"/>
        </w:rPr>
        <w:t>附件9：湖南省水利厅关于耒阳市导子东湖风电场项目水土保持方案的批复（湘水函[2023]380号）</w:t>
      </w:r>
    </w:p>
    <w:p w14:paraId="2245CA4E">
      <w:pPr>
        <w:spacing w:line="360" w:lineRule="auto"/>
        <w:rPr>
          <w:rFonts w:hint="eastAsia"/>
          <w:sz w:val="24"/>
          <w:lang w:val="en-US" w:eastAsia="zh-CN"/>
        </w:rPr>
      </w:pPr>
      <w:r>
        <w:rPr>
          <w:rFonts w:hint="eastAsia"/>
          <w:sz w:val="24"/>
          <w:lang w:val="en-US" w:eastAsia="zh-CN"/>
        </w:rPr>
        <w:t>附件10：耒阳市文化旅游广电体育局关于回复国电投实施耒阳市导子东湖风电场项目选址意见的函</w:t>
      </w:r>
    </w:p>
    <w:p w14:paraId="60167867">
      <w:pPr>
        <w:spacing w:line="360" w:lineRule="auto"/>
        <w:rPr>
          <w:rFonts w:hint="default" w:eastAsia="宋体"/>
          <w:sz w:val="24"/>
          <w:lang w:val="en-US" w:eastAsia="zh-CN"/>
        </w:rPr>
      </w:pPr>
      <w:r>
        <w:rPr>
          <w:rFonts w:hint="eastAsia"/>
          <w:sz w:val="24"/>
          <w:lang w:val="en-US" w:eastAsia="zh-CN"/>
        </w:rPr>
        <w:t>附件11：中国人民解放军湖南省耒阳市人民武装部关于对《关于耒阳市导子东湖风电场项目选址意见的请示》的复函</w:t>
      </w:r>
    </w:p>
    <w:p w14:paraId="09CEA231">
      <w:pPr>
        <w:spacing w:line="360" w:lineRule="auto"/>
        <w:rPr>
          <w:rFonts w:hint="default" w:eastAsia="宋体"/>
          <w:sz w:val="24"/>
          <w:lang w:val="en-US" w:eastAsia="zh-CN"/>
        </w:rPr>
      </w:pPr>
      <w:r>
        <w:rPr>
          <w:rFonts w:hint="eastAsia"/>
          <w:sz w:val="24"/>
          <w:lang w:val="en-US" w:eastAsia="zh-CN"/>
        </w:rPr>
        <w:t>附件12：湖南省自然资源厅关于耒阳导子东湖风电场建设项目压覆重要矿产资源查询情况的说明</w:t>
      </w:r>
    </w:p>
    <w:p w14:paraId="1CB29A64">
      <w:pPr>
        <w:spacing w:line="360" w:lineRule="auto"/>
        <w:rPr>
          <w:rFonts w:hint="eastAsia"/>
          <w:sz w:val="24"/>
        </w:rPr>
      </w:pPr>
      <w:r>
        <w:rPr>
          <w:rFonts w:hint="eastAsia"/>
          <w:sz w:val="24"/>
        </w:rPr>
        <w:t>附件1</w:t>
      </w:r>
      <w:r>
        <w:rPr>
          <w:rFonts w:hint="eastAsia"/>
          <w:sz w:val="24"/>
          <w:lang w:val="en-US" w:eastAsia="zh-CN"/>
        </w:rPr>
        <w:t>3</w:t>
      </w:r>
      <w:r>
        <w:rPr>
          <w:rFonts w:hint="eastAsia"/>
          <w:sz w:val="24"/>
        </w:rPr>
        <w:t>：耒阳市导子东湖风电场项目建设场地地质灾害性评估报告专家评审意见</w:t>
      </w:r>
    </w:p>
    <w:p w14:paraId="420505C4">
      <w:pPr>
        <w:spacing w:line="360" w:lineRule="auto"/>
        <w:rPr>
          <w:rFonts w:hint="eastAsia"/>
          <w:color w:val="FF0000"/>
          <w:sz w:val="24"/>
        </w:rPr>
      </w:pPr>
      <w:r>
        <w:rPr>
          <w:rFonts w:hint="eastAsia"/>
          <w:color w:val="FF0000"/>
          <w:sz w:val="24"/>
        </w:rPr>
        <w:t>附件1</w:t>
      </w:r>
      <w:r>
        <w:rPr>
          <w:rFonts w:hint="eastAsia"/>
          <w:color w:val="FF0000"/>
          <w:sz w:val="24"/>
          <w:lang w:val="en-US" w:eastAsia="zh-CN"/>
        </w:rPr>
        <w:t>4</w:t>
      </w:r>
      <w:r>
        <w:rPr>
          <w:rFonts w:hint="eastAsia"/>
          <w:color w:val="FF0000"/>
          <w:sz w:val="24"/>
        </w:rPr>
        <w:t>：耒阳市导子东湖风电场项目对鸟类影响评价专题报告专家评审意见</w:t>
      </w:r>
    </w:p>
    <w:p w14:paraId="1EB2C907">
      <w:pPr>
        <w:spacing w:line="360" w:lineRule="auto"/>
        <w:rPr>
          <w:rFonts w:hint="default" w:eastAsia="宋体"/>
          <w:sz w:val="24"/>
          <w:lang w:val="en-US" w:eastAsia="zh-CN"/>
        </w:rPr>
      </w:pPr>
      <w:r>
        <w:rPr>
          <w:rFonts w:hint="eastAsia"/>
          <w:sz w:val="24"/>
          <w:lang w:val="en-US" w:eastAsia="zh-CN"/>
        </w:rPr>
        <w:t>附件15：耒阳市导子东湖风电场项目拟使用林地专家评估意见</w:t>
      </w:r>
    </w:p>
    <w:p w14:paraId="0B0D4788">
      <w:pPr>
        <w:spacing w:line="360" w:lineRule="auto"/>
        <w:rPr>
          <w:rFonts w:hint="default" w:eastAsia="宋体"/>
          <w:sz w:val="24"/>
          <w:lang w:val="en-US" w:eastAsia="zh-CN"/>
        </w:rPr>
      </w:pPr>
      <w:r>
        <w:rPr>
          <w:rFonts w:hint="eastAsia"/>
          <w:sz w:val="24"/>
          <w:lang w:val="en-US" w:eastAsia="zh-CN"/>
        </w:rPr>
        <w:t>附件16：耒阳市导子东湖风电场项目环境噪声监测（YA202309033）</w:t>
      </w:r>
    </w:p>
    <w:p w14:paraId="6426B506">
      <w:pPr>
        <w:spacing w:line="360" w:lineRule="auto"/>
        <w:rPr>
          <w:rFonts w:hint="default"/>
          <w:color w:val="FF0000"/>
          <w:sz w:val="24"/>
          <w:lang w:val="en-US" w:eastAsia="zh-CN"/>
        </w:rPr>
      </w:pPr>
      <w:r>
        <w:rPr>
          <w:rFonts w:hint="eastAsia"/>
          <w:color w:val="FF0000"/>
          <w:sz w:val="24"/>
          <w:lang w:val="en-US" w:eastAsia="zh-CN"/>
        </w:rPr>
        <w:t>附件17：中国中车5.0MW风机噪声源强测试报告</w:t>
      </w:r>
    </w:p>
    <w:bookmarkEnd w:id="7"/>
    <w:p w14:paraId="6D47896A">
      <w:pPr>
        <w:spacing w:line="360" w:lineRule="auto"/>
        <w:rPr>
          <w:rFonts w:hint="eastAsia"/>
          <w:color w:val="FF0000"/>
          <w:sz w:val="24"/>
          <w:lang w:val="en-US" w:eastAsia="zh-CN"/>
        </w:rPr>
      </w:pPr>
      <w:r>
        <w:rPr>
          <w:rFonts w:hint="eastAsia"/>
          <w:color w:val="FF0000"/>
          <w:sz w:val="24"/>
          <w:lang w:val="en-US" w:eastAsia="zh-CN"/>
        </w:rPr>
        <w:t>附件18：关于支持耒阳市导子东湖风电场项目建设的承诺函（DZ22风机点位）</w:t>
      </w:r>
    </w:p>
    <w:p w14:paraId="1E06AA8A">
      <w:pPr>
        <w:spacing w:line="360" w:lineRule="auto"/>
        <w:rPr>
          <w:rFonts w:hint="eastAsia"/>
          <w:color w:val="FF0000"/>
          <w:sz w:val="24"/>
          <w:lang w:val="en-US" w:eastAsia="zh-CN"/>
        </w:rPr>
      </w:pPr>
      <w:r>
        <w:rPr>
          <w:rFonts w:hint="eastAsia"/>
          <w:color w:val="FF0000"/>
          <w:sz w:val="24"/>
          <w:lang w:val="en-US" w:eastAsia="zh-CN"/>
        </w:rPr>
        <w:t>附件19：东湖圩镇、导子镇关于耒阳市导子东湖风电场项目的选址意见</w:t>
      </w:r>
    </w:p>
    <w:p w14:paraId="331C228F">
      <w:pPr>
        <w:spacing w:line="360" w:lineRule="auto"/>
        <w:rPr>
          <w:rFonts w:hint="default"/>
          <w:color w:val="FF0000"/>
          <w:sz w:val="24"/>
          <w:lang w:val="en-US" w:eastAsia="zh-CN"/>
        </w:rPr>
      </w:pPr>
      <w:r>
        <w:rPr>
          <w:rFonts w:hint="eastAsia"/>
          <w:color w:val="FF0000"/>
          <w:sz w:val="24"/>
          <w:lang w:val="en-US" w:eastAsia="zh-CN"/>
        </w:rPr>
        <w:t>附件20：湖南省林业局使用林地审核同意书（湘林地许准[2023]3865号）</w:t>
      </w:r>
    </w:p>
    <w:p w14:paraId="2F5AED91">
      <w:pPr>
        <w:spacing w:line="360" w:lineRule="auto"/>
        <w:rPr>
          <w:rFonts w:hint="eastAsia"/>
          <w:sz w:val="24"/>
          <w:lang w:val="en-US" w:eastAsia="zh-CN"/>
        </w:rPr>
      </w:pPr>
      <w:r>
        <w:rPr>
          <w:rFonts w:hint="eastAsia"/>
          <w:sz w:val="24"/>
          <w:lang w:val="en-US" w:eastAsia="zh-CN"/>
        </w:rPr>
        <w:t>附件21：耒阳市导子东湖风电场项目升压站电磁环境现状监测[JJHB（XC）124-2023]</w:t>
      </w:r>
    </w:p>
    <w:p w14:paraId="46499292">
      <w:pPr>
        <w:rPr>
          <w:rFonts w:hint="eastAsia"/>
          <w:b/>
          <w:bCs/>
          <w:sz w:val="28"/>
          <w:szCs w:val="28"/>
        </w:rPr>
      </w:pPr>
    </w:p>
    <w:p w14:paraId="52F6AC9B">
      <w:pPr>
        <w:rPr>
          <w:b/>
          <w:bCs/>
          <w:sz w:val="28"/>
          <w:szCs w:val="28"/>
        </w:rPr>
      </w:pPr>
      <w:r>
        <w:rPr>
          <w:rFonts w:hint="eastAsia"/>
          <w:b/>
          <w:bCs/>
          <w:sz w:val="28"/>
          <w:szCs w:val="28"/>
        </w:rPr>
        <w:t>附图：</w:t>
      </w:r>
    </w:p>
    <w:p w14:paraId="21FC8AEE">
      <w:pPr>
        <w:spacing w:line="360" w:lineRule="auto"/>
        <w:rPr>
          <w:color w:val="FF0000"/>
          <w:sz w:val="24"/>
        </w:rPr>
      </w:pPr>
      <w:r>
        <w:rPr>
          <w:rFonts w:hint="eastAsia"/>
          <w:color w:val="FF0000"/>
          <w:sz w:val="24"/>
        </w:rPr>
        <w:t>附图1：项目地理位置图</w:t>
      </w:r>
    </w:p>
    <w:p w14:paraId="2F0E6E4C">
      <w:pPr>
        <w:spacing w:line="360" w:lineRule="auto"/>
        <w:rPr>
          <w:rFonts w:hint="eastAsia"/>
          <w:color w:val="FF0000"/>
          <w:sz w:val="24"/>
          <w:lang w:val="en-US" w:eastAsia="zh-CN"/>
        </w:rPr>
      </w:pPr>
      <w:r>
        <w:rPr>
          <w:rFonts w:hint="eastAsia"/>
          <w:color w:val="FF0000"/>
          <w:sz w:val="24"/>
          <w:lang w:val="en-US" w:eastAsia="zh-CN"/>
        </w:rPr>
        <w:t>附图2-1 耒阳市导子东湖风电场风机点位、道路工程以及弃渣场布置图总平面布置图</w:t>
      </w:r>
    </w:p>
    <w:p w14:paraId="5567BCF0">
      <w:pPr>
        <w:spacing w:line="360" w:lineRule="auto"/>
        <w:rPr>
          <w:rFonts w:hint="default" w:eastAsia="宋体"/>
          <w:color w:val="FF0000"/>
          <w:sz w:val="24"/>
          <w:lang w:val="en-US" w:eastAsia="zh-CN"/>
        </w:rPr>
      </w:pPr>
      <w:r>
        <w:rPr>
          <w:rFonts w:hint="eastAsia"/>
          <w:color w:val="FF0000"/>
          <w:sz w:val="24"/>
          <w:lang w:val="en-US" w:eastAsia="zh-CN"/>
        </w:rPr>
        <w:t>附图2-2：项目升压站平面布置图</w:t>
      </w:r>
    </w:p>
    <w:p w14:paraId="51945C5E">
      <w:pPr>
        <w:spacing w:line="360" w:lineRule="auto"/>
        <w:rPr>
          <w:rFonts w:hint="eastAsia"/>
          <w:color w:val="FF0000"/>
          <w:sz w:val="24"/>
          <w:lang w:val="en-US" w:eastAsia="zh-CN"/>
        </w:rPr>
      </w:pPr>
      <w:r>
        <w:rPr>
          <w:color w:val="FF0000"/>
          <w:sz w:val="24"/>
        </w:rPr>
        <w:t>附图3</w:t>
      </w:r>
      <w:r>
        <w:rPr>
          <w:rFonts w:hint="eastAsia"/>
          <w:color w:val="FF0000"/>
          <w:sz w:val="24"/>
        </w:rPr>
        <w:t>：</w:t>
      </w:r>
      <w:r>
        <w:rPr>
          <w:rFonts w:hint="eastAsia"/>
          <w:color w:val="FF0000"/>
          <w:sz w:val="24"/>
          <w:lang w:val="en-US" w:eastAsia="zh-CN"/>
        </w:rPr>
        <w:t>项目环境空气和声环境保护目标分布图</w:t>
      </w:r>
    </w:p>
    <w:p w14:paraId="72532AFD">
      <w:pPr>
        <w:spacing w:line="360" w:lineRule="auto"/>
        <w:rPr>
          <w:rFonts w:hint="default"/>
          <w:color w:val="FF0000"/>
          <w:sz w:val="24"/>
          <w:lang w:val="en-US" w:eastAsia="zh-CN"/>
        </w:rPr>
      </w:pPr>
      <w:r>
        <w:rPr>
          <w:rFonts w:hint="eastAsia"/>
          <w:color w:val="FF0000"/>
          <w:sz w:val="24"/>
          <w:lang w:val="en-US" w:eastAsia="zh-CN"/>
        </w:rPr>
        <w:t>附图4：项目区域水系图</w:t>
      </w:r>
    </w:p>
    <w:p w14:paraId="25F7E628">
      <w:pPr>
        <w:spacing w:line="360" w:lineRule="auto"/>
        <w:rPr>
          <w:rFonts w:hint="eastAsia"/>
          <w:color w:val="FF0000"/>
          <w:sz w:val="24"/>
          <w:lang w:val="en-US" w:eastAsia="zh-CN"/>
        </w:rPr>
      </w:pPr>
      <w:r>
        <w:rPr>
          <w:rFonts w:hint="eastAsia"/>
          <w:color w:val="FF0000"/>
          <w:sz w:val="24"/>
          <w:lang w:val="en-US" w:eastAsia="zh-CN"/>
        </w:rPr>
        <w:t>附图5：项目DZ17与耒阳市三都镇地下水饮用水水源保护区的位置关系图</w:t>
      </w:r>
    </w:p>
    <w:p w14:paraId="790F3109">
      <w:pPr>
        <w:spacing w:line="360" w:lineRule="auto"/>
        <w:rPr>
          <w:rFonts w:hint="eastAsia"/>
          <w:sz w:val="24"/>
          <w:lang w:val="en-US" w:eastAsia="zh-CN"/>
        </w:rPr>
      </w:pPr>
      <w:r>
        <w:rPr>
          <w:sz w:val="24"/>
        </w:rPr>
        <w:t>附图</w:t>
      </w:r>
      <w:r>
        <w:rPr>
          <w:rFonts w:hint="eastAsia"/>
          <w:sz w:val="24"/>
          <w:lang w:val="en-US" w:eastAsia="zh-CN"/>
        </w:rPr>
        <w:t>6-1</w:t>
      </w:r>
      <w:r>
        <w:rPr>
          <w:rFonts w:hint="eastAsia"/>
          <w:sz w:val="24"/>
        </w:rPr>
        <w:t>：</w:t>
      </w:r>
      <w:r>
        <w:rPr>
          <w:rFonts w:hint="eastAsia"/>
          <w:sz w:val="24"/>
          <w:lang w:val="en-US" w:eastAsia="zh-CN"/>
        </w:rPr>
        <w:t>项目噪声监测布点图</w:t>
      </w:r>
    </w:p>
    <w:p w14:paraId="0ECE68B4">
      <w:pPr>
        <w:spacing w:line="360" w:lineRule="auto"/>
        <w:rPr>
          <w:rFonts w:hint="eastAsia"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附图</w:t>
      </w:r>
      <w:r>
        <w:rPr>
          <w:rFonts w:hint="eastAsia" w:cs="Times New Roman"/>
          <w:sz w:val="24"/>
          <w:lang w:val="en-US" w:eastAsia="zh-CN"/>
        </w:rPr>
        <w:t>6</w:t>
      </w:r>
      <w:r>
        <w:rPr>
          <w:rFonts w:hint="eastAsia" w:ascii="Times New Roman" w:hAnsi="Times New Roman" w:eastAsia="宋体" w:cs="Times New Roman"/>
          <w:sz w:val="24"/>
          <w:lang w:val="en-US" w:eastAsia="zh-CN"/>
        </w:rPr>
        <w:t>-2：项目电磁辐射监测布点图</w:t>
      </w:r>
    </w:p>
    <w:p w14:paraId="7451D38F">
      <w:pPr>
        <w:spacing w:line="360" w:lineRule="auto"/>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附图7：项目与耒阳市“三区三线”划定成果套合示意图（局部）</w:t>
      </w:r>
    </w:p>
    <w:p w14:paraId="533A77AA">
      <w:pPr>
        <w:spacing w:line="360" w:lineRule="auto"/>
        <w:rPr>
          <w:rFonts w:hint="default" w:ascii="Times New Roman" w:hAnsi="Times New Roman" w:eastAsia="宋体" w:cs="Times New Roman"/>
          <w:sz w:val="24"/>
          <w:lang w:val="en-US" w:eastAsia="zh-CN"/>
        </w:rPr>
      </w:pPr>
      <w:r>
        <w:rPr>
          <w:rFonts w:hint="eastAsia" w:cs="Times New Roman"/>
          <w:sz w:val="24"/>
          <w:lang w:val="en-US" w:eastAsia="zh-CN"/>
        </w:rPr>
        <w:t>附图8：项目与湖南省主体功能区划的位置关系图</w:t>
      </w:r>
    </w:p>
    <w:p w14:paraId="0DC01916">
      <w:pPr>
        <w:spacing w:line="360" w:lineRule="auto"/>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附图9：项目各风机点位包络线图</w:t>
      </w:r>
    </w:p>
    <w:p w14:paraId="639AFCE0">
      <w:pPr>
        <w:spacing w:line="360" w:lineRule="auto"/>
        <w:rPr>
          <w:rFonts w:hint="default" w:ascii="Times New Roman" w:hAnsi="Times New Roman" w:eastAsia="宋体" w:cs="Times New Roman"/>
          <w:color w:val="FF0000"/>
          <w:sz w:val="24"/>
          <w:lang w:val="en-US" w:eastAsia="zh-CN"/>
        </w:rPr>
      </w:pPr>
      <w:r>
        <w:rPr>
          <w:rFonts w:hint="eastAsia" w:cs="Times New Roman"/>
          <w:color w:val="FF0000"/>
          <w:sz w:val="24"/>
          <w:lang w:val="en-US" w:eastAsia="zh-CN"/>
        </w:rPr>
        <w:t>附图10：项目生态保护目标图</w:t>
      </w:r>
    </w:p>
    <w:p w14:paraId="60B7F668">
      <w:pPr>
        <w:spacing w:line="360" w:lineRule="auto"/>
        <w:rPr>
          <w:rFonts w:hint="eastAsia" w:cs="Times New Roman"/>
          <w:color w:val="FF0000"/>
          <w:sz w:val="24"/>
          <w:lang w:val="en-US" w:eastAsia="zh-CN"/>
        </w:rPr>
      </w:pPr>
      <w:r>
        <w:rPr>
          <w:rFonts w:hint="eastAsia" w:cs="Times New Roman"/>
          <w:color w:val="FF0000"/>
          <w:sz w:val="24"/>
          <w:lang w:val="en-US" w:eastAsia="zh-CN"/>
        </w:rPr>
        <w:t>附图11：项目区域植被类型图</w:t>
      </w:r>
    </w:p>
    <w:p w14:paraId="39D2200E">
      <w:pPr>
        <w:spacing w:line="360" w:lineRule="auto"/>
        <w:rPr>
          <w:rFonts w:hint="default" w:cs="Times New Roman"/>
          <w:sz w:val="24"/>
          <w:lang w:val="en-US" w:eastAsia="zh-CN"/>
        </w:rPr>
      </w:pPr>
      <w:r>
        <w:rPr>
          <w:rFonts w:hint="eastAsia" w:cs="Times New Roman"/>
          <w:sz w:val="24"/>
          <w:lang w:val="en-US" w:eastAsia="zh-CN"/>
        </w:rPr>
        <w:t>附图12：项目生态环境保护措施平面布置图</w:t>
      </w:r>
    </w:p>
    <w:p w14:paraId="5C5B8A5D">
      <w:pPr>
        <w:spacing w:line="360" w:lineRule="auto"/>
        <w:rPr>
          <w:rFonts w:hint="default" w:ascii="Times New Roman" w:hAnsi="Times New Roman" w:eastAsia="宋体" w:cs="Times New Roman"/>
          <w:sz w:val="24"/>
          <w:lang w:val="en-US" w:eastAsia="zh-CN"/>
        </w:rPr>
      </w:pPr>
      <w:r>
        <w:rPr>
          <w:rFonts w:hint="eastAsia" w:cs="Times New Roman"/>
          <w:sz w:val="24"/>
          <w:lang w:val="en-US" w:eastAsia="zh-CN"/>
        </w:rPr>
        <w:t>附图13：</w:t>
      </w:r>
      <w:r>
        <w:rPr>
          <w:rFonts w:hint="eastAsia"/>
          <w:sz w:val="24"/>
          <w:lang w:val="en-US" w:eastAsia="zh-CN"/>
        </w:rPr>
        <w:t>项目</w:t>
      </w:r>
      <w:r>
        <w:rPr>
          <w:rFonts w:hint="eastAsia" w:ascii="Times New Roman" w:hAnsi="Times New Roman" w:eastAsia="宋体" w:cs="Times New Roman"/>
          <w:sz w:val="24"/>
        </w:rPr>
        <w:t>现场照片</w:t>
      </w:r>
    </w:p>
    <w:p w14:paraId="4100173A">
      <w:pPr>
        <w:spacing w:line="360" w:lineRule="auto"/>
        <w:ind w:firstLine="480" w:firstLineChars="200"/>
        <w:rPr>
          <w:rFonts w:hint="eastAsia"/>
          <w:sz w:val="24"/>
        </w:rPr>
      </w:pPr>
    </w:p>
    <w:p w14:paraId="108CA462">
      <w:pPr>
        <w:pStyle w:val="3"/>
        <w:rPr>
          <w:rFonts w:hint="eastAsia"/>
        </w:rPr>
        <w:sectPr>
          <w:footerReference r:id="rId5" w:type="default"/>
          <w:pgSz w:w="11906" w:h="16838"/>
          <w:pgMar w:top="1417" w:right="1803" w:bottom="1417" w:left="1803"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p>
    <w:p w14:paraId="196EB523">
      <w:pPr>
        <w:pStyle w:val="3"/>
        <w:numPr>
          <w:ilvl w:val="0"/>
          <w:numId w:val="0"/>
        </w:numPr>
      </w:pPr>
      <w:bookmarkStart w:id="8" w:name="_Toc27841"/>
      <w:r>
        <w:rPr>
          <w:rFonts w:hint="eastAsia"/>
        </w:rPr>
        <w:t>一、建设项目基本情况</w:t>
      </w:r>
      <w:bookmarkEnd w:id="3"/>
      <w:bookmarkEnd w:id="8"/>
    </w:p>
    <w:tbl>
      <w:tblPr>
        <w:tblStyle w:val="32"/>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32"/>
        <w:gridCol w:w="2079"/>
        <w:gridCol w:w="2375"/>
        <w:gridCol w:w="2849"/>
      </w:tblGrid>
      <w:tr w14:paraId="5ABF5F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31DD662F">
            <w:pPr>
              <w:wordWrap w:val="0"/>
              <w:spacing w:line="240" w:lineRule="auto"/>
              <w:jc w:val="center"/>
              <w:rPr>
                <w:b/>
                <w:bCs/>
                <w:szCs w:val="21"/>
              </w:rPr>
            </w:pPr>
            <w:r>
              <w:rPr>
                <w:rFonts w:hint="eastAsia"/>
                <w:b/>
                <w:bCs/>
                <w:szCs w:val="21"/>
              </w:rPr>
              <w:t>建设项目名称</w:t>
            </w:r>
          </w:p>
        </w:tc>
        <w:tc>
          <w:tcPr>
            <w:tcW w:w="3828" w:type="pct"/>
            <w:gridSpan w:val="3"/>
            <w:vAlign w:val="center"/>
          </w:tcPr>
          <w:p w14:paraId="40ABEB3A">
            <w:pPr>
              <w:wordWrap w:val="0"/>
              <w:spacing w:line="360" w:lineRule="auto"/>
              <w:jc w:val="center"/>
              <w:rPr>
                <w:rFonts w:hint="eastAsia" w:eastAsia="宋体"/>
                <w:szCs w:val="21"/>
                <w:lang w:eastAsia="zh-CN"/>
              </w:rPr>
            </w:pPr>
            <w:r>
              <w:rPr>
                <w:rFonts w:hint="eastAsia"/>
                <w:szCs w:val="21"/>
                <w:lang w:eastAsia="zh-CN"/>
              </w:rPr>
              <w:t>耒阳市导子东湖风电场项目</w:t>
            </w:r>
          </w:p>
        </w:tc>
      </w:tr>
      <w:tr w14:paraId="6782EA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538F1829">
            <w:pPr>
              <w:wordWrap w:val="0"/>
              <w:spacing w:line="360" w:lineRule="auto"/>
              <w:jc w:val="center"/>
              <w:rPr>
                <w:b/>
                <w:bCs/>
                <w:szCs w:val="21"/>
              </w:rPr>
            </w:pPr>
            <w:r>
              <w:rPr>
                <w:rFonts w:hint="eastAsia"/>
                <w:b/>
                <w:bCs/>
                <w:szCs w:val="21"/>
              </w:rPr>
              <w:t>项目代码</w:t>
            </w:r>
          </w:p>
        </w:tc>
        <w:tc>
          <w:tcPr>
            <w:tcW w:w="3828" w:type="pct"/>
            <w:gridSpan w:val="3"/>
            <w:vAlign w:val="center"/>
          </w:tcPr>
          <w:p w14:paraId="3060F74E">
            <w:pPr>
              <w:wordWrap w:val="0"/>
              <w:spacing w:line="360" w:lineRule="auto"/>
              <w:jc w:val="center"/>
              <w:rPr>
                <w:rFonts w:hint="default" w:eastAsia="宋体"/>
                <w:szCs w:val="21"/>
                <w:lang w:val="en-US" w:eastAsia="zh-CN"/>
              </w:rPr>
            </w:pPr>
            <w:r>
              <w:rPr>
                <w:rFonts w:hint="eastAsia"/>
                <w:szCs w:val="21"/>
                <w:lang w:val="en-US" w:eastAsia="zh-CN"/>
              </w:rPr>
              <w:t>2210</w:t>
            </w:r>
            <w:r>
              <w:rPr>
                <w:szCs w:val="21"/>
              </w:rPr>
              <w:t>-</w:t>
            </w:r>
            <w:r>
              <w:rPr>
                <w:rFonts w:hint="eastAsia"/>
                <w:szCs w:val="21"/>
                <w:lang w:val="en-US" w:eastAsia="zh-CN"/>
              </w:rPr>
              <w:t>430481</w:t>
            </w:r>
            <w:r>
              <w:rPr>
                <w:szCs w:val="21"/>
              </w:rPr>
              <w:t>-0</w:t>
            </w:r>
            <w:r>
              <w:rPr>
                <w:rFonts w:hint="eastAsia"/>
                <w:szCs w:val="21"/>
                <w:lang w:val="en-US" w:eastAsia="zh-CN"/>
              </w:rPr>
              <w:t>4-01-248044</w:t>
            </w:r>
          </w:p>
        </w:tc>
      </w:tr>
      <w:tr w14:paraId="06869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4266BC41">
            <w:pPr>
              <w:wordWrap w:val="0"/>
              <w:spacing w:line="360" w:lineRule="auto"/>
              <w:jc w:val="center"/>
              <w:rPr>
                <w:b/>
                <w:bCs/>
                <w:szCs w:val="21"/>
              </w:rPr>
            </w:pPr>
            <w:r>
              <w:rPr>
                <w:rFonts w:hint="eastAsia"/>
                <w:b/>
                <w:bCs/>
                <w:szCs w:val="21"/>
              </w:rPr>
              <w:t>建设单位联系人</w:t>
            </w:r>
          </w:p>
        </w:tc>
        <w:tc>
          <w:tcPr>
            <w:tcW w:w="1090" w:type="pct"/>
            <w:vAlign w:val="center"/>
          </w:tcPr>
          <w:p w14:paraId="125A0E14">
            <w:pPr>
              <w:wordWrap w:val="0"/>
              <w:spacing w:line="360" w:lineRule="auto"/>
              <w:jc w:val="center"/>
              <w:rPr>
                <w:rFonts w:hint="eastAsia" w:eastAsia="宋体"/>
                <w:szCs w:val="21"/>
                <w:lang w:eastAsia="zh-CN"/>
              </w:rPr>
            </w:pPr>
            <w:r>
              <w:rPr>
                <w:rFonts w:hint="eastAsia"/>
                <w:szCs w:val="21"/>
                <w:lang w:eastAsia="zh-CN"/>
              </w:rPr>
              <w:t>马纯</w:t>
            </w:r>
          </w:p>
        </w:tc>
        <w:tc>
          <w:tcPr>
            <w:tcW w:w="1245" w:type="pct"/>
            <w:vAlign w:val="center"/>
          </w:tcPr>
          <w:p w14:paraId="082D195F">
            <w:pPr>
              <w:wordWrap w:val="0"/>
              <w:spacing w:line="360" w:lineRule="auto"/>
              <w:jc w:val="center"/>
              <w:rPr>
                <w:b/>
                <w:bCs/>
                <w:szCs w:val="21"/>
              </w:rPr>
            </w:pPr>
            <w:r>
              <w:rPr>
                <w:rFonts w:hint="eastAsia"/>
                <w:b/>
                <w:bCs/>
                <w:szCs w:val="21"/>
              </w:rPr>
              <w:t>联系方式</w:t>
            </w:r>
          </w:p>
        </w:tc>
        <w:tc>
          <w:tcPr>
            <w:tcW w:w="1493" w:type="pct"/>
            <w:vAlign w:val="center"/>
          </w:tcPr>
          <w:p w14:paraId="25225D62">
            <w:pPr>
              <w:wordWrap w:val="0"/>
              <w:spacing w:line="360" w:lineRule="auto"/>
              <w:jc w:val="center"/>
              <w:rPr>
                <w:rFonts w:hint="eastAsia" w:eastAsia="宋体"/>
                <w:szCs w:val="21"/>
                <w:lang w:eastAsia="zh-CN"/>
              </w:rPr>
            </w:pPr>
            <w:r>
              <w:rPr>
                <w:rFonts w:hint="eastAsia"/>
                <w:szCs w:val="21"/>
                <w:lang w:eastAsia="zh-CN"/>
              </w:rPr>
              <w:t>13907484011</w:t>
            </w:r>
          </w:p>
        </w:tc>
      </w:tr>
      <w:tr w14:paraId="3D9EE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62D23758">
            <w:pPr>
              <w:wordWrap w:val="0"/>
              <w:spacing w:line="360" w:lineRule="auto"/>
              <w:jc w:val="center"/>
              <w:rPr>
                <w:b/>
                <w:bCs/>
                <w:szCs w:val="21"/>
              </w:rPr>
            </w:pPr>
            <w:r>
              <w:rPr>
                <w:rFonts w:hint="eastAsia"/>
                <w:b/>
                <w:bCs/>
                <w:szCs w:val="21"/>
              </w:rPr>
              <w:t>建设地点</w:t>
            </w:r>
          </w:p>
        </w:tc>
        <w:tc>
          <w:tcPr>
            <w:tcW w:w="3828" w:type="pct"/>
            <w:gridSpan w:val="3"/>
            <w:vAlign w:val="center"/>
          </w:tcPr>
          <w:p w14:paraId="1FF1B705">
            <w:pPr>
              <w:wordWrap w:val="0"/>
              <w:spacing w:line="360" w:lineRule="auto"/>
              <w:jc w:val="center"/>
              <w:rPr>
                <w:rFonts w:hint="default" w:eastAsia="宋体"/>
                <w:szCs w:val="21"/>
                <w:lang w:val="en-US" w:eastAsia="zh-CN"/>
              </w:rPr>
            </w:pPr>
            <w:r>
              <w:rPr>
                <w:rFonts w:hint="eastAsia" w:ascii="宋体" w:hAnsi="宋体" w:cs="宋体"/>
                <w:color w:val="FF0000"/>
                <w:szCs w:val="21"/>
                <w:lang w:eastAsia="zh-CN"/>
              </w:rPr>
              <w:t>湖南省衡阳市</w:t>
            </w:r>
            <w:r>
              <w:rPr>
                <w:rFonts w:hint="eastAsia" w:ascii="宋体" w:hAnsi="宋体" w:cs="宋体"/>
                <w:color w:val="FF0000"/>
                <w:szCs w:val="21"/>
                <w:lang w:val="en-US" w:eastAsia="zh-CN"/>
              </w:rPr>
              <w:t>耒</w:t>
            </w:r>
            <w:r>
              <w:rPr>
                <w:rFonts w:hint="eastAsia"/>
                <w:color w:val="FF0000"/>
                <w:szCs w:val="21"/>
                <w:lang w:val="en-US" w:eastAsia="zh-CN"/>
              </w:rPr>
              <w:t>阳市导子镇、东湖圩镇</w:t>
            </w:r>
          </w:p>
        </w:tc>
      </w:tr>
      <w:tr w14:paraId="733A8E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71" w:type="pct"/>
            <w:tcMar>
              <w:top w:w="16" w:type="dxa"/>
              <w:left w:w="16" w:type="dxa"/>
              <w:right w:w="16" w:type="dxa"/>
            </w:tcMar>
            <w:vAlign w:val="center"/>
          </w:tcPr>
          <w:p w14:paraId="032F0F4E">
            <w:pPr>
              <w:adjustRightInd w:val="0"/>
              <w:snapToGrid w:val="0"/>
              <w:jc w:val="center"/>
              <w:rPr>
                <w:rFonts w:ascii="宋体" w:hAnsi="宋体" w:cs="宋体"/>
                <w:b/>
                <w:bCs/>
                <w:szCs w:val="21"/>
              </w:rPr>
            </w:pPr>
            <w:r>
              <w:rPr>
                <w:rFonts w:hint="eastAsia" w:ascii="宋体" w:hAnsi="宋体" w:cs="宋体"/>
                <w:b/>
                <w:bCs/>
                <w:szCs w:val="21"/>
              </w:rPr>
              <w:t>地理坐标</w:t>
            </w:r>
          </w:p>
        </w:tc>
        <w:tc>
          <w:tcPr>
            <w:tcW w:w="3828" w:type="pct"/>
            <w:gridSpan w:val="3"/>
            <w:vAlign w:val="center"/>
          </w:tcPr>
          <w:p w14:paraId="5726E583">
            <w:pPr>
              <w:jc w:val="center"/>
              <w:rPr>
                <w:szCs w:val="21"/>
              </w:rPr>
            </w:pPr>
            <w:r>
              <w:rPr>
                <w:rFonts w:hint="default" w:ascii="Times New Roman" w:hAnsi="Times New Roman" w:cs="Times New Roman"/>
                <w:szCs w:val="21"/>
              </w:rPr>
              <w:t>东经11</w:t>
            </w:r>
            <w:r>
              <w:rPr>
                <w:rFonts w:hint="default" w:ascii="Times New Roman" w:hAnsi="Times New Roman" w:cs="Times New Roman"/>
                <w:szCs w:val="21"/>
                <w:lang w:val="en-US" w:eastAsia="zh-CN"/>
              </w:rPr>
              <w:t>3°3′12″~东经113°9′27″</w:t>
            </w:r>
            <w:r>
              <w:rPr>
                <w:rFonts w:hint="default" w:ascii="Times New Roman" w:hAnsi="Times New Roman" w:cs="Times New Roman"/>
                <w:szCs w:val="21"/>
              </w:rPr>
              <w:t>，北纬</w:t>
            </w:r>
            <w:r>
              <w:rPr>
                <w:rFonts w:hint="default" w:ascii="Times New Roman" w:hAnsi="Times New Roman" w:cs="Times New Roman"/>
                <w:szCs w:val="21"/>
                <w:lang w:val="en-US" w:eastAsia="zh-CN"/>
              </w:rPr>
              <w:t>26°25′41″~北纬26°31′7″</w:t>
            </w:r>
          </w:p>
        </w:tc>
      </w:tr>
      <w:tr w14:paraId="1910CA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71" w:type="pct"/>
            <w:tcMar>
              <w:top w:w="16" w:type="dxa"/>
              <w:left w:w="16" w:type="dxa"/>
              <w:right w:w="16" w:type="dxa"/>
            </w:tcMar>
            <w:vAlign w:val="center"/>
          </w:tcPr>
          <w:p w14:paraId="491C60F4">
            <w:pPr>
              <w:adjustRightInd w:val="0"/>
              <w:snapToGrid w:val="0"/>
              <w:jc w:val="center"/>
              <w:rPr>
                <w:rFonts w:ascii="宋体" w:hAnsi="宋体" w:cs="宋体"/>
                <w:b/>
                <w:bCs/>
                <w:szCs w:val="21"/>
              </w:rPr>
            </w:pPr>
            <w:r>
              <w:rPr>
                <w:rFonts w:hint="eastAsia" w:ascii="宋体" w:hAnsi="宋体" w:cs="宋体"/>
                <w:b/>
                <w:bCs/>
                <w:szCs w:val="21"/>
              </w:rPr>
              <w:t>建设项目</w:t>
            </w:r>
          </w:p>
          <w:p w14:paraId="58251395">
            <w:pPr>
              <w:adjustRightInd w:val="0"/>
              <w:snapToGrid w:val="0"/>
              <w:jc w:val="center"/>
              <w:rPr>
                <w:rFonts w:ascii="宋体" w:hAnsi="宋体" w:cs="宋体"/>
                <w:b/>
                <w:bCs/>
                <w:szCs w:val="21"/>
              </w:rPr>
            </w:pPr>
            <w:r>
              <w:rPr>
                <w:rFonts w:hint="eastAsia" w:ascii="宋体" w:hAnsi="宋体" w:cs="宋体"/>
                <w:b/>
                <w:bCs/>
                <w:szCs w:val="21"/>
              </w:rPr>
              <w:t>行业类别</w:t>
            </w:r>
          </w:p>
        </w:tc>
        <w:tc>
          <w:tcPr>
            <w:tcW w:w="1090" w:type="pct"/>
            <w:vAlign w:val="center"/>
          </w:tcPr>
          <w:p w14:paraId="19ABD4B3">
            <w:pPr>
              <w:adjustRightInd w:val="0"/>
              <w:snapToGrid w:val="0"/>
              <w:jc w:val="center"/>
              <w:rPr>
                <w:rFonts w:ascii="宋体" w:hAnsi="宋体" w:cs="宋体"/>
                <w:szCs w:val="21"/>
              </w:rPr>
            </w:pPr>
            <w:r>
              <w:rPr>
                <w:szCs w:val="21"/>
              </w:rPr>
              <w:t>风力发电[</w:t>
            </w:r>
            <w:r>
              <w:rPr>
                <w:rFonts w:hint="eastAsia"/>
                <w:szCs w:val="21"/>
              </w:rPr>
              <w:t>D4415</w:t>
            </w:r>
            <w:r>
              <w:rPr>
                <w:szCs w:val="21"/>
              </w:rPr>
              <w:t>]</w:t>
            </w:r>
          </w:p>
        </w:tc>
        <w:tc>
          <w:tcPr>
            <w:tcW w:w="1245" w:type="pct"/>
            <w:vAlign w:val="center"/>
          </w:tcPr>
          <w:p w14:paraId="21D3F5D3">
            <w:pPr>
              <w:adjustRightInd w:val="0"/>
              <w:snapToGrid w:val="0"/>
              <w:jc w:val="center"/>
              <w:rPr>
                <w:b/>
                <w:bCs/>
                <w:szCs w:val="21"/>
              </w:rPr>
            </w:pPr>
            <w:r>
              <w:rPr>
                <w:b/>
                <w:bCs/>
                <w:szCs w:val="21"/>
              </w:rPr>
              <w:t>用地（用海）面积（m</w:t>
            </w:r>
            <w:r>
              <w:rPr>
                <w:b/>
                <w:bCs/>
                <w:szCs w:val="21"/>
                <w:vertAlign w:val="superscript"/>
              </w:rPr>
              <w:t>2</w:t>
            </w:r>
            <w:r>
              <w:rPr>
                <w:b/>
                <w:bCs/>
                <w:szCs w:val="21"/>
              </w:rPr>
              <w:t>）</w:t>
            </w:r>
          </w:p>
          <w:p w14:paraId="162C48DD">
            <w:pPr>
              <w:adjustRightInd w:val="0"/>
              <w:snapToGrid w:val="0"/>
              <w:jc w:val="center"/>
              <w:rPr>
                <w:b/>
                <w:bCs/>
                <w:szCs w:val="21"/>
              </w:rPr>
            </w:pPr>
            <w:r>
              <w:rPr>
                <w:rFonts w:hint="eastAsia"/>
                <w:b/>
                <w:bCs/>
                <w:szCs w:val="21"/>
              </w:rPr>
              <w:t>/长度</w:t>
            </w:r>
          </w:p>
        </w:tc>
        <w:tc>
          <w:tcPr>
            <w:tcW w:w="1493" w:type="pct"/>
            <w:vAlign w:val="center"/>
          </w:tcPr>
          <w:p w14:paraId="31760BD7">
            <w:pPr>
              <w:adjustRightInd w:val="0"/>
              <w:snapToGrid w:val="0"/>
              <w:jc w:val="center"/>
              <w:rPr>
                <w:rFonts w:ascii="宋体" w:hAnsi="宋体" w:cs="宋体"/>
                <w:szCs w:val="21"/>
              </w:rPr>
            </w:pPr>
            <w:r>
              <w:rPr>
                <w:rFonts w:hint="eastAsia"/>
                <w:color w:val="FF0000"/>
                <w:szCs w:val="21"/>
                <w:lang w:val="en-US" w:eastAsia="zh-CN"/>
              </w:rPr>
              <w:t>38.79</w:t>
            </w:r>
            <w:r>
              <w:rPr>
                <w:color w:val="FF0000"/>
                <w:spacing w:val="6"/>
                <w:szCs w:val="21"/>
              </w:rPr>
              <w:t>hm</w:t>
            </w:r>
            <w:r>
              <w:rPr>
                <w:color w:val="FF0000"/>
                <w:spacing w:val="6"/>
                <w:szCs w:val="21"/>
                <w:vertAlign w:val="superscript"/>
              </w:rPr>
              <w:t>2</w:t>
            </w:r>
            <w:r>
              <w:rPr>
                <w:color w:val="FF0000"/>
                <w:spacing w:val="6"/>
                <w:szCs w:val="21"/>
              </w:rPr>
              <w:t>（其中永久</w:t>
            </w:r>
            <w:r>
              <w:rPr>
                <w:rFonts w:hint="eastAsia"/>
                <w:color w:val="FF0000"/>
                <w:szCs w:val="21"/>
                <w:lang w:val="en-US" w:eastAsia="zh-CN"/>
              </w:rPr>
              <w:t>1.46</w:t>
            </w:r>
            <w:r>
              <w:rPr>
                <w:color w:val="FF0000"/>
                <w:spacing w:val="6"/>
                <w:szCs w:val="21"/>
              </w:rPr>
              <w:t>hm</w:t>
            </w:r>
            <w:r>
              <w:rPr>
                <w:color w:val="FF0000"/>
                <w:spacing w:val="6"/>
                <w:szCs w:val="21"/>
                <w:vertAlign w:val="superscript"/>
              </w:rPr>
              <w:t>2</w:t>
            </w:r>
            <w:r>
              <w:rPr>
                <w:color w:val="FF0000"/>
                <w:spacing w:val="6"/>
                <w:szCs w:val="21"/>
              </w:rPr>
              <w:t>，临时</w:t>
            </w:r>
            <w:r>
              <w:rPr>
                <w:rFonts w:hint="eastAsia"/>
                <w:color w:val="FF0000"/>
                <w:szCs w:val="21"/>
                <w:lang w:val="en-US" w:eastAsia="zh-CN"/>
              </w:rPr>
              <w:t>37.33</w:t>
            </w:r>
            <w:r>
              <w:rPr>
                <w:color w:val="FF0000"/>
                <w:spacing w:val="6"/>
                <w:szCs w:val="21"/>
              </w:rPr>
              <w:t>hm</w:t>
            </w:r>
            <w:r>
              <w:rPr>
                <w:color w:val="FF0000"/>
                <w:spacing w:val="6"/>
                <w:szCs w:val="21"/>
                <w:vertAlign w:val="superscript"/>
              </w:rPr>
              <w:t>2</w:t>
            </w:r>
            <w:r>
              <w:rPr>
                <w:color w:val="FF0000"/>
                <w:spacing w:val="6"/>
                <w:szCs w:val="21"/>
              </w:rPr>
              <w:t>）</w:t>
            </w:r>
          </w:p>
        </w:tc>
      </w:tr>
      <w:tr w14:paraId="63B51D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71" w:type="pct"/>
            <w:tcMar>
              <w:top w:w="16" w:type="dxa"/>
              <w:left w:w="16" w:type="dxa"/>
              <w:right w:w="16" w:type="dxa"/>
            </w:tcMar>
            <w:vAlign w:val="center"/>
          </w:tcPr>
          <w:p w14:paraId="3D28C60F">
            <w:pPr>
              <w:adjustRightInd w:val="0"/>
              <w:snapToGrid w:val="0"/>
              <w:jc w:val="center"/>
              <w:rPr>
                <w:rFonts w:ascii="宋体" w:hAnsi="宋体" w:cs="宋体"/>
                <w:b/>
                <w:bCs/>
                <w:szCs w:val="21"/>
              </w:rPr>
            </w:pPr>
            <w:r>
              <w:rPr>
                <w:rFonts w:hint="eastAsia" w:ascii="宋体" w:hAnsi="宋体" w:cs="宋体"/>
                <w:b/>
                <w:bCs/>
                <w:szCs w:val="21"/>
              </w:rPr>
              <w:t>建设性质</w:t>
            </w:r>
          </w:p>
        </w:tc>
        <w:tc>
          <w:tcPr>
            <w:tcW w:w="1090" w:type="pct"/>
            <w:vAlign w:val="center"/>
          </w:tcPr>
          <w:p w14:paraId="15899E84">
            <w:pPr>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新建（迁建）</w:t>
            </w:r>
          </w:p>
          <w:p w14:paraId="4C4A535D">
            <w:pPr>
              <w:jc w:val="left"/>
              <w:rPr>
                <w:rFonts w:ascii="宋体" w:hAnsi="宋体" w:cs="宋体"/>
                <w:szCs w:val="21"/>
              </w:rPr>
            </w:pPr>
            <w:r>
              <w:rPr>
                <w:rFonts w:hint="eastAsia" w:ascii="宋体" w:hAnsi="宋体" w:cs="宋体"/>
                <w:szCs w:val="21"/>
              </w:rPr>
              <w:t>□改建</w:t>
            </w:r>
          </w:p>
          <w:p w14:paraId="5D6F6EEA">
            <w:pPr>
              <w:jc w:val="left"/>
              <w:rPr>
                <w:rFonts w:ascii="宋体" w:hAnsi="宋体" w:cs="宋体"/>
                <w:szCs w:val="21"/>
              </w:rPr>
            </w:pPr>
            <w:r>
              <w:rPr>
                <w:rFonts w:hint="eastAsia" w:ascii="宋体" w:hAnsi="宋体" w:cs="宋体"/>
                <w:szCs w:val="21"/>
              </w:rPr>
              <w:t>□扩建</w:t>
            </w:r>
          </w:p>
          <w:p w14:paraId="23B60D5F">
            <w:pPr>
              <w:jc w:val="left"/>
              <w:rPr>
                <w:rFonts w:ascii="宋体" w:hAnsi="宋体" w:cs="宋体"/>
                <w:szCs w:val="21"/>
              </w:rPr>
            </w:pPr>
            <w:r>
              <w:rPr>
                <w:rFonts w:hint="eastAsia" w:ascii="宋体" w:hAnsi="宋体" w:cs="宋体"/>
                <w:szCs w:val="21"/>
              </w:rPr>
              <w:t>□技术改造</w:t>
            </w:r>
          </w:p>
        </w:tc>
        <w:tc>
          <w:tcPr>
            <w:tcW w:w="1245" w:type="pct"/>
            <w:vAlign w:val="center"/>
          </w:tcPr>
          <w:p w14:paraId="38E2B871">
            <w:pPr>
              <w:adjustRightInd w:val="0"/>
              <w:snapToGrid w:val="0"/>
              <w:jc w:val="center"/>
              <w:rPr>
                <w:rFonts w:ascii="宋体" w:hAnsi="宋体" w:cs="宋体"/>
                <w:b/>
                <w:bCs/>
                <w:szCs w:val="21"/>
              </w:rPr>
            </w:pPr>
            <w:r>
              <w:rPr>
                <w:rFonts w:hint="eastAsia" w:ascii="宋体" w:hAnsi="宋体" w:cs="宋体"/>
                <w:b/>
                <w:bCs/>
                <w:szCs w:val="21"/>
              </w:rPr>
              <w:t>建设项目</w:t>
            </w:r>
          </w:p>
          <w:p w14:paraId="74CA169A">
            <w:pPr>
              <w:adjustRightInd w:val="0"/>
              <w:snapToGrid w:val="0"/>
              <w:jc w:val="center"/>
              <w:rPr>
                <w:rFonts w:ascii="宋体" w:hAnsi="宋体" w:cs="宋体"/>
                <w:b/>
                <w:bCs/>
                <w:szCs w:val="21"/>
              </w:rPr>
            </w:pPr>
            <w:r>
              <w:rPr>
                <w:rFonts w:hint="eastAsia" w:ascii="宋体" w:hAnsi="宋体" w:cs="宋体"/>
                <w:b/>
                <w:bCs/>
                <w:szCs w:val="21"/>
              </w:rPr>
              <w:t>申报情形</w:t>
            </w:r>
          </w:p>
        </w:tc>
        <w:tc>
          <w:tcPr>
            <w:tcW w:w="1493" w:type="pct"/>
            <w:vAlign w:val="center"/>
          </w:tcPr>
          <w:p w14:paraId="0C7D03A4">
            <w:pPr>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首次申报项目</w:t>
            </w:r>
          </w:p>
          <w:p w14:paraId="449EF725">
            <w:pPr>
              <w:jc w:val="left"/>
              <w:rPr>
                <w:rFonts w:ascii="宋体" w:hAnsi="宋体" w:cs="宋体"/>
                <w:szCs w:val="21"/>
              </w:rPr>
            </w:pPr>
            <w:r>
              <w:rPr>
                <w:rFonts w:hint="eastAsia" w:ascii="宋体" w:hAnsi="宋体" w:cs="宋体"/>
                <w:szCs w:val="21"/>
              </w:rPr>
              <w:t>□不予批准后再次申报项目</w:t>
            </w:r>
          </w:p>
          <w:p w14:paraId="03258D3B">
            <w:pPr>
              <w:jc w:val="left"/>
              <w:rPr>
                <w:rFonts w:ascii="宋体" w:hAnsi="宋体" w:cs="宋体"/>
                <w:szCs w:val="21"/>
              </w:rPr>
            </w:pPr>
            <w:r>
              <w:rPr>
                <w:rFonts w:hint="eastAsia" w:ascii="宋体" w:hAnsi="宋体" w:cs="宋体"/>
                <w:szCs w:val="21"/>
              </w:rPr>
              <w:t>□超五年重新审核项目</w:t>
            </w:r>
          </w:p>
          <w:p w14:paraId="31004672">
            <w:pPr>
              <w:jc w:val="left"/>
              <w:rPr>
                <w:rFonts w:ascii="宋体" w:hAnsi="宋体" w:cs="宋体"/>
                <w:szCs w:val="21"/>
              </w:rPr>
            </w:pPr>
            <w:r>
              <w:rPr>
                <w:rFonts w:hint="eastAsia" w:ascii="宋体" w:hAnsi="宋体" w:cs="宋体"/>
                <w:szCs w:val="21"/>
              </w:rPr>
              <w:t>□重大变动重新报批项目</w:t>
            </w:r>
          </w:p>
        </w:tc>
      </w:tr>
      <w:tr w14:paraId="2659A5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3DA30C8C">
            <w:pPr>
              <w:wordWrap w:val="0"/>
              <w:jc w:val="center"/>
              <w:rPr>
                <w:b/>
                <w:bCs/>
                <w:szCs w:val="21"/>
              </w:rPr>
            </w:pPr>
            <w:r>
              <w:rPr>
                <w:rFonts w:hint="eastAsia"/>
                <w:b/>
                <w:bCs/>
                <w:szCs w:val="21"/>
              </w:rPr>
              <w:t>项目审批（核准</w:t>
            </w:r>
            <w:r>
              <w:rPr>
                <w:b/>
                <w:bCs/>
                <w:szCs w:val="21"/>
              </w:rPr>
              <w:t>/</w:t>
            </w:r>
          </w:p>
          <w:p w14:paraId="3EA78089">
            <w:pPr>
              <w:wordWrap w:val="0"/>
              <w:jc w:val="center"/>
              <w:rPr>
                <w:b/>
                <w:bCs/>
                <w:szCs w:val="21"/>
              </w:rPr>
            </w:pPr>
            <w:r>
              <w:rPr>
                <w:rFonts w:hint="eastAsia"/>
                <w:b/>
                <w:bCs/>
                <w:szCs w:val="21"/>
              </w:rPr>
              <w:t>备案）部门（选填）</w:t>
            </w:r>
          </w:p>
        </w:tc>
        <w:tc>
          <w:tcPr>
            <w:tcW w:w="1090" w:type="pct"/>
            <w:vAlign w:val="center"/>
          </w:tcPr>
          <w:p w14:paraId="5861F2A9">
            <w:pPr>
              <w:wordWrap w:val="0"/>
              <w:jc w:val="center"/>
              <w:rPr>
                <w:szCs w:val="21"/>
              </w:rPr>
            </w:pPr>
            <w:r>
              <w:rPr>
                <w:rFonts w:hint="eastAsia"/>
                <w:szCs w:val="21"/>
              </w:rPr>
              <w:t>湖南省发展和改革委员会</w:t>
            </w:r>
          </w:p>
        </w:tc>
        <w:tc>
          <w:tcPr>
            <w:tcW w:w="1245" w:type="pct"/>
            <w:vAlign w:val="center"/>
          </w:tcPr>
          <w:p w14:paraId="772A1DFE">
            <w:pPr>
              <w:wordWrap w:val="0"/>
              <w:jc w:val="center"/>
              <w:rPr>
                <w:b/>
                <w:bCs/>
                <w:szCs w:val="21"/>
              </w:rPr>
            </w:pPr>
            <w:r>
              <w:rPr>
                <w:rFonts w:hint="eastAsia"/>
                <w:b/>
                <w:bCs/>
                <w:szCs w:val="21"/>
              </w:rPr>
              <w:t>项目审批（核准</w:t>
            </w:r>
            <w:r>
              <w:rPr>
                <w:b/>
                <w:bCs/>
                <w:szCs w:val="21"/>
              </w:rPr>
              <w:t>/</w:t>
            </w:r>
          </w:p>
          <w:p w14:paraId="33D22DA6">
            <w:pPr>
              <w:wordWrap w:val="0"/>
              <w:jc w:val="center"/>
              <w:rPr>
                <w:b/>
                <w:bCs/>
                <w:szCs w:val="21"/>
              </w:rPr>
            </w:pPr>
            <w:r>
              <w:rPr>
                <w:rFonts w:hint="eastAsia"/>
                <w:b/>
                <w:bCs/>
                <w:szCs w:val="21"/>
              </w:rPr>
              <w:t>备案）文号（选填）</w:t>
            </w:r>
          </w:p>
        </w:tc>
        <w:tc>
          <w:tcPr>
            <w:tcW w:w="1493" w:type="pct"/>
            <w:vAlign w:val="center"/>
          </w:tcPr>
          <w:p w14:paraId="74BD17E5">
            <w:pPr>
              <w:wordWrap w:val="0"/>
              <w:jc w:val="center"/>
              <w:rPr>
                <w:szCs w:val="21"/>
              </w:rPr>
            </w:pPr>
            <w:r>
              <w:rPr>
                <w:rFonts w:hint="eastAsia"/>
                <w:szCs w:val="21"/>
              </w:rPr>
              <w:t>湘发改</w:t>
            </w:r>
            <w:r>
              <w:rPr>
                <w:rFonts w:hint="eastAsia"/>
                <w:szCs w:val="21"/>
                <w:lang w:val="en-US" w:eastAsia="zh-CN"/>
              </w:rPr>
              <w:t>许</w:t>
            </w:r>
            <w:r>
              <w:rPr>
                <w:rFonts w:hint="eastAsia"/>
                <w:szCs w:val="21"/>
              </w:rPr>
              <w:t>[</w:t>
            </w:r>
            <w:r>
              <w:rPr>
                <w:szCs w:val="21"/>
              </w:rPr>
              <w:t>202</w:t>
            </w:r>
            <w:r>
              <w:rPr>
                <w:rFonts w:hint="eastAsia"/>
                <w:szCs w:val="21"/>
                <w:lang w:val="en-US" w:eastAsia="zh-CN"/>
              </w:rPr>
              <w:t>3</w:t>
            </w:r>
            <w:r>
              <w:rPr>
                <w:szCs w:val="21"/>
              </w:rPr>
              <w:t>]</w:t>
            </w:r>
            <w:r>
              <w:rPr>
                <w:rFonts w:hint="eastAsia"/>
                <w:szCs w:val="21"/>
                <w:lang w:val="en-US" w:eastAsia="zh-CN"/>
              </w:rPr>
              <w:t>38</w:t>
            </w:r>
            <w:r>
              <w:rPr>
                <w:rFonts w:hint="eastAsia"/>
                <w:szCs w:val="21"/>
              </w:rPr>
              <w:t>号</w:t>
            </w:r>
          </w:p>
        </w:tc>
      </w:tr>
      <w:tr w14:paraId="4CEF9F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7BF403D5">
            <w:pPr>
              <w:wordWrap w:val="0"/>
              <w:spacing w:line="240" w:lineRule="auto"/>
              <w:jc w:val="center"/>
              <w:rPr>
                <w:b/>
                <w:bCs/>
                <w:szCs w:val="21"/>
              </w:rPr>
            </w:pPr>
            <w:r>
              <w:rPr>
                <w:b/>
                <w:bCs/>
                <w:szCs w:val="21"/>
              </w:rPr>
              <w:t>总投资（万元）</w:t>
            </w:r>
          </w:p>
        </w:tc>
        <w:tc>
          <w:tcPr>
            <w:tcW w:w="1090" w:type="pct"/>
            <w:vAlign w:val="center"/>
          </w:tcPr>
          <w:p w14:paraId="4570BA97">
            <w:pPr>
              <w:wordWrap w:val="0"/>
              <w:spacing w:line="360" w:lineRule="auto"/>
              <w:jc w:val="center"/>
              <w:rPr>
                <w:rFonts w:hint="default" w:eastAsia="宋体"/>
                <w:szCs w:val="21"/>
                <w:lang w:val="en-US" w:eastAsia="zh-CN"/>
              </w:rPr>
            </w:pPr>
            <w:r>
              <w:rPr>
                <w:rFonts w:hint="eastAsia"/>
                <w:szCs w:val="21"/>
                <w:lang w:val="en-US" w:eastAsia="zh-CN"/>
              </w:rPr>
              <w:t>58084.67</w:t>
            </w:r>
          </w:p>
        </w:tc>
        <w:tc>
          <w:tcPr>
            <w:tcW w:w="1245" w:type="pct"/>
            <w:tcMar>
              <w:top w:w="16" w:type="dxa"/>
              <w:left w:w="16" w:type="dxa"/>
              <w:right w:w="16" w:type="dxa"/>
            </w:tcMar>
            <w:vAlign w:val="center"/>
          </w:tcPr>
          <w:p w14:paraId="7B6FBFD9">
            <w:pPr>
              <w:wordWrap w:val="0"/>
              <w:spacing w:line="360" w:lineRule="auto"/>
              <w:jc w:val="center"/>
              <w:rPr>
                <w:b/>
                <w:bCs/>
                <w:szCs w:val="21"/>
              </w:rPr>
            </w:pPr>
            <w:r>
              <w:rPr>
                <w:b/>
                <w:bCs/>
                <w:szCs w:val="21"/>
              </w:rPr>
              <w:t>环保投资（万元）</w:t>
            </w:r>
          </w:p>
        </w:tc>
        <w:tc>
          <w:tcPr>
            <w:tcW w:w="1493" w:type="pct"/>
            <w:vAlign w:val="center"/>
          </w:tcPr>
          <w:p w14:paraId="2E22CDE3">
            <w:pPr>
              <w:wordWrap w:val="0"/>
              <w:spacing w:line="360" w:lineRule="auto"/>
              <w:jc w:val="center"/>
              <w:rPr>
                <w:rFonts w:hint="default" w:eastAsia="宋体"/>
                <w:szCs w:val="21"/>
                <w:lang w:val="en-US" w:eastAsia="zh-CN"/>
              </w:rPr>
            </w:pPr>
            <w:r>
              <w:rPr>
                <w:rFonts w:hint="eastAsia"/>
                <w:color w:val="auto"/>
                <w:szCs w:val="21"/>
                <w:lang w:val="en-US" w:eastAsia="zh-CN"/>
              </w:rPr>
              <w:t>3396.94</w:t>
            </w:r>
          </w:p>
        </w:tc>
      </w:tr>
      <w:tr w14:paraId="7ABB01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71" w:type="pct"/>
            <w:tcMar>
              <w:top w:w="16" w:type="dxa"/>
              <w:left w:w="16" w:type="dxa"/>
              <w:right w:w="16" w:type="dxa"/>
            </w:tcMar>
            <w:vAlign w:val="center"/>
          </w:tcPr>
          <w:p w14:paraId="50350D62">
            <w:pPr>
              <w:wordWrap w:val="0"/>
              <w:spacing w:line="240" w:lineRule="auto"/>
              <w:jc w:val="center"/>
              <w:rPr>
                <w:b/>
                <w:bCs/>
                <w:szCs w:val="21"/>
              </w:rPr>
            </w:pPr>
            <w:r>
              <w:rPr>
                <w:b/>
                <w:bCs/>
                <w:szCs w:val="21"/>
              </w:rPr>
              <w:t>环保投资占比（%）</w:t>
            </w:r>
          </w:p>
        </w:tc>
        <w:tc>
          <w:tcPr>
            <w:tcW w:w="1090" w:type="pct"/>
            <w:vAlign w:val="center"/>
          </w:tcPr>
          <w:p w14:paraId="4750FDA8">
            <w:pPr>
              <w:wordWrap w:val="0"/>
              <w:spacing w:line="360" w:lineRule="auto"/>
              <w:jc w:val="center"/>
              <w:rPr>
                <w:rFonts w:hint="default" w:eastAsia="宋体"/>
                <w:szCs w:val="21"/>
                <w:lang w:val="en-US" w:eastAsia="zh-CN"/>
              </w:rPr>
            </w:pPr>
            <w:r>
              <w:rPr>
                <w:rFonts w:hint="eastAsia"/>
                <w:color w:val="auto"/>
                <w:szCs w:val="21"/>
                <w:lang w:val="en-US" w:eastAsia="zh-CN"/>
              </w:rPr>
              <w:t>5.85</w:t>
            </w:r>
          </w:p>
        </w:tc>
        <w:tc>
          <w:tcPr>
            <w:tcW w:w="1245" w:type="pct"/>
            <w:tcMar>
              <w:top w:w="16" w:type="dxa"/>
              <w:left w:w="16" w:type="dxa"/>
              <w:right w:w="16" w:type="dxa"/>
            </w:tcMar>
            <w:vAlign w:val="center"/>
          </w:tcPr>
          <w:p w14:paraId="5201DE5B">
            <w:pPr>
              <w:wordWrap w:val="0"/>
              <w:spacing w:line="360" w:lineRule="auto"/>
              <w:jc w:val="center"/>
              <w:rPr>
                <w:b/>
                <w:bCs/>
                <w:szCs w:val="21"/>
              </w:rPr>
            </w:pPr>
            <w:r>
              <w:rPr>
                <w:b/>
                <w:bCs/>
                <w:szCs w:val="21"/>
              </w:rPr>
              <w:t>施工工期</w:t>
            </w:r>
          </w:p>
        </w:tc>
        <w:tc>
          <w:tcPr>
            <w:tcW w:w="1493" w:type="pct"/>
            <w:vAlign w:val="center"/>
          </w:tcPr>
          <w:p w14:paraId="328B0764">
            <w:pPr>
              <w:wordWrap w:val="0"/>
              <w:spacing w:line="360" w:lineRule="auto"/>
              <w:jc w:val="center"/>
              <w:rPr>
                <w:szCs w:val="21"/>
              </w:rPr>
            </w:pPr>
            <w:r>
              <w:rPr>
                <w:rFonts w:hint="eastAsia"/>
                <w:color w:val="auto"/>
                <w:szCs w:val="21"/>
                <w:lang w:val="en-US" w:eastAsia="zh-CN"/>
              </w:rPr>
              <w:t>2024年6月~2025年5月，1</w:t>
            </w:r>
            <w:r>
              <w:rPr>
                <w:rFonts w:hint="eastAsia"/>
                <w:color w:val="auto"/>
                <w:szCs w:val="21"/>
              </w:rPr>
              <w:t>2个月</w:t>
            </w:r>
          </w:p>
        </w:tc>
      </w:tr>
      <w:tr w14:paraId="08A7CE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71" w:type="pct"/>
            <w:tcMar>
              <w:top w:w="16" w:type="dxa"/>
              <w:left w:w="16" w:type="dxa"/>
              <w:right w:w="16" w:type="dxa"/>
            </w:tcMar>
            <w:vAlign w:val="center"/>
          </w:tcPr>
          <w:p w14:paraId="49FDD66E">
            <w:pPr>
              <w:adjustRightInd w:val="0"/>
              <w:snapToGrid w:val="0"/>
              <w:jc w:val="center"/>
              <w:rPr>
                <w:rFonts w:ascii="宋体" w:hAnsi="宋体" w:cs="宋体"/>
                <w:b/>
                <w:bCs/>
                <w:szCs w:val="21"/>
              </w:rPr>
            </w:pPr>
            <w:r>
              <w:rPr>
                <w:rFonts w:hint="eastAsia" w:ascii="宋体" w:hAnsi="宋体" w:cs="宋体"/>
                <w:b/>
                <w:bCs/>
                <w:szCs w:val="21"/>
              </w:rPr>
              <w:t>是否开工建设</w:t>
            </w:r>
          </w:p>
        </w:tc>
        <w:tc>
          <w:tcPr>
            <w:tcW w:w="3828" w:type="pct"/>
            <w:gridSpan w:val="3"/>
            <w:vAlign w:val="center"/>
          </w:tcPr>
          <w:p w14:paraId="5CDCC658">
            <w:pPr>
              <w:adjustRightInd w:val="0"/>
              <w:snapToGrid w:val="0"/>
              <w:rPr>
                <w:rFonts w:ascii="宋体" w:hAnsi="宋体" w:cs="宋体"/>
                <w:szCs w:val="21"/>
              </w:rPr>
            </w:pPr>
            <w:r>
              <w:rPr>
                <w:rFonts w:hint="eastAsia" w:ascii="宋体" w:hAnsi="宋体" w:cs="宋体"/>
                <w:szCs w:val="21"/>
              </w:rPr>
              <w:sym w:font="Wingdings 2" w:char="0052"/>
            </w:r>
            <w:r>
              <w:rPr>
                <w:rFonts w:hint="eastAsia" w:ascii="宋体" w:hAnsi="宋体" w:cs="宋体"/>
                <w:szCs w:val="21"/>
              </w:rPr>
              <w:t>否</w:t>
            </w:r>
          </w:p>
          <w:p w14:paraId="6B99093C">
            <w:pPr>
              <w:adjustRightInd w:val="0"/>
              <w:snapToGrid w:val="0"/>
              <w:rPr>
                <w:rFonts w:ascii="宋体" w:hAnsi="宋体" w:cs="宋体"/>
                <w:szCs w:val="21"/>
              </w:rPr>
            </w:pPr>
            <w:r>
              <w:rPr>
                <w:rFonts w:hint="eastAsia" w:ascii="宋体" w:hAnsi="宋体" w:cs="宋体"/>
                <w:szCs w:val="21"/>
              </w:rPr>
              <w:sym w:font="Wingdings 2" w:char="00A3"/>
            </w:r>
            <w:r>
              <w:rPr>
                <w:rFonts w:hint="eastAsia" w:ascii="宋体" w:hAnsi="宋体" w:cs="宋体"/>
                <w:szCs w:val="21"/>
              </w:rPr>
              <w:t>是：</w:t>
            </w:r>
          </w:p>
        </w:tc>
      </w:tr>
      <w:tr w14:paraId="1EFB7F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09EF0F3E">
            <w:pPr>
              <w:wordWrap w:val="0"/>
              <w:spacing w:line="240" w:lineRule="auto"/>
              <w:jc w:val="center"/>
              <w:rPr>
                <w:b/>
                <w:bCs/>
                <w:szCs w:val="21"/>
              </w:rPr>
            </w:pPr>
            <w:r>
              <w:rPr>
                <w:b/>
                <w:bCs/>
                <w:szCs w:val="21"/>
              </w:rPr>
              <w:t>专项评价设置情况</w:t>
            </w:r>
          </w:p>
        </w:tc>
        <w:tc>
          <w:tcPr>
            <w:tcW w:w="3828" w:type="pct"/>
            <w:gridSpan w:val="3"/>
            <w:vAlign w:val="center"/>
          </w:tcPr>
          <w:p w14:paraId="49F976CA">
            <w:pPr>
              <w:wordWrap w:val="0"/>
              <w:adjustRightInd w:val="0"/>
              <w:snapToGrid w:val="0"/>
              <w:spacing w:line="360" w:lineRule="auto"/>
              <w:jc w:val="left"/>
              <w:rPr>
                <w:rFonts w:hint="default" w:eastAsia="宋体"/>
                <w:color w:val="FF0000"/>
                <w:kern w:val="0"/>
                <w:szCs w:val="21"/>
                <w:u w:val="none"/>
                <w:lang w:val="en-US" w:eastAsia="zh-CN"/>
              </w:rPr>
            </w:pPr>
            <w:r>
              <w:rPr>
                <w:rFonts w:hint="eastAsia"/>
                <w:color w:val="FF0000"/>
                <w:kern w:val="0"/>
                <w:szCs w:val="21"/>
                <w:u w:val="none"/>
                <w:lang w:val="en-US" w:eastAsia="zh-CN"/>
              </w:rPr>
              <w:t>1、项目拟配套建设一座220kV升压站，属于“输变电工程”。根据《环境影响评价技术导则 输变电》（HJ24-2020），本次环评设置电磁环境影响评价专题。</w:t>
            </w:r>
          </w:p>
          <w:p w14:paraId="56243F14">
            <w:pPr>
              <w:wordWrap w:val="0"/>
              <w:adjustRightInd w:val="0"/>
              <w:snapToGrid w:val="0"/>
              <w:spacing w:line="360" w:lineRule="auto"/>
              <w:jc w:val="left"/>
              <w:rPr>
                <w:rFonts w:hint="default" w:eastAsia="宋体"/>
                <w:szCs w:val="21"/>
                <w:u w:val="single"/>
                <w:lang w:val="en-US" w:eastAsia="zh-CN"/>
              </w:rPr>
            </w:pPr>
            <w:r>
              <w:rPr>
                <w:rFonts w:hint="eastAsia"/>
                <w:color w:val="FF0000"/>
                <w:kern w:val="0"/>
                <w:szCs w:val="21"/>
                <w:u w:val="none"/>
                <w:lang w:val="en-US" w:eastAsia="zh-CN"/>
              </w:rPr>
              <w:t>2、考虑到项目运行过程中对鸟类迁徙可能造成的影响，本次环评设置了鸟类环境影响评价专题，该专题为单行本，同本环评报告表一并报送。</w:t>
            </w:r>
          </w:p>
        </w:tc>
      </w:tr>
      <w:tr w14:paraId="6C362C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489DE34A">
            <w:pPr>
              <w:wordWrap w:val="0"/>
              <w:spacing w:line="360" w:lineRule="auto"/>
              <w:jc w:val="center"/>
              <w:rPr>
                <w:b/>
                <w:bCs/>
                <w:szCs w:val="21"/>
              </w:rPr>
            </w:pPr>
            <w:r>
              <w:rPr>
                <w:b/>
                <w:bCs/>
                <w:szCs w:val="21"/>
              </w:rPr>
              <w:t>规划情况</w:t>
            </w:r>
          </w:p>
        </w:tc>
        <w:tc>
          <w:tcPr>
            <w:tcW w:w="3828" w:type="pct"/>
            <w:gridSpan w:val="3"/>
            <w:vAlign w:val="center"/>
          </w:tcPr>
          <w:p w14:paraId="412CA905">
            <w:pPr>
              <w:wordWrap w:val="0"/>
              <w:adjustRightInd w:val="0"/>
              <w:snapToGrid w:val="0"/>
              <w:spacing w:line="360" w:lineRule="auto"/>
              <w:jc w:val="center"/>
              <w:rPr>
                <w:rFonts w:hint="eastAsia" w:eastAsia="宋体"/>
                <w:szCs w:val="21"/>
                <w:lang w:val="en-US" w:eastAsia="zh-CN"/>
              </w:rPr>
            </w:pPr>
            <w:r>
              <w:rPr>
                <w:rFonts w:hint="eastAsia"/>
                <w:szCs w:val="21"/>
                <w:lang w:val="en-US" w:eastAsia="zh-CN"/>
              </w:rPr>
              <w:t>无</w:t>
            </w:r>
          </w:p>
        </w:tc>
      </w:tr>
      <w:tr w14:paraId="1E2ED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316AC1C0">
            <w:pPr>
              <w:adjustRightInd w:val="0"/>
              <w:snapToGrid w:val="0"/>
              <w:jc w:val="center"/>
              <w:rPr>
                <w:b/>
                <w:bCs/>
                <w:kern w:val="0"/>
                <w:szCs w:val="21"/>
              </w:rPr>
            </w:pPr>
            <w:r>
              <w:rPr>
                <w:b/>
                <w:bCs/>
                <w:szCs w:val="21"/>
              </w:rPr>
              <w:t>规划环境影响评价情况</w:t>
            </w:r>
          </w:p>
        </w:tc>
        <w:tc>
          <w:tcPr>
            <w:tcW w:w="3828" w:type="pct"/>
            <w:gridSpan w:val="3"/>
            <w:vAlign w:val="center"/>
          </w:tcPr>
          <w:p w14:paraId="0349F55C">
            <w:pPr>
              <w:wordWrap w:val="0"/>
              <w:spacing w:line="360" w:lineRule="auto"/>
              <w:jc w:val="center"/>
              <w:rPr>
                <w:kern w:val="0"/>
                <w:szCs w:val="21"/>
              </w:rPr>
            </w:pPr>
            <w:r>
              <w:rPr>
                <w:rFonts w:hint="eastAsia"/>
                <w:kern w:val="0"/>
                <w:szCs w:val="21"/>
              </w:rPr>
              <w:t>无</w:t>
            </w:r>
          </w:p>
        </w:tc>
      </w:tr>
      <w:tr w14:paraId="2FB0C5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659B45D9">
            <w:pPr>
              <w:autoSpaceDE w:val="0"/>
              <w:autoSpaceDN w:val="0"/>
              <w:adjustRightInd w:val="0"/>
              <w:snapToGrid w:val="0"/>
              <w:jc w:val="center"/>
              <w:rPr>
                <w:b/>
                <w:bCs/>
                <w:kern w:val="0"/>
                <w:szCs w:val="21"/>
              </w:rPr>
            </w:pPr>
            <w:r>
              <w:rPr>
                <w:b/>
                <w:bCs/>
                <w:kern w:val="0"/>
                <w:szCs w:val="21"/>
              </w:rPr>
              <w:t>规划及规划环境影响评价符合性分析</w:t>
            </w:r>
          </w:p>
        </w:tc>
        <w:tc>
          <w:tcPr>
            <w:tcW w:w="3828" w:type="pct"/>
            <w:gridSpan w:val="3"/>
            <w:vAlign w:val="center"/>
          </w:tcPr>
          <w:p w14:paraId="4A723B6F">
            <w:pPr>
              <w:wordWrap w:val="0"/>
              <w:spacing w:line="360" w:lineRule="auto"/>
              <w:jc w:val="center"/>
              <w:rPr>
                <w:kern w:val="0"/>
                <w:szCs w:val="21"/>
              </w:rPr>
            </w:pPr>
            <w:r>
              <w:rPr>
                <w:rFonts w:hint="eastAsia"/>
                <w:kern w:val="0"/>
                <w:szCs w:val="21"/>
              </w:rPr>
              <w:t>无</w:t>
            </w:r>
          </w:p>
        </w:tc>
      </w:tr>
      <w:tr w14:paraId="5AB60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vAlign w:val="center"/>
          </w:tcPr>
          <w:p w14:paraId="2778AD5B">
            <w:pPr>
              <w:autoSpaceDE w:val="0"/>
              <w:autoSpaceDN w:val="0"/>
              <w:adjustRightInd w:val="0"/>
              <w:snapToGrid w:val="0"/>
              <w:jc w:val="center"/>
              <w:rPr>
                <w:kern w:val="0"/>
                <w:szCs w:val="21"/>
              </w:rPr>
            </w:pPr>
            <w:r>
              <w:rPr>
                <w:b/>
                <w:bCs/>
                <w:kern w:val="0"/>
                <w:szCs w:val="21"/>
              </w:rPr>
              <w:t>其他符合性分析</w:t>
            </w:r>
          </w:p>
        </w:tc>
        <w:tc>
          <w:tcPr>
            <w:tcW w:w="3828" w:type="pct"/>
            <w:gridSpan w:val="3"/>
            <w:vAlign w:val="center"/>
          </w:tcPr>
          <w:p w14:paraId="03EB0F72">
            <w:pPr>
              <w:autoSpaceDE w:val="0"/>
              <w:autoSpaceDN w:val="0"/>
              <w:spacing w:line="360" w:lineRule="auto"/>
              <w:rPr>
                <w:b/>
                <w:bCs/>
                <w:kern w:val="0"/>
                <w:sz w:val="24"/>
              </w:rPr>
            </w:pPr>
            <w:r>
              <w:rPr>
                <w:b/>
                <w:bCs/>
                <w:kern w:val="0"/>
                <w:sz w:val="24"/>
              </w:rPr>
              <w:t>1</w:t>
            </w:r>
            <w:r>
              <w:rPr>
                <w:rFonts w:hint="eastAsia"/>
                <w:b/>
                <w:bCs/>
                <w:kern w:val="0"/>
                <w:sz w:val="24"/>
                <w:lang w:eastAsia="zh-CN"/>
              </w:rPr>
              <w:t>、</w:t>
            </w:r>
            <w:r>
              <w:rPr>
                <w:rFonts w:hint="eastAsia"/>
                <w:b/>
                <w:bCs/>
                <w:kern w:val="0"/>
                <w:sz w:val="24"/>
              </w:rPr>
              <w:t>产业政策符合性分析</w:t>
            </w:r>
          </w:p>
          <w:p w14:paraId="60DC92A5">
            <w:pPr>
              <w:autoSpaceDE w:val="0"/>
              <w:autoSpaceDN w:val="0"/>
              <w:spacing w:line="360" w:lineRule="auto"/>
              <w:ind w:firstLine="480" w:firstLineChars="200"/>
              <w:rPr>
                <w:rFonts w:hAnsi="宋体"/>
                <w:color w:val="FF0000"/>
                <w:sz w:val="24"/>
              </w:rPr>
            </w:pPr>
            <w:r>
              <w:rPr>
                <w:rFonts w:hAnsi="宋体"/>
                <w:color w:val="FF0000"/>
                <w:sz w:val="24"/>
              </w:rPr>
              <w:t>根据《产业结构调整指导目录》</w:t>
            </w:r>
            <w:r>
              <w:rPr>
                <w:rFonts w:hint="eastAsia" w:hAnsi="宋体"/>
                <w:color w:val="FF0000"/>
                <w:sz w:val="24"/>
                <w:lang w:eastAsia="zh-CN"/>
              </w:rPr>
              <w:t>（</w:t>
            </w:r>
            <w:r>
              <w:rPr>
                <w:rFonts w:hint="eastAsia" w:hAnsi="宋体"/>
                <w:color w:val="FF0000"/>
                <w:sz w:val="24"/>
                <w:lang w:val="en-US" w:eastAsia="zh-CN"/>
              </w:rPr>
              <w:t>2024年本）</w:t>
            </w:r>
            <w:r>
              <w:rPr>
                <w:rFonts w:hAnsi="宋体"/>
                <w:color w:val="FF0000"/>
                <w:kern w:val="0"/>
                <w:sz w:val="24"/>
              </w:rPr>
              <w:t>，</w:t>
            </w:r>
            <w:r>
              <w:rPr>
                <w:rFonts w:hAnsi="宋体"/>
                <w:bCs/>
                <w:color w:val="FF0000"/>
                <w:sz w:val="24"/>
              </w:rPr>
              <w:t>本项目</w:t>
            </w:r>
            <w:r>
              <w:rPr>
                <w:rFonts w:hint="eastAsia" w:hAnsi="宋体"/>
                <w:bCs/>
                <w:color w:val="FF0000"/>
                <w:sz w:val="24"/>
                <w:lang w:val="en-US" w:eastAsia="zh-CN"/>
              </w:rPr>
              <w:t>属于鼓励类中“五、新能源”“1、风力发电技术与应用”的“高原、山区风电场建设与设备生产制造”。</w:t>
            </w:r>
            <w:r>
              <w:rPr>
                <w:rFonts w:hAnsi="宋体"/>
                <w:color w:val="FF0000"/>
                <w:sz w:val="24"/>
              </w:rPr>
              <w:t>对照《限制用地项目目录（</w:t>
            </w:r>
            <w:r>
              <w:rPr>
                <w:color w:val="FF0000"/>
                <w:sz w:val="24"/>
              </w:rPr>
              <w:t>2012</w:t>
            </w:r>
            <w:r>
              <w:rPr>
                <w:rFonts w:hAnsi="宋体"/>
                <w:color w:val="FF0000"/>
                <w:sz w:val="24"/>
              </w:rPr>
              <w:t>年本）》和《禁止用地项目目录（</w:t>
            </w:r>
            <w:r>
              <w:rPr>
                <w:color w:val="FF0000"/>
                <w:sz w:val="24"/>
              </w:rPr>
              <w:t>2012</w:t>
            </w:r>
            <w:r>
              <w:rPr>
                <w:rFonts w:hAnsi="宋体"/>
                <w:color w:val="FF0000"/>
                <w:sz w:val="24"/>
              </w:rPr>
              <w:t>年本）》，本项目不属于限制及禁止类用地项目。</w:t>
            </w:r>
            <w:r>
              <w:rPr>
                <w:rFonts w:hint="eastAsia" w:hAnsi="宋体"/>
                <w:color w:val="FF0000"/>
                <w:sz w:val="24"/>
                <w:lang w:val="en-US" w:eastAsia="zh-CN"/>
              </w:rPr>
              <w:t>此外，项目经与《市场准入负面清单（2022年版）》（发改体改规[2022]397号）对照（符合性分析表见表1-1），不属于禁止准入项目。</w:t>
            </w:r>
            <w:r>
              <w:rPr>
                <w:rFonts w:hAnsi="宋体"/>
                <w:color w:val="FF0000"/>
                <w:sz w:val="24"/>
              </w:rPr>
              <w:t>因此，本项目建设符合国家产业政策。</w:t>
            </w:r>
          </w:p>
          <w:p w14:paraId="781F81A2">
            <w:pPr>
              <w:pStyle w:val="62"/>
              <w:spacing w:line="240" w:lineRule="auto"/>
              <w:ind w:firstLine="0" w:firstLineChars="0"/>
              <w:jc w:val="center"/>
              <w:rPr>
                <w:rFonts w:hint="default" w:ascii="Times New Roman" w:hAnsi="Times New Roman" w:cs="Times New Roman"/>
                <w:b/>
                <w:bCs/>
                <w:color w:val="FF0000"/>
                <w:sz w:val="21"/>
                <w:szCs w:val="21"/>
                <w:lang w:val="en-US" w:eastAsia="zh-CN"/>
              </w:rPr>
            </w:pPr>
            <w:r>
              <w:rPr>
                <w:rFonts w:hint="eastAsia" w:ascii="Times New Roman" w:hAnsi="Times New Roman" w:cs="Times New Roman"/>
                <w:b/>
                <w:bCs/>
                <w:color w:val="FF0000"/>
                <w:sz w:val="21"/>
                <w:szCs w:val="21"/>
                <w:lang w:val="en-US" w:eastAsia="zh-CN"/>
              </w:rPr>
              <w:t>表1-1  与《市场准入负面清单（2022年版）》的符合性分析</w:t>
            </w:r>
          </w:p>
          <w:tbl>
            <w:tblPr>
              <w:tblStyle w:val="3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0"/>
              <w:gridCol w:w="645"/>
              <w:gridCol w:w="3360"/>
              <w:gridCol w:w="2485"/>
            </w:tblGrid>
            <w:tr w14:paraId="316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tcBorders>
                    <w:top w:val="single" w:color="auto" w:sz="12" w:space="0"/>
                    <w:left w:val="nil"/>
                  </w:tcBorders>
                  <w:vAlign w:val="center"/>
                </w:tcPr>
                <w:p w14:paraId="0D55C78E">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类别</w:t>
                  </w:r>
                </w:p>
              </w:tc>
              <w:tc>
                <w:tcPr>
                  <w:tcW w:w="645" w:type="dxa"/>
                  <w:tcBorders>
                    <w:top w:val="single" w:color="auto" w:sz="12" w:space="0"/>
                  </w:tcBorders>
                  <w:vAlign w:val="center"/>
                </w:tcPr>
                <w:p w14:paraId="6BE436DD">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序号</w:t>
                  </w:r>
                </w:p>
              </w:tc>
              <w:tc>
                <w:tcPr>
                  <w:tcW w:w="3360" w:type="dxa"/>
                  <w:tcBorders>
                    <w:top w:val="single" w:color="auto" w:sz="12" w:space="0"/>
                  </w:tcBorders>
                  <w:vAlign w:val="center"/>
                </w:tcPr>
                <w:p w14:paraId="052E8251">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禁止或许可准入措施描述</w:t>
                  </w:r>
                </w:p>
              </w:tc>
              <w:tc>
                <w:tcPr>
                  <w:tcW w:w="2485" w:type="dxa"/>
                  <w:tcBorders>
                    <w:top w:val="single" w:color="auto" w:sz="12" w:space="0"/>
                    <w:right w:val="nil"/>
                  </w:tcBorders>
                  <w:vAlign w:val="center"/>
                </w:tcPr>
                <w:p w14:paraId="430D8220">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项目情况</w:t>
                  </w:r>
                </w:p>
              </w:tc>
            </w:tr>
            <w:tr w14:paraId="4E520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vMerge w:val="restart"/>
                  <w:tcBorders>
                    <w:left w:val="nil"/>
                  </w:tcBorders>
                  <w:vAlign w:val="center"/>
                </w:tcPr>
                <w:p w14:paraId="0BD55A3F">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一、禁止准入</w:t>
                  </w:r>
                </w:p>
              </w:tc>
              <w:tc>
                <w:tcPr>
                  <w:tcW w:w="645" w:type="dxa"/>
                  <w:vAlign w:val="center"/>
                </w:tcPr>
                <w:p w14:paraId="76DA34BB">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1</w:t>
                  </w:r>
                </w:p>
              </w:tc>
              <w:tc>
                <w:tcPr>
                  <w:tcW w:w="3360" w:type="dxa"/>
                  <w:vAlign w:val="center"/>
                </w:tcPr>
                <w:p w14:paraId="1A1BBA59">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Ansi="宋体" w:eastAsia="宋体" w:cs="Times New Roman"/>
                      <w:bCs/>
                      <w:sz w:val="18"/>
                      <w:szCs w:val="18"/>
                    </w:rPr>
                  </w:pPr>
                  <w:r>
                    <w:rPr>
                      <w:rFonts w:hint="default" w:hAnsi="宋体" w:eastAsia="宋体" w:cs="Times New Roman"/>
                      <w:bCs/>
                      <w:sz w:val="18"/>
                      <w:szCs w:val="18"/>
                    </w:rPr>
                    <w:t>法律、法规、国务院决定等明确设立且与市场准入相关的禁止性规定涉及矿山开采的相关要求有：禁止占用耕地建窑、建坟或者擅自在耕地上建房、挖沙、采石、采矿、取土等；禁止在大坝管理和保护范围内从事爆破、打井、采石、采矿、挖沙、取土、修坟等危害大坝安全的活动；禁止在作战工程安全保护范围内进行开山采石、采矿、爆破等危害作战工程安全和使用效能的活动。</w:t>
                  </w:r>
                </w:p>
              </w:tc>
              <w:tc>
                <w:tcPr>
                  <w:tcW w:w="2485" w:type="dxa"/>
                  <w:tcBorders>
                    <w:right w:val="nil"/>
                  </w:tcBorders>
                  <w:vAlign w:val="center"/>
                </w:tcPr>
                <w:p w14:paraId="6333C27A">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根据耒阳市各部门关于本项目的选址意见（见附件5、附件9、附件12），项目不涉及占用基本农田，不涉及大坝管理和保护区，也不涉及作战工程安全保护范围</w:t>
                  </w:r>
                </w:p>
              </w:tc>
            </w:tr>
            <w:tr w14:paraId="59552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vMerge w:val="continue"/>
                  <w:tcBorders>
                    <w:left w:val="nil"/>
                  </w:tcBorders>
                  <w:vAlign w:val="center"/>
                </w:tcPr>
                <w:p w14:paraId="10C45773">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Ansi="宋体" w:eastAsia="宋体" w:cs="Times New Roman"/>
                      <w:bCs/>
                      <w:sz w:val="18"/>
                      <w:szCs w:val="18"/>
                    </w:rPr>
                  </w:pPr>
                </w:p>
              </w:tc>
              <w:tc>
                <w:tcPr>
                  <w:tcW w:w="645" w:type="dxa"/>
                  <w:vAlign w:val="center"/>
                </w:tcPr>
                <w:p w14:paraId="4CC18E3A">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2</w:t>
                  </w:r>
                </w:p>
              </w:tc>
              <w:tc>
                <w:tcPr>
                  <w:tcW w:w="3360" w:type="dxa"/>
                  <w:vAlign w:val="center"/>
                </w:tcPr>
                <w:p w14:paraId="0F319D35">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国家产业政策明令淘汰和限制的产品、技术、工艺、设备及行为</w:t>
                  </w:r>
                </w:p>
              </w:tc>
              <w:tc>
                <w:tcPr>
                  <w:tcW w:w="2485" w:type="dxa"/>
                  <w:tcBorders>
                    <w:right w:val="nil"/>
                  </w:tcBorders>
                  <w:vAlign w:val="center"/>
                </w:tcPr>
                <w:p w14:paraId="0A304E6C">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项目不含产业政策明令淘汰和限制的产品、技术、工艺、设备及行为</w:t>
                  </w:r>
                </w:p>
              </w:tc>
            </w:tr>
            <w:tr w14:paraId="1270E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vMerge w:val="continue"/>
                  <w:tcBorders>
                    <w:left w:val="nil"/>
                  </w:tcBorders>
                  <w:vAlign w:val="center"/>
                </w:tcPr>
                <w:p w14:paraId="2B6C790A">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Ansi="宋体" w:eastAsia="宋体" w:cs="Times New Roman"/>
                      <w:bCs/>
                      <w:sz w:val="18"/>
                      <w:szCs w:val="18"/>
                    </w:rPr>
                  </w:pPr>
                </w:p>
              </w:tc>
              <w:tc>
                <w:tcPr>
                  <w:tcW w:w="645" w:type="dxa"/>
                  <w:vAlign w:val="center"/>
                </w:tcPr>
                <w:p w14:paraId="167E30DD">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hAnsi="宋体" w:eastAsia="宋体" w:cs="Times New Roman"/>
                      <w:bCs/>
                      <w:sz w:val="18"/>
                      <w:szCs w:val="18"/>
                      <w:lang w:val="en-US" w:eastAsia="zh-CN"/>
                    </w:rPr>
                  </w:pPr>
                  <w:r>
                    <w:rPr>
                      <w:rFonts w:hint="eastAsia" w:hAnsi="宋体" w:eastAsia="宋体" w:cs="Times New Roman"/>
                      <w:bCs/>
                      <w:sz w:val="18"/>
                      <w:szCs w:val="18"/>
                      <w:lang w:val="en-US" w:eastAsia="zh-CN"/>
                    </w:rPr>
                    <w:t>3</w:t>
                  </w:r>
                </w:p>
              </w:tc>
              <w:tc>
                <w:tcPr>
                  <w:tcW w:w="3360" w:type="dxa"/>
                  <w:vAlign w:val="center"/>
                </w:tcPr>
                <w:p w14:paraId="02C1DA4D">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不符合主体功能区建设要求的各类开发活动</w:t>
                  </w:r>
                </w:p>
              </w:tc>
              <w:tc>
                <w:tcPr>
                  <w:tcW w:w="2485" w:type="dxa"/>
                  <w:tcBorders>
                    <w:right w:val="nil"/>
                  </w:tcBorders>
                  <w:vAlign w:val="center"/>
                </w:tcPr>
                <w:p w14:paraId="4ED4C94D">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项目符合《湖南省主体功能区划》</w:t>
                  </w:r>
                </w:p>
              </w:tc>
            </w:tr>
            <w:tr w14:paraId="1B713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0" w:type="dxa"/>
                  <w:tcBorders>
                    <w:left w:val="nil"/>
                    <w:bottom w:val="single" w:color="auto" w:sz="12" w:space="0"/>
                  </w:tcBorders>
                  <w:vAlign w:val="center"/>
                </w:tcPr>
                <w:p w14:paraId="1B57507B">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二、许可准入类</w:t>
                  </w:r>
                </w:p>
              </w:tc>
              <w:tc>
                <w:tcPr>
                  <w:tcW w:w="645" w:type="dxa"/>
                  <w:tcBorders>
                    <w:bottom w:val="single" w:color="auto" w:sz="12" w:space="0"/>
                  </w:tcBorders>
                  <w:vAlign w:val="center"/>
                </w:tcPr>
                <w:p w14:paraId="6EB194E3">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电力、热力、燃气及水生产和供应业</w:t>
                  </w:r>
                </w:p>
              </w:tc>
              <w:tc>
                <w:tcPr>
                  <w:tcW w:w="3360" w:type="dxa"/>
                  <w:tcBorders>
                    <w:bottom w:val="single" w:color="auto" w:sz="12" w:space="0"/>
                  </w:tcBorders>
                  <w:vAlign w:val="center"/>
                </w:tcPr>
                <w:p w14:paraId="31E00CAE">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未获得许可，不得从事电力和市政公用领域特定业务</w:t>
                  </w:r>
                </w:p>
              </w:tc>
              <w:tc>
                <w:tcPr>
                  <w:tcW w:w="2485" w:type="dxa"/>
                  <w:tcBorders>
                    <w:bottom w:val="single" w:color="auto" w:sz="12" w:space="0"/>
                    <w:right w:val="nil"/>
                  </w:tcBorders>
                  <w:vAlign w:val="center"/>
                </w:tcPr>
                <w:p w14:paraId="263B6EE3">
                  <w:pPr>
                    <w:pStyle w:val="62"/>
                    <w:keepNext w:val="0"/>
                    <w:keepLines w:val="0"/>
                    <w:pageBreakBefore w:val="0"/>
                    <w:widowControl/>
                    <w:kinsoku/>
                    <w:wordWrap/>
                    <w:overflowPunct/>
                    <w:topLinePunct w:val="0"/>
                    <w:autoSpaceDE/>
                    <w:autoSpaceDN/>
                    <w:bidi w:val="0"/>
                    <w:adjustRightInd w:val="0"/>
                    <w:snapToGrid w:val="0"/>
                    <w:spacing w:line="240" w:lineRule="auto"/>
                    <w:ind w:firstLine="0" w:firstLineChars="0"/>
                    <w:jc w:val="both"/>
                    <w:textAlignment w:val="auto"/>
                    <w:rPr>
                      <w:rFonts w:hint="default" w:hAnsi="宋体" w:eastAsia="宋体" w:cs="Times New Roman"/>
                      <w:bCs/>
                      <w:sz w:val="18"/>
                      <w:szCs w:val="18"/>
                      <w:lang w:val="en-US" w:eastAsia="zh-CN"/>
                    </w:rPr>
                  </w:pPr>
                  <w:r>
                    <w:rPr>
                      <w:rFonts w:hint="eastAsia" w:hAnsi="宋体" w:eastAsia="宋体" w:cs="Times New Roman"/>
                      <w:bCs/>
                      <w:sz w:val="18"/>
                      <w:szCs w:val="18"/>
                      <w:lang w:val="en-US" w:eastAsia="zh-CN"/>
                    </w:rPr>
                    <w:t>本项目于2022年列入《湖南省发展和改革委员会关于同意全省“十四五”第一批风电、集中式光伏发电项目开发建设的复函》（湘发改函[2022]52号）；同时本项目于2023年取得了《湖南省发展和改革委员会关于核准耒阳市导子东湖风电场项目的批复》（湘发改许[2023]38号）</w:t>
                  </w:r>
                </w:p>
              </w:tc>
            </w:tr>
          </w:tbl>
          <w:p w14:paraId="0E5B7357">
            <w:pPr>
              <w:pStyle w:val="2"/>
              <w:spacing w:after="0" w:line="360" w:lineRule="auto"/>
              <w:rPr>
                <w:rFonts w:hint="default"/>
                <w:b/>
                <w:bCs/>
                <w:color w:val="FF0000"/>
                <w:kern w:val="0"/>
                <w:sz w:val="24"/>
                <w:lang w:val="en-US" w:eastAsia="zh-CN"/>
              </w:rPr>
            </w:pPr>
            <w:r>
              <w:rPr>
                <w:rFonts w:hint="eastAsia"/>
                <w:b/>
                <w:bCs/>
                <w:color w:val="FF0000"/>
                <w:kern w:val="0"/>
                <w:sz w:val="24"/>
                <w:lang w:val="en-US" w:eastAsia="zh-CN"/>
              </w:rPr>
              <w:t>2、与风电发展相关政策文件的符合性分析</w:t>
            </w:r>
          </w:p>
          <w:p w14:paraId="27A69054">
            <w:pPr>
              <w:autoSpaceDE w:val="0"/>
              <w:autoSpaceDN w:val="0"/>
              <w:spacing w:line="360" w:lineRule="auto"/>
              <w:ind w:firstLine="480" w:firstLineChars="200"/>
              <w:rPr>
                <w:rFonts w:hint="default" w:ascii="Times New Roman" w:hAnsi="宋体" w:cs="Times New Roman"/>
                <w:color w:val="FF0000"/>
                <w:sz w:val="24"/>
                <w:lang w:val="en-US" w:eastAsia="zh-CN"/>
              </w:rPr>
            </w:pP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1</w:t>
            </w: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与《关于进一步规范风电发展的通知》（湘发改能源[2016]822号）的符合性分析</w:t>
            </w:r>
          </w:p>
          <w:p w14:paraId="5420FF4C">
            <w:pPr>
              <w:pStyle w:val="62"/>
              <w:spacing w:line="360" w:lineRule="auto"/>
              <w:ind w:firstLine="480" w:firstLineChars="200"/>
              <w:jc w:val="both"/>
              <w:rPr>
                <w:rFonts w:hint="default" w:hAnsi="宋体"/>
                <w:color w:val="FF0000"/>
                <w:sz w:val="24"/>
                <w:lang w:val="en-US" w:eastAsia="zh-CN"/>
              </w:rPr>
            </w:pPr>
            <w:r>
              <w:rPr>
                <w:rFonts w:hint="eastAsia" w:hAnsi="宋体"/>
                <w:color w:val="FF0000"/>
                <w:sz w:val="24"/>
                <w:lang w:val="en-US" w:eastAsia="zh-CN"/>
              </w:rPr>
              <w:t>经查询，耒阳市境内无世界文化和自然遗产地；湖南耒水国家湿地公园位于耒阳市城区东面，南至蔡伦竹海旅游风景区，北至耒水耒阳市与衡南交界处，由南向北呈狭长型廊道走向，南北长约45公里，东西垂直宽约11公里，与项目区域距离约15km；耒阳市风景名胜区主要有猴憩仙风景名胜区和寨下风景名胜区，其中猴憩仙风景名胜区位于耒阳市三都镇与郴州市永兴县樟树镇交界处，与项目区域距离约10km，寨下风景名胜区位于耒阳市坛下乡，与项目区域距离约30km；耒阳市红豆杉县级自然保护区位于耒阳市长坛乡，现有国家一级保护珍稀植物南方红豆杉383株，与项目区域距离约30km；与炎陵县牛头坳候鸟迁徙通道、桂东县白沙坳候鸟迁徙通道、桂东县南风坳候鸟迁徙通道、桂东县寒口坳候鸟迁徙通道、槎溪-罗洪候鸟迁徙通道、隆回县屏风界候鸟迁徙通道、茶园-羊古坳候鸟迁徙通道、蓝山县南风坳候鸟迁徙通道、蓝山县四海坪候鸟迁徙通道、蓝山县军田候鸟迁徙通道、城步县大竹山候鸟迁徙通道、新宁县黄沙塘候鸟迁徙通道等湖南省候鸟迁徙通道均距离较远；同时根据耒阳市人民政府出具的耒阳市导子东湖风电场项目与耒阳市“三区三线”划定成果套合示意图（见附图7），项目区域不涉及生态保护红线以及公益林等。</w:t>
            </w:r>
          </w:p>
          <w:p w14:paraId="42201A6A">
            <w:pPr>
              <w:pStyle w:val="62"/>
              <w:spacing w:line="360" w:lineRule="auto"/>
              <w:ind w:firstLine="480" w:firstLineChars="200"/>
              <w:jc w:val="both"/>
              <w:rPr>
                <w:rFonts w:hint="eastAsia" w:hAnsi="宋体"/>
                <w:color w:val="FF0000"/>
                <w:sz w:val="24"/>
                <w:lang w:eastAsia="zh-CN"/>
              </w:rPr>
            </w:pPr>
            <w:r>
              <w:rPr>
                <w:rFonts w:hint="eastAsia" w:hAnsi="宋体"/>
                <w:color w:val="FF0000"/>
                <w:sz w:val="24"/>
                <w:lang w:val="en-US" w:eastAsia="zh-CN"/>
              </w:rPr>
              <w:t>因此</w:t>
            </w:r>
            <w:r>
              <w:rPr>
                <w:rFonts w:hint="eastAsia" w:hAnsi="宋体"/>
                <w:color w:val="FF0000"/>
                <w:sz w:val="24"/>
                <w:lang w:eastAsia="zh-CN"/>
              </w:rPr>
              <w:t>本项目</w:t>
            </w:r>
            <w:r>
              <w:rPr>
                <w:rFonts w:hint="eastAsia" w:hAnsi="宋体"/>
                <w:color w:val="FF0000"/>
                <w:sz w:val="24"/>
                <w:lang w:val="en-US" w:eastAsia="zh-CN"/>
              </w:rPr>
              <w:t>不涉及世界文化与自然遗产地、自然保护区、风景名胜区、生态红线以及公益林等禁止建设区域，也不涉及湿地公园、地质公园、旅游景区、鸟类主要迁徙通道等严格控制区域，</w:t>
            </w:r>
            <w:r>
              <w:rPr>
                <w:rFonts w:hint="eastAsia" w:hAnsi="宋体"/>
                <w:color w:val="FF0000"/>
                <w:sz w:val="24"/>
                <w:lang w:eastAsia="zh-CN"/>
              </w:rPr>
              <w:t>符合《关于进一步规范风电发展的通知》（湘发改能源</w:t>
            </w:r>
            <w:r>
              <w:rPr>
                <w:rFonts w:hint="eastAsia" w:hAnsi="宋体"/>
                <w:color w:val="FF0000"/>
                <w:sz w:val="24"/>
                <w:lang w:val="en-US" w:eastAsia="zh-CN"/>
              </w:rPr>
              <w:t>[</w:t>
            </w:r>
            <w:r>
              <w:rPr>
                <w:rFonts w:hint="eastAsia" w:hAnsi="宋体"/>
                <w:color w:val="FF0000"/>
                <w:sz w:val="24"/>
                <w:lang w:eastAsia="zh-CN"/>
              </w:rPr>
              <w:t>2016</w:t>
            </w:r>
            <w:r>
              <w:rPr>
                <w:rFonts w:hint="eastAsia" w:hAnsi="宋体"/>
                <w:color w:val="FF0000"/>
                <w:sz w:val="24"/>
                <w:lang w:val="en-US" w:eastAsia="zh-CN"/>
              </w:rPr>
              <w:t>]</w:t>
            </w:r>
            <w:r>
              <w:rPr>
                <w:rFonts w:hint="eastAsia" w:hAnsi="宋体"/>
                <w:color w:val="FF0000"/>
                <w:sz w:val="24"/>
                <w:lang w:eastAsia="zh-CN"/>
              </w:rPr>
              <w:t>822号）中相关内容。</w:t>
            </w:r>
          </w:p>
          <w:p w14:paraId="2AB038BD">
            <w:pPr>
              <w:pStyle w:val="62"/>
              <w:spacing w:line="276" w:lineRule="auto"/>
              <w:ind w:firstLine="0" w:firstLineChars="0"/>
              <w:jc w:val="center"/>
              <w:rPr>
                <w:color w:val="FF0000"/>
              </w:rPr>
            </w:pPr>
            <w:r>
              <w:rPr>
                <w:rFonts w:hint="eastAsia" w:cs="Times New Roman"/>
                <w:b/>
                <w:bCs/>
                <w:color w:val="FF0000"/>
                <w:sz w:val="21"/>
                <w:szCs w:val="21"/>
              </w:rPr>
              <w:t>表1-</w:t>
            </w:r>
            <w:r>
              <w:rPr>
                <w:rFonts w:hint="eastAsia" w:cs="Times New Roman"/>
                <w:b/>
                <w:bCs/>
                <w:color w:val="FF0000"/>
                <w:sz w:val="21"/>
                <w:szCs w:val="21"/>
                <w:lang w:val="en-US" w:eastAsia="zh-CN"/>
              </w:rPr>
              <w:t xml:space="preserve">2  </w:t>
            </w:r>
            <w:r>
              <w:rPr>
                <w:rFonts w:hint="eastAsia" w:cs="Times New Roman"/>
                <w:b/>
                <w:bCs/>
                <w:color w:val="FF0000"/>
                <w:sz w:val="21"/>
                <w:szCs w:val="21"/>
              </w:rPr>
              <w:t>与湘发改能源</w:t>
            </w:r>
            <w:r>
              <w:rPr>
                <w:rFonts w:hint="eastAsia" w:cs="Times New Roman"/>
                <w:b/>
                <w:bCs/>
                <w:color w:val="FF0000"/>
                <w:sz w:val="21"/>
                <w:szCs w:val="21"/>
                <w:lang w:val="en-US" w:eastAsia="zh-CN"/>
              </w:rPr>
              <w:t>[</w:t>
            </w:r>
            <w:r>
              <w:rPr>
                <w:rFonts w:hint="eastAsia" w:cs="Times New Roman"/>
                <w:b/>
                <w:bCs/>
                <w:color w:val="FF0000"/>
                <w:sz w:val="21"/>
                <w:szCs w:val="21"/>
              </w:rPr>
              <w:t>2016</w:t>
            </w:r>
            <w:r>
              <w:rPr>
                <w:rFonts w:hint="eastAsia" w:cs="Times New Roman"/>
                <w:b/>
                <w:bCs/>
                <w:color w:val="FF0000"/>
                <w:sz w:val="21"/>
                <w:szCs w:val="21"/>
                <w:lang w:val="en-US" w:eastAsia="zh-CN"/>
              </w:rPr>
              <w:t>]</w:t>
            </w:r>
            <w:r>
              <w:rPr>
                <w:rFonts w:hint="eastAsia" w:cs="Times New Roman"/>
                <w:b/>
                <w:bCs/>
                <w:color w:val="FF0000"/>
                <w:sz w:val="21"/>
                <w:szCs w:val="21"/>
              </w:rPr>
              <w:t>822号</w:t>
            </w:r>
            <w:r>
              <w:rPr>
                <w:rFonts w:hint="eastAsia" w:cs="Times New Roman"/>
                <w:b/>
                <w:bCs/>
                <w:color w:val="FF0000"/>
                <w:sz w:val="21"/>
                <w:szCs w:val="21"/>
                <w:lang w:val="en-US" w:eastAsia="zh-CN"/>
              </w:rPr>
              <w:t>的</w:t>
            </w:r>
            <w:r>
              <w:rPr>
                <w:rFonts w:hint="eastAsia" w:cs="Times New Roman"/>
                <w:b/>
                <w:bCs/>
                <w:color w:val="FF0000"/>
                <w:sz w:val="21"/>
                <w:szCs w:val="21"/>
              </w:rPr>
              <w:t>符合性分析</w:t>
            </w:r>
          </w:p>
          <w:tbl>
            <w:tblPr>
              <w:tblStyle w:val="32"/>
              <w:tblW w:w="5000" w:type="pct"/>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68"/>
              <w:gridCol w:w="2583"/>
              <w:gridCol w:w="927"/>
              <w:gridCol w:w="2139"/>
              <w:gridCol w:w="770"/>
            </w:tblGrid>
            <w:tr w14:paraId="047C95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tcBorders>
                    <w:tl2br w:val="nil"/>
                    <w:tr2bl w:val="nil"/>
                  </w:tcBorders>
                  <w:tcMar>
                    <w:top w:w="15" w:type="dxa"/>
                    <w:left w:w="7" w:type="dxa"/>
                    <w:bottom w:w="0" w:type="dxa"/>
                    <w:right w:w="7" w:type="dxa"/>
                  </w:tcMar>
                  <w:vAlign w:val="center"/>
                </w:tcPr>
                <w:p w14:paraId="6D6237A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管理要求</w:t>
                  </w:r>
                </w:p>
              </w:tc>
              <w:tc>
                <w:tcPr>
                  <w:tcW w:w="1822" w:type="pct"/>
                  <w:tcBorders>
                    <w:tl2br w:val="nil"/>
                    <w:tr2bl w:val="nil"/>
                  </w:tcBorders>
                  <w:tcMar>
                    <w:top w:w="15" w:type="dxa"/>
                    <w:left w:w="7" w:type="dxa"/>
                    <w:bottom w:w="0" w:type="dxa"/>
                    <w:right w:w="7" w:type="dxa"/>
                  </w:tcMar>
                  <w:vAlign w:val="center"/>
                </w:tcPr>
                <w:p w14:paraId="36DC996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类别</w:t>
                  </w:r>
                </w:p>
              </w:tc>
              <w:tc>
                <w:tcPr>
                  <w:tcW w:w="2163" w:type="pct"/>
                  <w:gridSpan w:val="2"/>
                  <w:tcBorders>
                    <w:tl2br w:val="nil"/>
                    <w:tr2bl w:val="nil"/>
                  </w:tcBorders>
                  <w:vAlign w:val="center"/>
                </w:tcPr>
                <w:p w14:paraId="24EB839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本</w:t>
                  </w:r>
                  <w:r>
                    <w:rPr>
                      <w:rFonts w:cs="Times New Roman"/>
                      <w:bCs/>
                      <w:sz w:val="18"/>
                      <w:szCs w:val="18"/>
                    </w:rPr>
                    <w:t>项目涉及情况及位置关系</w:t>
                  </w:r>
                </w:p>
              </w:tc>
              <w:tc>
                <w:tcPr>
                  <w:tcW w:w="543" w:type="pct"/>
                  <w:tcBorders>
                    <w:tl2br w:val="nil"/>
                    <w:tr2bl w:val="nil"/>
                  </w:tcBorders>
                  <w:vAlign w:val="center"/>
                </w:tcPr>
                <w:p w14:paraId="0A87B8C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符合性</w:t>
                  </w:r>
                </w:p>
              </w:tc>
            </w:tr>
            <w:tr w14:paraId="5ABC2C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restart"/>
                  <w:tcBorders>
                    <w:tl2br w:val="nil"/>
                    <w:tr2bl w:val="nil"/>
                  </w:tcBorders>
                  <w:tcMar>
                    <w:top w:w="15" w:type="dxa"/>
                    <w:left w:w="7" w:type="dxa"/>
                    <w:bottom w:w="0" w:type="dxa"/>
                    <w:right w:w="7" w:type="dxa"/>
                  </w:tcMar>
                  <w:vAlign w:val="center"/>
                </w:tcPr>
                <w:p w14:paraId="3B9D8B6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禁止建设区域</w:t>
                  </w:r>
                </w:p>
              </w:tc>
              <w:tc>
                <w:tcPr>
                  <w:tcW w:w="1822" w:type="pct"/>
                  <w:tcBorders>
                    <w:tl2br w:val="nil"/>
                    <w:tr2bl w:val="nil"/>
                  </w:tcBorders>
                  <w:tcMar>
                    <w:top w:w="15" w:type="dxa"/>
                    <w:left w:w="7" w:type="dxa"/>
                    <w:bottom w:w="0" w:type="dxa"/>
                    <w:right w:w="7" w:type="dxa"/>
                  </w:tcMar>
                  <w:vAlign w:val="center"/>
                </w:tcPr>
                <w:p w14:paraId="2A44AFF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世界文化与自然遗产地</w:t>
                  </w:r>
                </w:p>
              </w:tc>
              <w:tc>
                <w:tcPr>
                  <w:tcW w:w="654" w:type="pct"/>
                  <w:tcBorders>
                    <w:tl2br w:val="nil"/>
                    <w:tr2bl w:val="nil"/>
                  </w:tcBorders>
                  <w:tcMar>
                    <w:top w:w="15" w:type="dxa"/>
                    <w:left w:w="7" w:type="dxa"/>
                    <w:bottom w:w="0" w:type="dxa"/>
                    <w:right w:w="7" w:type="dxa"/>
                  </w:tcMar>
                  <w:vAlign w:val="center"/>
                </w:tcPr>
                <w:p w14:paraId="3EDE1866">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00E2E78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restart"/>
                  <w:tcBorders>
                    <w:tl2br w:val="nil"/>
                    <w:tr2bl w:val="nil"/>
                  </w:tcBorders>
                  <w:vAlign w:val="center"/>
                </w:tcPr>
                <w:p w14:paraId="2DF7B665">
                  <w:pPr>
                    <w:keepNext w:val="0"/>
                    <w:keepLines w:val="0"/>
                    <w:pageBreakBefore w:val="0"/>
                    <w:kinsoku/>
                    <w:wordWrap/>
                    <w:overflowPunct/>
                    <w:topLinePunct w:val="0"/>
                    <w:autoSpaceDE w:val="0"/>
                    <w:autoSpaceDN w:val="0"/>
                    <w:bidi w:val="0"/>
                    <w:adjustRightInd w:val="0"/>
                    <w:jc w:val="center"/>
                    <w:textAlignment w:val="auto"/>
                    <w:rPr>
                      <w:rFonts w:ascii="宋体" w:cs="宋体"/>
                      <w:kern w:val="0"/>
                      <w:sz w:val="18"/>
                      <w:szCs w:val="18"/>
                    </w:rPr>
                  </w:pPr>
                  <w:r>
                    <w:rPr>
                      <w:rFonts w:hint="eastAsia" w:ascii="宋体" w:cs="宋体"/>
                      <w:kern w:val="0"/>
                      <w:sz w:val="18"/>
                      <w:szCs w:val="18"/>
                    </w:rPr>
                    <w:t>符合</w:t>
                  </w:r>
                </w:p>
              </w:tc>
            </w:tr>
            <w:tr w14:paraId="0A69C1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7866168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07C7642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省级以上（含省级）自然保护区</w:t>
                  </w:r>
                </w:p>
              </w:tc>
              <w:tc>
                <w:tcPr>
                  <w:tcW w:w="654" w:type="pct"/>
                  <w:tcBorders>
                    <w:tl2br w:val="nil"/>
                    <w:tr2bl w:val="nil"/>
                  </w:tcBorders>
                  <w:tcMar>
                    <w:top w:w="15" w:type="dxa"/>
                    <w:left w:w="7" w:type="dxa"/>
                    <w:bottom w:w="0" w:type="dxa"/>
                    <w:right w:w="7" w:type="dxa"/>
                  </w:tcMar>
                  <w:vAlign w:val="center"/>
                </w:tcPr>
                <w:p w14:paraId="7CB8752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734F8DA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50EDAF9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7D88BA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1EC6E0B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07B377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省级以上（含省级）风景名胜区</w:t>
                  </w:r>
                </w:p>
              </w:tc>
              <w:tc>
                <w:tcPr>
                  <w:tcW w:w="654" w:type="pct"/>
                  <w:tcBorders>
                    <w:tl2br w:val="nil"/>
                    <w:tr2bl w:val="nil"/>
                  </w:tcBorders>
                  <w:tcMar>
                    <w:top w:w="15" w:type="dxa"/>
                    <w:left w:w="15" w:type="dxa"/>
                    <w:bottom w:w="0" w:type="dxa"/>
                    <w:right w:w="15" w:type="dxa"/>
                  </w:tcMar>
                  <w:vAlign w:val="center"/>
                </w:tcPr>
                <w:p w14:paraId="5170329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19FC0AD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4907A8D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3B2471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0F6AD4D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6176203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省级以上（含省级）森林公园</w:t>
                  </w:r>
                </w:p>
              </w:tc>
              <w:tc>
                <w:tcPr>
                  <w:tcW w:w="654" w:type="pct"/>
                  <w:tcBorders>
                    <w:tl2br w:val="nil"/>
                    <w:tr2bl w:val="nil"/>
                  </w:tcBorders>
                  <w:tcMar>
                    <w:top w:w="15" w:type="dxa"/>
                    <w:left w:w="7" w:type="dxa"/>
                    <w:bottom w:w="0" w:type="dxa"/>
                    <w:right w:w="7" w:type="dxa"/>
                  </w:tcMar>
                  <w:vAlign w:val="center"/>
                </w:tcPr>
                <w:p w14:paraId="38708C4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223ACE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130CDCD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6DCBC3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4E73DFD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018D635">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生态保护红线</w:t>
                  </w:r>
                </w:p>
              </w:tc>
              <w:tc>
                <w:tcPr>
                  <w:tcW w:w="654" w:type="pct"/>
                  <w:tcBorders>
                    <w:tl2br w:val="nil"/>
                    <w:tr2bl w:val="nil"/>
                  </w:tcBorders>
                  <w:tcMar>
                    <w:top w:w="15" w:type="dxa"/>
                    <w:left w:w="7" w:type="dxa"/>
                    <w:bottom w:w="0" w:type="dxa"/>
                    <w:right w:w="7" w:type="dxa"/>
                  </w:tcMar>
                  <w:vAlign w:val="center"/>
                </w:tcPr>
                <w:p w14:paraId="531258C6">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22F78AA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2862F1F6">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52CF38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42D3C2B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79674A8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ascii="宋体" w:hAnsi="宋体"/>
                      <w:bCs/>
                      <w:sz w:val="18"/>
                      <w:szCs w:val="18"/>
                    </w:rPr>
                    <w:t>Ⅰ</w:t>
                  </w:r>
                  <w:r>
                    <w:rPr>
                      <w:rFonts w:cs="Times New Roman"/>
                      <w:bCs/>
                      <w:sz w:val="18"/>
                      <w:szCs w:val="18"/>
                    </w:rPr>
                    <w:t>级保护林地</w:t>
                  </w:r>
                </w:p>
              </w:tc>
              <w:tc>
                <w:tcPr>
                  <w:tcW w:w="654" w:type="pct"/>
                  <w:tcBorders>
                    <w:tl2br w:val="nil"/>
                    <w:tr2bl w:val="nil"/>
                  </w:tcBorders>
                  <w:tcMar>
                    <w:top w:w="15" w:type="dxa"/>
                    <w:left w:w="7" w:type="dxa"/>
                    <w:bottom w:w="0" w:type="dxa"/>
                    <w:right w:w="7" w:type="dxa"/>
                  </w:tcMar>
                  <w:vAlign w:val="center"/>
                </w:tcPr>
                <w:p w14:paraId="75847EC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4AC756C0">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2BCFB3F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7F8C99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09067FD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0DF1F79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一级国家公益林地</w:t>
                  </w:r>
                </w:p>
              </w:tc>
              <w:tc>
                <w:tcPr>
                  <w:tcW w:w="654" w:type="pct"/>
                  <w:tcBorders>
                    <w:tl2br w:val="nil"/>
                    <w:tr2bl w:val="nil"/>
                  </w:tcBorders>
                  <w:tcMar>
                    <w:top w:w="15" w:type="dxa"/>
                    <w:left w:w="7" w:type="dxa"/>
                    <w:bottom w:w="0" w:type="dxa"/>
                    <w:right w:w="7" w:type="dxa"/>
                  </w:tcMar>
                  <w:vAlign w:val="center"/>
                </w:tcPr>
                <w:p w14:paraId="6B67AE1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4BDFF365">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2581645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3E472A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restart"/>
                  <w:tcBorders>
                    <w:tl2br w:val="nil"/>
                    <w:tr2bl w:val="nil"/>
                  </w:tcBorders>
                  <w:tcMar>
                    <w:top w:w="15" w:type="dxa"/>
                    <w:left w:w="7" w:type="dxa"/>
                    <w:bottom w:w="0" w:type="dxa"/>
                    <w:right w:w="7" w:type="dxa"/>
                  </w:tcMar>
                  <w:vAlign w:val="center"/>
                </w:tcPr>
                <w:p w14:paraId="4CDAABF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严格控制区域</w:t>
                  </w:r>
                </w:p>
              </w:tc>
              <w:tc>
                <w:tcPr>
                  <w:tcW w:w="1822" w:type="pct"/>
                  <w:tcBorders>
                    <w:tl2br w:val="nil"/>
                    <w:tr2bl w:val="nil"/>
                  </w:tcBorders>
                  <w:tcMar>
                    <w:top w:w="15" w:type="dxa"/>
                    <w:left w:w="7" w:type="dxa"/>
                    <w:bottom w:w="0" w:type="dxa"/>
                    <w:right w:w="7" w:type="dxa"/>
                  </w:tcMar>
                  <w:vAlign w:val="center"/>
                </w:tcPr>
                <w:p w14:paraId="43CB622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湿地公园</w:t>
                  </w:r>
                </w:p>
              </w:tc>
              <w:tc>
                <w:tcPr>
                  <w:tcW w:w="654" w:type="pct"/>
                  <w:tcBorders>
                    <w:tl2br w:val="nil"/>
                    <w:tr2bl w:val="nil"/>
                  </w:tcBorders>
                  <w:tcMar>
                    <w:top w:w="15" w:type="dxa"/>
                    <w:left w:w="7" w:type="dxa"/>
                    <w:bottom w:w="0" w:type="dxa"/>
                    <w:right w:w="7" w:type="dxa"/>
                  </w:tcMar>
                  <w:vAlign w:val="center"/>
                </w:tcPr>
                <w:p w14:paraId="24C4FF6E">
                  <w:pPr>
                    <w:pStyle w:val="70"/>
                    <w:keepNext w:val="0"/>
                    <w:keepLines w:val="0"/>
                    <w:pageBreakBefore w:val="0"/>
                    <w:kinsoku/>
                    <w:wordWrap/>
                    <w:overflowPunct/>
                    <w:topLinePunct w:val="0"/>
                    <w:bidi w:val="0"/>
                    <w:adjustRightInd w:val="0"/>
                    <w:textAlignment w:val="auto"/>
                    <w:rPr>
                      <w:color w:val="auto"/>
                      <w:sz w:val="18"/>
                    </w:rPr>
                  </w:pPr>
                  <w:r>
                    <w:rPr>
                      <w:bCs w:val="0"/>
                      <w:color w:val="auto"/>
                      <w:sz w:val="18"/>
                    </w:rPr>
                    <w:t>不涉及</w:t>
                  </w:r>
                </w:p>
              </w:tc>
              <w:tc>
                <w:tcPr>
                  <w:tcW w:w="1508" w:type="pct"/>
                  <w:tcBorders>
                    <w:tl2br w:val="nil"/>
                    <w:tr2bl w:val="nil"/>
                  </w:tcBorders>
                  <w:tcMar>
                    <w:top w:w="15" w:type="dxa"/>
                    <w:left w:w="7" w:type="dxa"/>
                    <w:bottom w:w="0" w:type="dxa"/>
                    <w:right w:w="7" w:type="dxa"/>
                  </w:tcMar>
                  <w:vAlign w:val="center"/>
                </w:tcPr>
                <w:p w14:paraId="764B9E9F">
                  <w:pPr>
                    <w:pStyle w:val="70"/>
                    <w:keepNext w:val="0"/>
                    <w:keepLines w:val="0"/>
                    <w:pageBreakBefore w:val="0"/>
                    <w:kinsoku/>
                    <w:wordWrap/>
                    <w:overflowPunct/>
                    <w:topLinePunct w:val="0"/>
                    <w:bidi w:val="0"/>
                    <w:adjustRightInd w:val="0"/>
                    <w:textAlignment w:val="auto"/>
                    <w:rPr>
                      <w:color w:val="auto"/>
                      <w:sz w:val="18"/>
                    </w:rPr>
                  </w:pPr>
                  <w:r>
                    <w:rPr>
                      <w:rFonts w:hint="eastAsia"/>
                      <w:color w:val="auto"/>
                      <w:sz w:val="18"/>
                    </w:rPr>
                    <w:t>/</w:t>
                  </w:r>
                </w:p>
              </w:tc>
              <w:tc>
                <w:tcPr>
                  <w:tcW w:w="543" w:type="pct"/>
                  <w:vMerge w:val="restart"/>
                  <w:tcBorders>
                    <w:tl2br w:val="nil"/>
                    <w:tr2bl w:val="nil"/>
                  </w:tcBorders>
                  <w:vAlign w:val="center"/>
                </w:tcPr>
                <w:p w14:paraId="16BCE3A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符合</w:t>
                  </w:r>
                </w:p>
              </w:tc>
            </w:tr>
            <w:tr w14:paraId="6D8675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4EEB1C75">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5198CA1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地质公园</w:t>
                  </w:r>
                </w:p>
              </w:tc>
              <w:tc>
                <w:tcPr>
                  <w:tcW w:w="654" w:type="pct"/>
                  <w:tcBorders>
                    <w:tl2br w:val="nil"/>
                    <w:tr2bl w:val="nil"/>
                  </w:tcBorders>
                  <w:tcMar>
                    <w:top w:w="15" w:type="dxa"/>
                    <w:left w:w="7" w:type="dxa"/>
                    <w:bottom w:w="0" w:type="dxa"/>
                    <w:right w:w="7" w:type="dxa"/>
                  </w:tcMar>
                  <w:vAlign w:val="center"/>
                </w:tcPr>
                <w:p w14:paraId="04D9561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D7A166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7621C0D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02E0C5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0E435FC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AFF46E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旅游景区</w:t>
                  </w:r>
                </w:p>
              </w:tc>
              <w:tc>
                <w:tcPr>
                  <w:tcW w:w="654" w:type="pct"/>
                  <w:tcBorders>
                    <w:tl2br w:val="nil"/>
                    <w:tr2bl w:val="nil"/>
                  </w:tcBorders>
                  <w:tcMar>
                    <w:top w:w="15" w:type="dxa"/>
                    <w:left w:w="7" w:type="dxa"/>
                    <w:bottom w:w="0" w:type="dxa"/>
                    <w:right w:w="7" w:type="dxa"/>
                  </w:tcMar>
                  <w:vAlign w:val="center"/>
                </w:tcPr>
                <w:p w14:paraId="26836E31">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1F388974">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w:t>
                  </w:r>
                </w:p>
              </w:tc>
              <w:tc>
                <w:tcPr>
                  <w:tcW w:w="543" w:type="pct"/>
                  <w:vMerge w:val="continue"/>
                  <w:tcBorders>
                    <w:tl2br w:val="nil"/>
                    <w:tr2bl w:val="nil"/>
                  </w:tcBorders>
                  <w:vAlign w:val="center"/>
                </w:tcPr>
                <w:p w14:paraId="5CDDBC4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267AFA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771481F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7CADBB0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鸟类主要迁徙通道</w:t>
                  </w:r>
                </w:p>
              </w:tc>
              <w:tc>
                <w:tcPr>
                  <w:tcW w:w="654" w:type="pct"/>
                  <w:tcBorders>
                    <w:tl2br w:val="nil"/>
                    <w:tr2bl w:val="nil"/>
                  </w:tcBorders>
                  <w:tcMar>
                    <w:top w:w="15" w:type="dxa"/>
                    <w:left w:w="7" w:type="dxa"/>
                    <w:bottom w:w="0" w:type="dxa"/>
                    <w:right w:w="7" w:type="dxa"/>
                  </w:tcMar>
                  <w:vAlign w:val="center"/>
                </w:tcPr>
                <w:p w14:paraId="2A9F89B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7CB43388">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221D37A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3F9382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5B34782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4EBED647">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天然林和单位面积蓄积量高的林地</w:t>
                  </w:r>
                </w:p>
              </w:tc>
              <w:tc>
                <w:tcPr>
                  <w:tcW w:w="654" w:type="pct"/>
                  <w:tcBorders>
                    <w:tl2br w:val="nil"/>
                    <w:tr2bl w:val="nil"/>
                  </w:tcBorders>
                  <w:tcMar>
                    <w:top w:w="15" w:type="dxa"/>
                    <w:left w:w="7" w:type="dxa"/>
                    <w:bottom w:w="0" w:type="dxa"/>
                    <w:right w:w="7" w:type="dxa"/>
                  </w:tcMar>
                  <w:vAlign w:val="center"/>
                </w:tcPr>
                <w:p w14:paraId="7D8F559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0EE7073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w:t>
                  </w:r>
                </w:p>
              </w:tc>
              <w:tc>
                <w:tcPr>
                  <w:tcW w:w="543" w:type="pct"/>
                  <w:vMerge w:val="continue"/>
                  <w:tcBorders>
                    <w:tl2br w:val="nil"/>
                    <w:tr2bl w:val="nil"/>
                  </w:tcBorders>
                  <w:vAlign w:val="center"/>
                </w:tcPr>
                <w:p w14:paraId="70F4CD6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03F89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03E575C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59D7D76E">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基岩风化严重地区</w:t>
                  </w:r>
                </w:p>
              </w:tc>
              <w:tc>
                <w:tcPr>
                  <w:tcW w:w="654" w:type="pct"/>
                  <w:tcBorders>
                    <w:tl2br w:val="nil"/>
                    <w:tr2bl w:val="nil"/>
                  </w:tcBorders>
                  <w:tcMar>
                    <w:top w:w="15" w:type="dxa"/>
                    <w:left w:w="7" w:type="dxa"/>
                    <w:bottom w:w="0" w:type="dxa"/>
                    <w:right w:w="7" w:type="dxa"/>
                  </w:tcMar>
                  <w:vAlign w:val="center"/>
                </w:tcPr>
                <w:p w14:paraId="7E0D9603">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42FD564B">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hint="eastAsia" w:cs="Times New Roman"/>
                      <w:bCs/>
                      <w:sz w:val="18"/>
                      <w:szCs w:val="18"/>
                    </w:rPr>
                    <w:t>地质条件中等</w:t>
                  </w:r>
                </w:p>
              </w:tc>
              <w:tc>
                <w:tcPr>
                  <w:tcW w:w="543" w:type="pct"/>
                  <w:vMerge w:val="continue"/>
                  <w:tcBorders>
                    <w:tl2br w:val="nil"/>
                    <w:tr2bl w:val="nil"/>
                  </w:tcBorders>
                  <w:vAlign w:val="center"/>
                </w:tcPr>
                <w:p w14:paraId="4FF796E2">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r w14:paraId="1DB67E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471" w:type="pct"/>
                  <w:vMerge w:val="continue"/>
                  <w:tcBorders>
                    <w:tl2br w:val="nil"/>
                    <w:tr2bl w:val="nil"/>
                  </w:tcBorders>
                  <w:vAlign w:val="center"/>
                </w:tcPr>
                <w:p w14:paraId="72C04FBF">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c>
                <w:tcPr>
                  <w:tcW w:w="1822" w:type="pct"/>
                  <w:tcBorders>
                    <w:tl2br w:val="nil"/>
                    <w:tr2bl w:val="nil"/>
                  </w:tcBorders>
                  <w:tcMar>
                    <w:top w:w="15" w:type="dxa"/>
                    <w:left w:w="7" w:type="dxa"/>
                    <w:bottom w:w="0" w:type="dxa"/>
                    <w:right w:w="7" w:type="dxa"/>
                  </w:tcMar>
                  <w:vAlign w:val="center"/>
                </w:tcPr>
                <w:p w14:paraId="714CAFFA">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生态脆弱、毁损后难以恢复的区域</w:t>
                  </w:r>
                </w:p>
              </w:tc>
              <w:tc>
                <w:tcPr>
                  <w:tcW w:w="654" w:type="pct"/>
                  <w:tcBorders>
                    <w:tl2br w:val="nil"/>
                    <w:tr2bl w:val="nil"/>
                  </w:tcBorders>
                  <w:tcMar>
                    <w:top w:w="15" w:type="dxa"/>
                    <w:left w:w="7" w:type="dxa"/>
                    <w:bottom w:w="0" w:type="dxa"/>
                    <w:right w:w="7" w:type="dxa"/>
                  </w:tcMar>
                  <w:vAlign w:val="center"/>
                </w:tcPr>
                <w:p w14:paraId="2F8E7469">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不涉及</w:t>
                  </w:r>
                </w:p>
              </w:tc>
              <w:tc>
                <w:tcPr>
                  <w:tcW w:w="1508" w:type="pct"/>
                  <w:tcBorders>
                    <w:tl2br w:val="nil"/>
                    <w:tr2bl w:val="nil"/>
                  </w:tcBorders>
                  <w:tcMar>
                    <w:top w:w="15" w:type="dxa"/>
                    <w:left w:w="7" w:type="dxa"/>
                    <w:bottom w:w="0" w:type="dxa"/>
                    <w:right w:w="7" w:type="dxa"/>
                  </w:tcMar>
                  <w:vAlign w:val="center"/>
                </w:tcPr>
                <w:p w14:paraId="361EABFC">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r>
                    <w:rPr>
                      <w:rFonts w:cs="Times New Roman"/>
                      <w:bCs/>
                      <w:sz w:val="18"/>
                      <w:szCs w:val="18"/>
                    </w:rPr>
                    <w:t>本项目所在区域生态环境不敏感。本项目所在区域植被易恢复。</w:t>
                  </w:r>
                </w:p>
              </w:tc>
              <w:tc>
                <w:tcPr>
                  <w:tcW w:w="543" w:type="pct"/>
                  <w:vMerge w:val="continue"/>
                  <w:tcBorders>
                    <w:tl2br w:val="nil"/>
                    <w:tr2bl w:val="nil"/>
                  </w:tcBorders>
                  <w:vAlign w:val="center"/>
                </w:tcPr>
                <w:p w14:paraId="14DBDB7D">
                  <w:pPr>
                    <w:pStyle w:val="62"/>
                    <w:keepNext w:val="0"/>
                    <w:keepLines w:val="0"/>
                    <w:pageBreakBefore w:val="0"/>
                    <w:kinsoku/>
                    <w:wordWrap/>
                    <w:overflowPunct/>
                    <w:topLinePunct w:val="0"/>
                    <w:bidi w:val="0"/>
                    <w:adjustRightInd w:val="0"/>
                    <w:spacing w:line="240" w:lineRule="auto"/>
                    <w:ind w:firstLine="0" w:firstLineChars="0"/>
                    <w:jc w:val="center"/>
                    <w:textAlignment w:val="auto"/>
                    <w:rPr>
                      <w:rFonts w:cs="Times New Roman"/>
                      <w:bCs/>
                      <w:sz w:val="18"/>
                      <w:szCs w:val="18"/>
                    </w:rPr>
                  </w:pPr>
                </w:p>
              </w:tc>
            </w:tr>
          </w:tbl>
          <w:p w14:paraId="63A6A1DA">
            <w:pPr>
              <w:keepNext w:val="0"/>
              <w:keepLines w:val="0"/>
              <w:pageBreakBefore w:val="0"/>
              <w:kinsoku/>
              <w:wordWrap/>
              <w:overflowPunct/>
              <w:topLinePunct w:val="0"/>
              <w:autoSpaceDE w:val="0"/>
              <w:autoSpaceDN w:val="0"/>
              <w:bidi w:val="0"/>
              <w:spacing w:line="360" w:lineRule="auto"/>
              <w:ind w:firstLine="480" w:firstLineChars="200"/>
              <w:textAlignment w:val="auto"/>
              <w:rPr>
                <w:rFonts w:hint="default" w:ascii="Times New Roman" w:hAnsi="宋体" w:cs="Times New Roman"/>
                <w:color w:val="FF0000"/>
                <w:sz w:val="24"/>
                <w:lang w:val="en-US" w:eastAsia="zh-CN"/>
              </w:rPr>
            </w:pPr>
            <w:r>
              <w:rPr>
                <w:rFonts w:hint="eastAsia" w:ascii="Times New Roman" w:hAnsi="宋体" w:cs="Times New Roman"/>
                <w:color w:val="FF0000"/>
                <w:sz w:val="24"/>
                <w:lang w:val="en-US" w:eastAsia="zh-CN"/>
              </w:rPr>
              <w:t>（2）与《关于进一步加强风电建设项目使用林地管理的通知》（湘林政[2018]5号）的符合性分析</w:t>
            </w:r>
          </w:p>
          <w:p w14:paraId="279267CD">
            <w:pPr>
              <w:pStyle w:val="62"/>
              <w:keepNext w:val="0"/>
              <w:keepLines w:val="0"/>
              <w:pageBreakBefore w:val="0"/>
              <w:kinsoku/>
              <w:wordWrap/>
              <w:overflowPunct/>
              <w:topLinePunct w:val="0"/>
              <w:bidi w:val="0"/>
              <w:ind w:firstLine="480"/>
              <w:textAlignment w:val="auto"/>
              <w:rPr>
                <w:rFonts w:hAnsi="宋体" w:cs="Times New Roman"/>
                <w:color w:val="FF0000"/>
              </w:rPr>
            </w:pPr>
            <w:r>
              <w:rPr>
                <w:rFonts w:hAnsi="宋体" w:cs="Times New Roman"/>
                <w:color w:val="FF0000"/>
              </w:rPr>
              <w:t>项目区域</w:t>
            </w:r>
            <w:r>
              <w:rPr>
                <w:rFonts w:hint="eastAsia" w:hAnsi="宋体" w:cs="Times New Roman"/>
                <w:color w:val="FF0000"/>
                <w:lang w:val="en-US" w:eastAsia="zh-CN"/>
              </w:rPr>
              <w:t>不涉及生态保护红线、世界自然遗产地、国有林场、重要湿地、森林公园、湿地公园、地质公园、风景名胜区，不涉及鸟类迁徙通道，未占用耒阳市最高峰或地标性山峰地域，风机点位海拔高度未超过800米，占地区域母岩不属于强风化花岗岩、砂岩或石灰岩区域。</w:t>
            </w:r>
            <w:r>
              <w:rPr>
                <w:rFonts w:hAnsi="宋体" w:cs="Times New Roman"/>
                <w:color w:val="FF0000"/>
              </w:rPr>
              <w:t>因此，项目符合《关于进一步加强风电建设项目使用林地管理的通知》（湘林政</w:t>
            </w:r>
            <w:r>
              <w:rPr>
                <w:rFonts w:hint="eastAsia" w:hAnsi="宋体" w:cs="Times New Roman"/>
                <w:color w:val="FF0000"/>
                <w:lang w:val="en-US" w:eastAsia="zh-CN"/>
              </w:rPr>
              <w:t>[</w:t>
            </w:r>
            <w:r>
              <w:rPr>
                <w:rFonts w:hAnsi="宋体" w:cs="Times New Roman"/>
                <w:color w:val="FF0000"/>
              </w:rPr>
              <w:t>2018</w:t>
            </w:r>
            <w:r>
              <w:rPr>
                <w:rFonts w:hint="eastAsia" w:hAnsi="宋体" w:cs="Times New Roman"/>
                <w:color w:val="FF0000"/>
                <w:lang w:val="en-US" w:eastAsia="zh-CN"/>
              </w:rPr>
              <w:t>]</w:t>
            </w:r>
            <w:r>
              <w:rPr>
                <w:rFonts w:hAnsi="宋体" w:cs="Times New Roman"/>
                <w:color w:val="FF0000"/>
              </w:rPr>
              <w:t>5号）要求。</w:t>
            </w:r>
          </w:p>
          <w:p w14:paraId="192B1FAE">
            <w:pPr>
              <w:pStyle w:val="62"/>
              <w:spacing w:line="276" w:lineRule="auto"/>
              <w:ind w:firstLine="0" w:firstLineChars="0"/>
              <w:jc w:val="center"/>
              <w:rPr>
                <w:rFonts w:hint="eastAsia" w:ascii="Times New Roman" w:hAnsi="Times New Roman" w:cs="Times New Roman"/>
                <w:b/>
                <w:bCs/>
                <w:color w:val="FF0000"/>
                <w:sz w:val="21"/>
                <w:szCs w:val="21"/>
              </w:rPr>
            </w:pPr>
            <w:r>
              <w:rPr>
                <w:rFonts w:hint="eastAsia" w:ascii="Times New Roman" w:hAnsi="Times New Roman" w:cs="Times New Roman"/>
                <w:b/>
                <w:bCs/>
                <w:color w:val="FF0000"/>
                <w:sz w:val="21"/>
                <w:szCs w:val="21"/>
              </w:rPr>
              <w:t>表1-</w:t>
            </w:r>
            <w:r>
              <w:rPr>
                <w:rFonts w:hint="eastAsia" w:ascii="Times New Roman" w:hAnsi="Times New Roman" w:cs="Times New Roman"/>
                <w:b/>
                <w:bCs/>
                <w:color w:val="FF0000"/>
                <w:sz w:val="21"/>
                <w:szCs w:val="21"/>
                <w:lang w:val="en-US" w:eastAsia="zh-CN"/>
              </w:rPr>
              <w:t>3</w:t>
            </w:r>
            <w:r>
              <w:rPr>
                <w:rFonts w:hint="eastAsia" w:ascii="Times New Roman" w:hAnsi="Times New Roman" w:cs="Times New Roman"/>
                <w:b/>
                <w:bCs/>
                <w:color w:val="FF0000"/>
                <w:sz w:val="21"/>
                <w:szCs w:val="21"/>
              </w:rPr>
              <w:t xml:space="preserve"> </w:t>
            </w:r>
            <w:r>
              <w:rPr>
                <w:rFonts w:hint="eastAsia" w:ascii="Times New Roman" w:hAnsi="Times New Roman" w:cs="Times New Roman"/>
                <w:b/>
                <w:bCs/>
                <w:color w:val="FF0000"/>
                <w:sz w:val="21"/>
                <w:szCs w:val="21"/>
                <w:lang w:val="en-US" w:eastAsia="zh-CN"/>
              </w:rPr>
              <w:t xml:space="preserve"> </w:t>
            </w:r>
            <w:r>
              <w:rPr>
                <w:rFonts w:hint="eastAsia" w:ascii="Times New Roman" w:hAnsi="Times New Roman" w:cs="Times New Roman"/>
                <w:b/>
                <w:bCs/>
                <w:color w:val="FF0000"/>
                <w:sz w:val="21"/>
                <w:szCs w:val="21"/>
              </w:rPr>
              <w:t>与湘林政</w:t>
            </w:r>
            <w:r>
              <w:rPr>
                <w:rFonts w:hint="eastAsia" w:ascii="Times New Roman" w:hAnsi="Times New Roman" w:cs="Times New Roman"/>
                <w:b/>
                <w:bCs/>
                <w:color w:val="FF0000"/>
                <w:sz w:val="21"/>
                <w:szCs w:val="21"/>
                <w:lang w:val="en-US" w:eastAsia="zh-CN"/>
              </w:rPr>
              <w:t>[</w:t>
            </w:r>
            <w:r>
              <w:rPr>
                <w:rFonts w:hint="eastAsia" w:ascii="Times New Roman" w:hAnsi="Times New Roman" w:cs="Times New Roman"/>
                <w:b/>
                <w:bCs/>
                <w:color w:val="FF0000"/>
                <w:sz w:val="21"/>
                <w:szCs w:val="21"/>
              </w:rPr>
              <w:t>2018</w:t>
            </w:r>
            <w:r>
              <w:rPr>
                <w:rFonts w:hint="eastAsia" w:ascii="Times New Roman" w:hAnsi="Times New Roman" w:cs="Times New Roman"/>
                <w:b/>
                <w:bCs/>
                <w:color w:val="FF0000"/>
                <w:sz w:val="21"/>
                <w:szCs w:val="21"/>
                <w:lang w:val="en-US" w:eastAsia="zh-CN"/>
              </w:rPr>
              <w:t>]</w:t>
            </w:r>
            <w:r>
              <w:rPr>
                <w:rFonts w:hint="eastAsia" w:ascii="Times New Roman" w:hAnsi="Times New Roman" w:cs="Times New Roman"/>
                <w:b/>
                <w:bCs/>
                <w:color w:val="FF0000"/>
                <w:sz w:val="21"/>
                <w:szCs w:val="21"/>
              </w:rPr>
              <w:t>5号</w:t>
            </w:r>
            <w:r>
              <w:rPr>
                <w:rFonts w:hint="eastAsia" w:ascii="Times New Roman" w:hAnsi="Times New Roman" w:cs="Times New Roman"/>
                <w:b/>
                <w:bCs/>
                <w:color w:val="FF0000"/>
                <w:sz w:val="21"/>
                <w:szCs w:val="21"/>
                <w:lang w:val="en-US" w:eastAsia="zh-CN"/>
              </w:rPr>
              <w:t>的</w:t>
            </w:r>
            <w:r>
              <w:rPr>
                <w:rFonts w:hint="eastAsia" w:ascii="Times New Roman" w:hAnsi="Times New Roman" w:cs="Times New Roman"/>
                <w:b/>
                <w:bCs/>
                <w:color w:val="FF0000"/>
                <w:sz w:val="21"/>
                <w:szCs w:val="21"/>
              </w:rPr>
              <w:t>符合性分析</w:t>
            </w:r>
          </w:p>
          <w:tbl>
            <w:tblPr>
              <w:tblStyle w:val="32"/>
              <w:tblW w:w="70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2166"/>
              <w:gridCol w:w="2763"/>
              <w:gridCol w:w="1164"/>
            </w:tblGrid>
            <w:tr w14:paraId="31BD1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tcBorders>
                    <w:tl2br w:val="nil"/>
                    <w:tr2bl w:val="nil"/>
                  </w:tcBorders>
                  <w:vAlign w:val="center"/>
                </w:tcPr>
                <w:p w14:paraId="014C0B59">
                  <w:pPr>
                    <w:pStyle w:val="62"/>
                    <w:spacing w:line="240" w:lineRule="auto"/>
                    <w:ind w:firstLine="0" w:firstLineChars="0"/>
                    <w:jc w:val="center"/>
                    <w:rPr>
                      <w:rFonts w:cs="Times New Roman"/>
                      <w:bCs/>
                      <w:sz w:val="18"/>
                      <w:szCs w:val="18"/>
                    </w:rPr>
                  </w:pPr>
                  <w:r>
                    <w:rPr>
                      <w:rFonts w:cs="Times New Roman"/>
                      <w:bCs/>
                      <w:sz w:val="18"/>
                      <w:szCs w:val="18"/>
                    </w:rPr>
                    <w:t>类别</w:t>
                  </w:r>
                </w:p>
              </w:tc>
              <w:tc>
                <w:tcPr>
                  <w:tcW w:w="2166" w:type="dxa"/>
                  <w:tcBorders>
                    <w:tl2br w:val="nil"/>
                    <w:tr2bl w:val="nil"/>
                  </w:tcBorders>
                  <w:vAlign w:val="center"/>
                </w:tcPr>
                <w:p w14:paraId="7C4298B3">
                  <w:pPr>
                    <w:pStyle w:val="62"/>
                    <w:spacing w:line="240" w:lineRule="auto"/>
                    <w:ind w:firstLine="0" w:firstLineChars="0"/>
                    <w:jc w:val="center"/>
                    <w:rPr>
                      <w:rFonts w:cs="Times New Roman"/>
                      <w:bCs/>
                      <w:sz w:val="18"/>
                      <w:szCs w:val="18"/>
                    </w:rPr>
                  </w:pPr>
                  <w:r>
                    <w:rPr>
                      <w:rFonts w:cs="Times New Roman"/>
                      <w:bCs/>
                      <w:sz w:val="18"/>
                      <w:szCs w:val="18"/>
                    </w:rPr>
                    <w:t>具体禁建区域</w:t>
                  </w:r>
                </w:p>
              </w:tc>
              <w:tc>
                <w:tcPr>
                  <w:tcW w:w="2763" w:type="dxa"/>
                  <w:tcBorders>
                    <w:tl2br w:val="nil"/>
                    <w:tr2bl w:val="nil"/>
                  </w:tcBorders>
                  <w:vAlign w:val="center"/>
                </w:tcPr>
                <w:p w14:paraId="4ECF67ED">
                  <w:pPr>
                    <w:pStyle w:val="62"/>
                    <w:spacing w:line="240" w:lineRule="auto"/>
                    <w:ind w:firstLine="0" w:firstLineChars="0"/>
                    <w:jc w:val="center"/>
                    <w:rPr>
                      <w:rFonts w:cs="Times New Roman"/>
                      <w:bCs/>
                      <w:sz w:val="18"/>
                      <w:szCs w:val="18"/>
                    </w:rPr>
                  </w:pPr>
                  <w:r>
                    <w:rPr>
                      <w:rFonts w:cs="Times New Roman"/>
                      <w:bCs/>
                      <w:sz w:val="18"/>
                      <w:szCs w:val="18"/>
                    </w:rPr>
                    <w:t>本项目情况</w:t>
                  </w:r>
                </w:p>
              </w:tc>
              <w:tc>
                <w:tcPr>
                  <w:tcW w:w="1164" w:type="dxa"/>
                  <w:tcBorders>
                    <w:tl2br w:val="nil"/>
                    <w:tr2bl w:val="nil"/>
                  </w:tcBorders>
                  <w:vAlign w:val="center"/>
                </w:tcPr>
                <w:p w14:paraId="1116D178">
                  <w:pPr>
                    <w:pStyle w:val="62"/>
                    <w:spacing w:line="240" w:lineRule="auto"/>
                    <w:ind w:firstLine="0" w:firstLineChars="0"/>
                    <w:jc w:val="center"/>
                    <w:rPr>
                      <w:rFonts w:cs="Times New Roman"/>
                      <w:bCs/>
                      <w:sz w:val="18"/>
                      <w:szCs w:val="18"/>
                    </w:rPr>
                  </w:pPr>
                  <w:r>
                    <w:rPr>
                      <w:rFonts w:cs="Times New Roman"/>
                      <w:bCs/>
                      <w:sz w:val="18"/>
                      <w:szCs w:val="18"/>
                    </w:rPr>
                    <w:t>符合性分析</w:t>
                  </w:r>
                </w:p>
              </w:tc>
            </w:tr>
            <w:tr w14:paraId="76AFDA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restart"/>
                  <w:tcBorders>
                    <w:tl2br w:val="nil"/>
                    <w:tr2bl w:val="nil"/>
                  </w:tcBorders>
                  <w:vAlign w:val="center"/>
                </w:tcPr>
                <w:p w14:paraId="54F61B93">
                  <w:pPr>
                    <w:pStyle w:val="62"/>
                    <w:spacing w:line="240" w:lineRule="auto"/>
                    <w:ind w:firstLine="0" w:firstLineChars="0"/>
                    <w:jc w:val="center"/>
                    <w:rPr>
                      <w:rFonts w:cs="Times New Roman"/>
                      <w:bCs/>
                      <w:sz w:val="18"/>
                      <w:szCs w:val="18"/>
                    </w:rPr>
                  </w:pPr>
                  <w:r>
                    <w:rPr>
                      <w:rStyle w:val="35"/>
                      <w:b w:val="0"/>
                      <w:spacing w:val="7"/>
                      <w:sz w:val="18"/>
                      <w:szCs w:val="18"/>
                    </w:rPr>
                    <w:t>风电场建设使用林地禁建区域</w:t>
                  </w:r>
                </w:p>
              </w:tc>
              <w:tc>
                <w:tcPr>
                  <w:tcW w:w="2166" w:type="dxa"/>
                  <w:tcBorders>
                    <w:tl2br w:val="nil"/>
                    <w:tr2bl w:val="nil"/>
                  </w:tcBorders>
                  <w:vAlign w:val="center"/>
                </w:tcPr>
                <w:p w14:paraId="0A498C03">
                  <w:pPr>
                    <w:pStyle w:val="62"/>
                    <w:spacing w:line="240" w:lineRule="auto"/>
                    <w:ind w:firstLine="0" w:firstLineChars="0"/>
                    <w:jc w:val="center"/>
                    <w:rPr>
                      <w:rFonts w:cs="Times New Roman"/>
                      <w:bCs/>
                      <w:sz w:val="18"/>
                      <w:szCs w:val="18"/>
                    </w:rPr>
                  </w:pPr>
                  <w:r>
                    <w:rPr>
                      <w:rFonts w:cs="Times New Roman"/>
                      <w:sz w:val="18"/>
                      <w:szCs w:val="18"/>
                      <w:shd w:val="clear" w:color="auto" w:fill="FFFFFF"/>
                    </w:rPr>
                    <w:t>生态保护红线区域</w:t>
                  </w:r>
                </w:p>
              </w:tc>
              <w:tc>
                <w:tcPr>
                  <w:tcW w:w="2763" w:type="dxa"/>
                  <w:tcBorders>
                    <w:tl2br w:val="nil"/>
                    <w:tr2bl w:val="nil"/>
                  </w:tcBorders>
                  <w:vAlign w:val="center"/>
                </w:tcPr>
                <w:p w14:paraId="721EF728">
                  <w:pPr>
                    <w:pStyle w:val="62"/>
                    <w:spacing w:line="240" w:lineRule="auto"/>
                    <w:ind w:firstLine="0" w:firstLineChars="0"/>
                    <w:jc w:val="center"/>
                    <w:rPr>
                      <w:rFonts w:cs="Times New Roman"/>
                      <w:bCs/>
                      <w:sz w:val="18"/>
                      <w:szCs w:val="18"/>
                    </w:rPr>
                  </w:pPr>
                  <w:r>
                    <w:rPr>
                      <w:rFonts w:hint="eastAsia" w:cs="Times New Roman"/>
                      <w:bCs/>
                      <w:sz w:val="18"/>
                      <w:szCs w:val="18"/>
                    </w:rPr>
                    <w:t>本</w:t>
                  </w:r>
                  <w:r>
                    <w:rPr>
                      <w:rFonts w:cs="Times New Roman"/>
                      <w:bCs/>
                      <w:sz w:val="18"/>
                      <w:szCs w:val="18"/>
                    </w:rPr>
                    <w:t>项目不涉及生态保护红线区域</w:t>
                  </w:r>
                </w:p>
              </w:tc>
              <w:tc>
                <w:tcPr>
                  <w:tcW w:w="1164" w:type="dxa"/>
                  <w:tcBorders>
                    <w:tl2br w:val="nil"/>
                    <w:tr2bl w:val="nil"/>
                  </w:tcBorders>
                  <w:vAlign w:val="center"/>
                </w:tcPr>
                <w:p w14:paraId="6DE13B09">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70676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4CF6049B">
                  <w:pPr>
                    <w:pStyle w:val="62"/>
                    <w:spacing w:line="240" w:lineRule="auto"/>
                    <w:ind w:firstLine="0" w:firstLineChars="0"/>
                    <w:jc w:val="center"/>
                    <w:rPr>
                      <w:rStyle w:val="35"/>
                      <w:b w:val="0"/>
                      <w:spacing w:val="7"/>
                      <w:sz w:val="18"/>
                      <w:szCs w:val="18"/>
                    </w:rPr>
                  </w:pPr>
                </w:p>
              </w:tc>
              <w:tc>
                <w:tcPr>
                  <w:tcW w:w="2166" w:type="dxa"/>
                  <w:tcBorders>
                    <w:tl2br w:val="nil"/>
                    <w:tr2bl w:val="nil"/>
                  </w:tcBorders>
                  <w:vAlign w:val="center"/>
                </w:tcPr>
                <w:p w14:paraId="2EA00BAF">
                  <w:pPr>
                    <w:pStyle w:val="62"/>
                    <w:spacing w:line="240" w:lineRule="auto"/>
                    <w:ind w:firstLine="0" w:firstLineChars="0"/>
                    <w:jc w:val="center"/>
                    <w:rPr>
                      <w:rFonts w:cs="Times New Roman"/>
                      <w:bCs/>
                      <w:sz w:val="18"/>
                      <w:szCs w:val="18"/>
                    </w:rPr>
                  </w:pPr>
                  <w:r>
                    <w:rPr>
                      <w:rFonts w:cs="Times New Roman"/>
                      <w:sz w:val="18"/>
                      <w:szCs w:val="18"/>
                      <w:shd w:val="clear" w:color="auto" w:fill="FFFFFF"/>
                    </w:rPr>
                    <w:t>世界自然遗产地、国有林场、重要湿地、省级以上森林公园、湿地公园、地质公园、风景名胜区</w:t>
                  </w:r>
                </w:p>
              </w:tc>
              <w:tc>
                <w:tcPr>
                  <w:tcW w:w="2763" w:type="dxa"/>
                  <w:tcBorders>
                    <w:tl2br w:val="nil"/>
                    <w:tr2bl w:val="nil"/>
                  </w:tcBorders>
                  <w:vAlign w:val="center"/>
                </w:tcPr>
                <w:p w14:paraId="29C31F0B">
                  <w:pPr>
                    <w:pStyle w:val="62"/>
                    <w:spacing w:line="240" w:lineRule="auto"/>
                    <w:ind w:firstLine="0" w:firstLineChars="0"/>
                    <w:jc w:val="center"/>
                    <w:rPr>
                      <w:rFonts w:cs="Times New Roman"/>
                      <w:bCs/>
                      <w:sz w:val="18"/>
                      <w:szCs w:val="18"/>
                    </w:rPr>
                  </w:pPr>
                  <w:r>
                    <w:rPr>
                      <w:rFonts w:cs="Times New Roman"/>
                      <w:bCs/>
                      <w:sz w:val="18"/>
                      <w:szCs w:val="18"/>
                    </w:rPr>
                    <w:t>本项目占地不涉及以上保护区</w:t>
                  </w:r>
                </w:p>
              </w:tc>
              <w:tc>
                <w:tcPr>
                  <w:tcW w:w="1164" w:type="dxa"/>
                  <w:tcBorders>
                    <w:tl2br w:val="nil"/>
                    <w:tr2bl w:val="nil"/>
                  </w:tcBorders>
                  <w:vAlign w:val="center"/>
                </w:tcPr>
                <w:p w14:paraId="6EF85266">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70571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2DD12F48">
                  <w:pPr>
                    <w:pStyle w:val="62"/>
                    <w:spacing w:line="240" w:lineRule="auto"/>
                    <w:ind w:firstLine="0" w:firstLineChars="0"/>
                    <w:jc w:val="center"/>
                    <w:rPr>
                      <w:rStyle w:val="35"/>
                      <w:b w:val="0"/>
                      <w:spacing w:val="7"/>
                      <w:sz w:val="18"/>
                      <w:szCs w:val="18"/>
                    </w:rPr>
                  </w:pPr>
                </w:p>
              </w:tc>
              <w:tc>
                <w:tcPr>
                  <w:tcW w:w="2166" w:type="dxa"/>
                  <w:tcBorders>
                    <w:tl2br w:val="nil"/>
                    <w:tr2bl w:val="nil"/>
                  </w:tcBorders>
                  <w:vAlign w:val="center"/>
                </w:tcPr>
                <w:p w14:paraId="7ED36C3E">
                  <w:pPr>
                    <w:pStyle w:val="62"/>
                    <w:spacing w:line="240" w:lineRule="auto"/>
                    <w:ind w:firstLine="0" w:firstLineChars="0"/>
                    <w:jc w:val="center"/>
                    <w:rPr>
                      <w:rFonts w:cs="Times New Roman"/>
                      <w:sz w:val="18"/>
                      <w:szCs w:val="18"/>
                      <w:shd w:val="clear" w:color="auto" w:fill="FFFFFF"/>
                    </w:rPr>
                  </w:pPr>
                  <w:r>
                    <w:rPr>
                      <w:rFonts w:cs="Times New Roman"/>
                      <w:sz w:val="18"/>
                      <w:szCs w:val="18"/>
                      <w:shd w:val="clear" w:color="auto" w:fill="FFFFFF"/>
                    </w:rPr>
                    <w:t>县级以上人民政府规定并发布的鸟类迁徙通道</w:t>
                  </w:r>
                </w:p>
              </w:tc>
              <w:tc>
                <w:tcPr>
                  <w:tcW w:w="2763" w:type="dxa"/>
                  <w:tcBorders>
                    <w:tl2br w:val="nil"/>
                    <w:tr2bl w:val="nil"/>
                  </w:tcBorders>
                  <w:vAlign w:val="center"/>
                </w:tcPr>
                <w:p w14:paraId="77346169">
                  <w:pPr>
                    <w:pStyle w:val="62"/>
                    <w:spacing w:line="240" w:lineRule="auto"/>
                    <w:ind w:firstLine="0" w:firstLineChars="0"/>
                    <w:jc w:val="center"/>
                    <w:rPr>
                      <w:rFonts w:cs="Times New Roman"/>
                      <w:bCs/>
                      <w:sz w:val="18"/>
                      <w:szCs w:val="18"/>
                    </w:rPr>
                  </w:pPr>
                  <w:r>
                    <w:rPr>
                      <w:rFonts w:cs="Times New Roman"/>
                      <w:bCs/>
                      <w:sz w:val="18"/>
                      <w:szCs w:val="18"/>
                    </w:rPr>
                    <w:t>本项目区域不涉及</w:t>
                  </w:r>
                  <w:r>
                    <w:rPr>
                      <w:rFonts w:cs="Times New Roman"/>
                      <w:sz w:val="18"/>
                      <w:szCs w:val="18"/>
                      <w:shd w:val="clear" w:color="auto" w:fill="FFFFFF"/>
                    </w:rPr>
                    <w:t>鸟类迁徙通道</w:t>
                  </w:r>
                </w:p>
              </w:tc>
              <w:tc>
                <w:tcPr>
                  <w:tcW w:w="1164" w:type="dxa"/>
                  <w:tcBorders>
                    <w:tl2br w:val="nil"/>
                    <w:tr2bl w:val="nil"/>
                  </w:tcBorders>
                  <w:vAlign w:val="center"/>
                </w:tcPr>
                <w:p w14:paraId="4623F796">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6B40D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7A13BBA5">
                  <w:pPr>
                    <w:pStyle w:val="62"/>
                    <w:spacing w:line="240" w:lineRule="auto"/>
                    <w:ind w:firstLine="0" w:firstLineChars="0"/>
                    <w:jc w:val="center"/>
                    <w:rPr>
                      <w:rStyle w:val="35"/>
                      <w:b w:val="0"/>
                      <w:spacing w:val="7"/>
                      <w:sz w:val="18"/>
                      <w:szCs w:val="18"/>
                    </w:rPr>
                  </w:pPr>
                </w:p>
              </w:tc>
              <w:tc>
                <w:tcPr>
                  <w:tcW w:w="2166" w:type="dxa"/>
                  <w:tcBorders>
                    <w:tl2br w:val="nil"/>
                    <w:tr2bl w:val="nil"/>
                  </w:tcBorders>
                  <w:vAlign w:val="center"/>
                </w:tcPr>
                <w:p w14:paraId="07365693">
                  <w:pPr>
                    <w:pStyle w:val="62"/>
                    <w:spacing w:line="240" w:lineRule="auto"/>
                    <w:ind w:firstLine="0" w:firstLineChars="0"/>
                    <w:jc w:val="center"/>
                    <w:rPr>
                      <w:rFonts w:cs="Times New Roman"/>
                      <w:bCs/>
                      <w:sz w:val="18"/>
                      <w:szCs w:val="18"/>
                    </w:rPr>
                  </w:pPr>
                  <w:r>
                    <w:rPr>
                      <w:rFonts w:cs="Times New Roman"/>
                      <w:sz w:val="18"/>
                      <w:szCs w:val="18"/>
                      <w:shd w:val="clear" w:color="auto" w:fill="FFFFFF"/>
                    </w:rPr>
                    <w:t>海拔800米以上且坡度36度以上、母岩为强风化花岗岩、砂岩或石灰岩区域</w:t>
                  </w:r>
                </w:p>
              </w:tc>
              <w:tc>
                <w:tcPr>
                  <w:tcW w:w="2763" w:type="dxa"/>
                  <w:tcBorders>
                    <w:tl2br w:val="nil"/>
                    <w:tr2bl w:val="nil"/>
                  </w:tcBorders>
                  <w:vAlign w:val="center"/>
                </w:tcPr>
                <w:p w14:paraId="7FD5E45A">
                  <w:pPr>
                    <w:pStyle w:val="62"/>
                    <w:wordWrap w:val="0"/>
                    <w:spacing w:line="240" w:lineRule="auto"/>
                    <w:ind w:firstLine="0" w:firstLineChars="0"/>
                    <w:jc w:val="left"/>
                    <w:rPr>
                      <w:rFonts w:cs="Times New Roman"/>
                      <w:bCs/>
                      <w:sz w:val="18"/>
                      <w:szCs w:val="18"/>
                    </w:rPr>
                  </w:pPr>
                  <w:r>
                    <w:rPr>
                      <w:rFonts w:cs="Times New Roman"/>
                      <w:bCs/>
                      <w:sz w:val="18"/>
                      <w:szCs w:val="18"/>
                    </w:rPr>
                    <w:t>本项目风机点位海拔</w:t>
                  </w:r>
                  <w:r>
                    <w:rPr>
                      <w:rFonts w:hint="eastAsia" w:cs="Times New Roman"/>
                      <w:bCs/>
                      <w:sz w:val="18"/>
                      <w:szCs w:val="18"/>
                      <w:lang w:val="en-US" w:eastAsia="zh-CN"/>
                    </w:rPr>
                    <w:t>45</w:t>
                  </w:r>
                  <w:r>
                    <w:rPr>
                      <w:rFonts w:cs="Times New Roman"/>
                      <w:bCs/>
                      <w:sz w:val="18"/>
                      <w:szCs w:val="18"/>
                    </w:rPr>
                    <w:t>0m-</w:t>
                  </w:r>
                  <w:r>
                    <w:rPr>
                      <w:rFonts w:hint="eastAsia" w:cs="Times New Roman"/>
                      <w:bCs/>
                      <w:sz w:val="18"/>
                      <w:szCs w:val="18"/>
                      <w:lang w:val="en-US" w:eastAsia="zh-CN"/>
                    </w:rPr>
                    <w:t>65</w:t>
                  </w:r>
                  <w:r>
                    <w:rPr>
                      <w:rFonts w:hint="eastAsia" w:cs="Times New Roman"/>
                      <w:bCs/>
                      <w:sz w:val="18"/>
                      <w:szCs w:val="18"/>
                    </w:rPr>
                    <w:t>0</w:t>
                  </w:r>
                  <w:r>
                    <w:rPr>
                      <w:rFonts w:hint="eastAsia" w:cs="Times New Roman"/>
                      <w:bCs/>
                      <w:sz w:val="18"/>
                      <w:szCs w:val="18"/>
                      <w:lang w:val="en-US" w:eastAsia="zh-CN"/>
                    </w:rPr>
                    <w:t>米</w:t>
                  </w:r>
                  <w:r>
                    <w:rPr>
                      <w:rFonts w:cs="Times New Roman"/>
                      <w:bCs/>
                      <w:sz w:val="18"/>
                      <w:szCs w:val="18"/>
                    </w:rPr>
                    <w:t>，坡度15°</w:t>
                  </w:r>
                  <w:r>
                    <w:rPr>
                      <w:rFonts w:hint="eastAsia" w:cs="Times New Roman"/>
                      <w:bCs/>
                      <w:sz w:val="18"/>
                      <w:szCs w:val="18"/>
                      <w:lang w:val="en-US" w:eastAsia="zh-CN"/>
                    </w:rPr>
                    <w:t>~</w:t>
                  </w:r>
                  <w:r>
                    <w:rPr>
                      <w:rFonts w:cs="Times New Roman"/>
                      <w:bCs/>
                      <w:sz w:val="18"/>
                      <w:szCs w:val="18"/>
                    </w:rPr>
                    <w:t>30°；</w:t>
                  </w:r>
                  <w:r>
                    <w:rPr>
                      <w:rFonts w:hint="eastAsia" w:cs="Times New Roman"/>
                      <w:bCs/>
                      <w:sz w:val="18"/>
                      <w:szCs w:val="18"/>
                    </w:rPr>
                    <w:t>本</w:t>
                  </w:r>
                  <w:r>
                    <w:rPr>
                      <w:rFonts w:cs="Times New Roman"/>
                      <w:bCs/>
                      <w:sz w:val="18"/>
                      <w:szCs w:val="18"/>
                    </w:rPr>
                    <w:t>项目</w:t>
                  </w:r>
                  <w:r>
                    <w:rPr>
                      <w:rFonts w:hint="eastAsia" w:cs="Times New Roman"/>
                      <w:bCs/>
                      <w:sz w:val="18"/>
                      <w:szCs w:val="18"/>
                    </w:rPr>
                    <w:t>占地区域</w:t>
                  </w:r>
                  <w:r>
                    <w:rPr>
                      <w:rFonts w:cs="Times New Roman"/>
                      <w:bCs/>
                      <w:sz w:val="18"/>
                      <w:szCs w:val="18"/>
                    </w:rPr>
                    <w:t>主要为</w:t>
                  </w:r>
                  <w:r>
                    <w:rPr>
                      <w:rFonts w:hint="eastAsia" w:cs="Times New Roman"/>
                      <w:bCs/>
                      <w:sz w:val="18"/>
                      <w:szCs w:val="18"/>
                    </w:rPr>
                    <w:t>板</w:t>
                  </w:r>
                  <w:r>
                    <w:rPr>
                      <w:rFonts w:hint="eastAsia" w:cs="Times New Roman"/>
                      <w:bCs/>
                      <w:sz w:val="18"/>
                      <w:szCs w:val="18"/>
                      <w:lang w:eastAsia="zh-CN"/>
                    </w:rPr>
                    <w:t>、</w:t>
                  </w:r>
                  <w:r>
                    <w:rPr>
                      <w:rFonts w:hint="eastAsia" w:cs="Times New Roman"/>
                      <w:bCs/>
                      <w:sz w:val="18"/>
                      <w:szCs w:val="18"/>
                      <w:lang w:val="en-US" w:eastAsia="zh-CN"/>
                    </w:rPr>
                    <w:t>页</w:t>
                  </w:r>
                  <w:r>
                    <w:rPr>
                      <w:rFonts w:hint="eastAsia" w:cs="Times New Roman"/>
                      <w:bCs/>
                      <w:sz w:val="18"/>
                      <w:szCs w:val="18"/>
                    </w:rPr>
                    <w:t>岩</w:t>
                  </w:r>
                </w:p>
              </w:tc>
              <w:tc>
                <w:tcPr>
                  <w:tcW w:w="1164" w:type="dxa"/>
                  <w:tcBorders>
                    <w:tl2br w:val="nil"/>
                    <w:tr2bl w:val="nil"/>
                  </w:tcBorders>
                  <w:vAlign w:val="center"/>
                </w:tcPr>
                <w:p w14:paraId="0DDF62FB">
                  <w:pPr>
                    <w:pStyle w:val="62"/>
                    <w:spacing w:line="240" w:lineRule="auto"/>
                    <w:ind w:firstLine="0" w:firstLineChars="0"/>
                    <w:jc w:val="center"/>
                    <w:rPr>
                      <w:rFonts w:cs="Times New Roman"/>
                      <w:bCs/>
                      <w:sz w:val="18"/>
                      <w:szCs w:val="18"/>
                    </w:rPr>
                  </w:pPr>
                  <w:r>
                    <w:rPr>
                      <w:rFonts w:cs="Times New Roman"/>
                      <w:bCs/>
                      <w:sz w:val="18"/>
                      <w:szCs w:val="18"/>
                    </w:rPr>
                    <w:t>符合</w:t>
                  </w:r>
                </w:p>
              </w:tc>
            </w:tr>
            <w:tr w14:paraId="04570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4" w:type="dxa"/>
                  <w:vMerge w:val="continue"/>
                  <w:tcBorders>
                    <w:tl2br w:val="nil"/>
                    <w:tr2bl w:val="nil"/>
                  </w:tcBorders>
                  <w:vAlign w:val="center"/>
                </w:tcPr>
                <w:p w14:paraId="090352A9">
                  <w:pPr>
                    <w:pStyle w:val="62"/>
                    <w:spacing w:line="240" w:lineRule="auto"/>
                    <w:ind w:firstLine="0" w:firstLineChars="0"/>
                    <w:jc w:val="center"/>
                    <w:rPr>
                      <w:rFonts w:cs="Times New Roman"/>
                      <w:bCs/>
                      <w:sz w:val="18"/>
                      <w:szCs w:val="18"/>
                    </w:rPr>
                  </w:pPr>
                </w:p>
              </w:tc>
              <w:tc>
                <w:tcPr>
                  <w:tcW w:w="2166" w:type="dxa"/>
                  <w:tcBorders>
                    <w:tl2br w:val="nil"/>
                    <w:tr2bl w:val="nil"/>
                  </w:tcBorders>
                  <w:vAlign w:val="center"/>
                </w:tcPr>
                <w:p w14:paraId="5655823A">
                  <w:pPr>
                    <w:pStyle w:val="62"/>
                    <w:spacing w:line="240" w:lineRule="auto"/>
                    <w:ind w:firstLine="0" w:firstLineChars="0"/>
                    <w:jc w:val="center"/>
                    <w:rPr>
                      <w:rFonts w:cs="Times New Roman"/>
                      <w:bCs/>
                      <w:sz w:val="18"/>
                      <w:szCs w:val="18"/>
                    </w:rPr>
                  </w:pPr>
                  <w:r>
                    <w:rPr>
                      <w:rFonts w:cs="Times New Roman"/>
                      <w:sz w:val="18"/>
                      <w:szCs w:val="18"/>
                      <w:shd w:val="clear" w:color="auto" w:fill="FFFFFF"/>
                    </w:rPr>
                    <w:t>各县市（区）最高峰或地标性山峰地域</w:t>
                  </w:r>
                </w:p>
              </w:tc>
              <w:tc>
                <w:tcPr>
                  <w:tcW w:w="2763" w:type="dxa"/>
                  <w:tcBorders>
                    <w:tl2br w:val="nil"/>
                    <w:tr2bl w:val="nil"/>
                  </w:tcBorders>
                  <w:vAlign w:val="center"/>
                </w:tcPr>
                <w:p w14:paraId="705C539E">
                  <w:pPr>
                    <w:pStyle w:val="62"/>
                    <w:spacing w:line="240" w:lineRule="auto"/>
                    <w:ind w:firstLine="0" w:firstLineChars="0"/>
                    <w:jc w:val="center"/>
                    <w:rPr>
                      <w:rFonts w:cs="Times New Roman"/>
                      <w:bCs/>
                      <w:sz w:val="18"/>
                      <w:szCs w:val="18"/>
                    </w:rPr>
                  </w:pPr>
                  <w:r>
                    <w:rPr>
                      <w:rFonts w:cs="Times New Roman"/>
                      <w:bCs/>
                      <w:sz w:val="18"/>
                      <w:szCs w:val="18"/>
                    </w:rPr>
                    <w:t>项目区域</w:t>
                  </w:r>
                  <w:r>
                    <w:rPr>
                      <w:rFonts w:hint="eastAsia" w:cs="Times New Roman"/>
                      <w:bCs/>
                      <w:sz w:val="18"/>
                      <w:szCs w:val="18"/>
                      <w:lang w:val="en-US" w:eastAsia="zh-CN"/>
                    </w:rPr>
                    <w:t>不属于</w:t>
                  </w:r>
                  <w:r>
                    <w:rPr>
                      <w:rFonts w:cs="Times New Roman"/>
                      <w:bCs/>
                      <w:sz w:val="18"/>
                      <w:szCs w:val="18"/>
                    </w:rPr>
                    <w:t>区域最高峰</w:t>
                  </w:r>
                  <w:r>
                    <w:rPr>
                      <w:rFonts w:hint="eastAsia" w:cs="Times New Roman"/>
                      <w:bCs/>
                      <w:sz w:val="18"/>
                      <w:szCs w:val="18"/>
                      <w:lang w:val="en-US" w:eastAsia="zh-CN"/>
                    </w:rPr>
                    <w:t>或</w:t>
                  </w:r>
                  <w:r>
                    <w:rPr>
                      <w:rFonts w:cs="Times New Roman"/>
                      <w:bCs/>
                      <w:sz w:val="18"/>
                      <w:szCs w:val="18"/>
                    </w:rPr>
                    <w:t>地标性山峰地域</w:t>
                  </w:r>
                </w:p>
              </w:tc>
              <w:tc>
                <w:tcPr>
                  <w:tcW w:w="1164" w:type="dxa"/>
                  <w:tcBorders>
                    <w:tl2br w:val="nil"/>
                    <w:tr2bl w:val="nil"/>
                  </w:tcBorders>
                  <w:vAlign w:val="center"/>
                </w:tcPr>
                <w:p w14:paraId="6545BE97">
                  <w:pPr>
                    <w:pStyle w:val="62"/>
                    <w:spacing w:line="240" w:lineRule="auto"/>
                    <w:ind w:firstLine="0" w:firstLineChars="0"/>
                    <w:jc w:val="center"/>
                    <w:rPr>
                      <w:rFonts w:cs="Times New Roman"/>
                      <w:bCs/>
                      <w:sz w:val="18"/>
                      <w:szCs w:val="18"/>
                    </w:rPr>
                  </w:pPr>
                  <w:r>
                    <w:rPr>
                      <w:rFonts w:cs="Times New Roman"/>
                      <w:bCs/>
                      <w:sz w:val="18"/>
                      <w:szCs w:val="18"/>
                    </w:rPr>
                    <w:t>符合</w:t>
                  </w:r>
                </w:p>
              </w:tc>
            </w:tr>
          </w:tbl>
          <w:p w14:paraId="276C104F">
            <w:pPr>
              <w:keepNext w:val="0"/>
              <w:keepLines w:val="0"/>
              <w:pageBreakBefore w:val="0"/>
              <w:kinsoku/>
              <w:wordWrap/>
              <w:overflowPunct/>
              <w:topLinePunct w:val="0"/>
              <w:autoSpaceDE w:val="0"/>
              <w:autoSpaceDN w:val="0"/>
              <w:bidi w:val="0"/>
              <w:spacing w:line="360" w:lineRule="auto"/>
              <w:ind w:firstLine="480" w:firstLineChars="200"/>
              <w:textAlignment w:val="auto"/>
              <w:rPr>
                <w:rFonts w:hint="default" w:ascii="Times New Roman" w:hAnsi="宋体" w:cs="Times New Roman"/>
                <w:color w:val="FF0000"/>
                <w:sz w:val="24"/>
                <w:lang w:val="en-US" w:eastAsia="zh-CN"/>
              </w:rPr>
            </w:pPr>
            <w:r>
              <w:rPr>
                <w:rFonts w:hint="eastAsia" w:ascii="Times New Roman" w:hAnsi="宋体" w:cs="Times New Roman"/>
                <w:color w:val="FF0000"/>
                <w:sz w:val="24"/>
                <w:lang w:val="en-US" w:eastAsia="zh-CN"/>
              </w:rPr>
              <w:t>（3）与《关于规范风电场项目建设使用林地的通知》（林资发[2019]17号）的符合性分析</w:t>
            </w:r>
          </w:p>
          <w:p w14:paraId="21085F73">
            <w:pPr>
              <w:keepNext w:val="0"/>
              <w:keepLines w:val="0"/>
              <w:pageBreakBefore w:val="0"/>
              <w:kinsoku/>
              <w:wordWrap/>
              <w:overflowPunct/>
              <w:topLinePunct w:val="0"/>
              <w:autoSpaceDE w:val="0"/>
              <w:autoSpaceDN w:val="0"/>
              <w:bidi w:val="0"/>
              <w:spacing w:line="360" w:lineRule="auto"/>
              <w:ind w:firstLine="480" w:firstLineChars="200"/>
              <w:textAlignment w:val="auto"/>
              <w:rPr>
                <w:rFonts w:hint="default" w:ascii="Times New Roman" w:hAnsi="宋体" w:cs="Times New Roman"/>
                <w:color w:val="auto"/>
                <w:sz w:val="24"/>
                <w:lang w:val="en-US" w:eastAsia="zh-CN"/>
              </w:rPr>
            </w:pPr>
            <w:r>
              <w:rPr>
                <w:rFonts w:hint="eastAsia" w:ascii="Times New Roman" w:hAnsi="宋体" w:cs="Times New Roman"/>
                <w:color w:val="auto"/>
                <w:sz w:val="24"/>
                <w:lang w:val="en-US" w:eastAsia="zh-CN"/>
              </w:rPr>
              <w:t>本项目不涉及自然遗产地、国家公园、自然保护区、森林公园、湿地公园、地质公园、风景名胜区、鸟类主要迁徙通道等林地禁建区域，也未占用天然乔木林、有林地、一级国家级公益林地和二级国家级公益林中的有林地等林地限制使用区域。同时本项目已编制了水土保持方案并通过了水利部门的批复，水土保持方案中已针对施工期提出了各项水土保持防治措施。因此，本项目符合《关于规范风电场项目建设使用林地的通知》（林资发[2019]17号）。</w:t>
            </w:r>
          </w:p>
          <w:p w14:paraId="1B43D61B">
            <w:pPr>
              <w:pStyle w:val="62"/>
              <w:keepNext w:val="0"/>
              <w:keepLines w:val="0"/>
              <w:pageBreakBefore w:val="0"/>
              <w:kinsoku/>
              <w:wordWrap/>
              <w:overflowPunct/>
              <w:topLinePunct w:val="0"/>
              <w:bidi w:val="0"/>
              <w:spacing w:line="240" w:lineRule="auto"/>
              <w:ind w:firstLine="0" w:firstLineChars="0"/>
              <w:jc w:val="center"/>
              <w:textAlignment w:val="auto"/>
              <w:rPr>
                <w:rFonts w:cs="Times New Roman"/>
                <w:b/>
                <w:bCs/>
                <w:sz w:val="21"/>
                <w:szCs w:val="21"/>
              </w:rPr>
            </w:pPr>
            <w:r>
              <w:rPr>
                <w:rFonts w:cs="Times New Roman"/>
                <w:b/>
                <w:bCs/>
                <w:color w:val="FF0000"/>
                <w:sz w:val="21"/>
                <w:szCs w:val="21"/>
              </w:rPr>
              <w:t>表1-</w:t>
            </w:r>
            <w:r>
              <w:rPr>
                <w:rFonts w:hint="eastAsia" w:cs="Times New Roman"/>
                <w:b/>
                <w:bCs/>
                <w:color w:val="FF0000"/>
                <w:sz w:val="21"/>
                <w:szCs w:val="21"/>
                <w:lang w:val="en-US" w:eastAsia="zh-CN"/>
              </w:rPr>
              <w:t xml:space="preserve">4  </w:t>
            </w:r>
            <w:r>
              <w:rPr>
                <w:rFonts w:cs="Times New Roman"/>
                <w:b/>
                <w:bCs/>
                <w:color w:val="FF0000"/>
                <w:sz w:val="21"/>
                <w:szCs w:val="21"/>
              </w:rPr>
              <w:t>与</w:t>
            </w:r>
            <w:r>
              <w:rPr>
                <w:rFonts w:hint="eastAsia" w:cs="Times New Roman"/>
                <w:b/>
                <w:bCs/>
                <w:color w:val="FF0000"/>
                <w:sz w:val="21"/>
                <w:szCs w:val="21"/>
              </w:rPr>
              <w:t>林资发</w:t>
            </w:r>
            <w:r>
              <w:rPr>
                <w:rFonts w:hint="eastAsia" w:cs="Times New Roman"/>
                <w:b/>
                <w:bCs/>
                <w:color w:val="FF0000"/>
                <w:sz w:val="21"/>
                <w:szCs w:val="21"/>
                <w:lang w:val="en-US" w:eastAsia="zh-CN"/>
              </w:rPr>
              <w:t>[</w:t>
            </w:r>
            <w:r>
              <w:rPr>
                <w:rFonts w:hint="eastAsia" w:cs="Times New Roman"/>
                <w:b/>
                <w:bCs/>
                <w:color w:val="FF0000"/>
                <w:sz w:val="21"/>
                <w:szCs w:val="21"/>
              </w:rPr>
              <w:t>2019</w:t>
            </w:r>
            <w:r>
              <w:rPr>
                <w:rFonts w:hint="eastAsia" w:cs="Times New Roman"/>
                <w:b/>
                <w:bCs/>
                <w:color w:val="FF0000"/>
                <w:sz w:val="21"/>
                <w:szCs w:val="21"/>
                <w:lang w:val="en-US" w:eastAsia="zh-CN"/>
              </w:rPr>
              <w:t>]</w:t>
            </w:r>
            <w:r>
              <w:rPr>
                <w:rFonts w:hint="eastAsia" w:cs="Times New Roman"/>
                <w:b/>
                <w:bCs/>
                <w:color w:val="FF0000"/>
                <w:sz w:val="21"/>
                <w:szCs w:val="21"/>
              </w:rPr>
              <w:t>17号</w:t>
            </w:r>
            <w:r>
              <w:rPr>
                <w:rFonts w:hint="eastAsia" w:cs="Times New Roman"/>
                <w:b/>
                <w:bCs/>
                <w:color w:val="FF0000"/>
                <w:sz w:val="21"/>
                <w:szCs w:val="21"/>
                <w:lang w:val="en-US" w:eastAsia="zh-CN"/>
              </w:rPr>
              <w:t>的</w:t>
            </w:r>
            <w:r>
              <w:rPr>
                <w:rFonts w:cs="Times New Roman"/>
                <w:b/>
                <w:bCs/>
                <w:color w:val="FF0000"/>
                <w:sz w:val="21"/>
                <w:szCs w:val="21"/>
              </w:rPr>
              <w:t>符合性分析</w:t>
            </w:r>
          </w:p>
          <w:tbl>
            <w:tblPr>
              <w:tblStyle w:val="32"/>
              <w:tblW w:w="4997"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2911"/>
              <w:gridCol w:w="2371"/>
              <w:gridCol w:w="802"/>
            </w:tblGrid>
            <w:tr w14:paraId="70C95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tcBorders>
                    <w:tl2br w:val="nil"/>
                    <w:tr2bl w:val="nil"/>
                  </w:tcBorders>
                  <w:vAlign w:val="center"/>
                </w:tcPr>
                <w:p w14:paraId="688D6330">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类别</w:t>
                  </w:r>
                </w:p>
              </w:tc>
              <w:tc>
                <w:tcPr>
                  <w:tcW w:w="2054" w:type="pct"/>
                  <w:tcBorders>
                    <w:tl2br w:val="nil"/>
                    <w:tr2bl w:val="nil"/>
                  </w:tcBorders>
                  <w:vAlign w:val="center"/>
                </w:tcPr>
                <w:p w14:paraId="515F623D">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具体要求</w:t>
                  </w:r>
                </w:p>
              </w:tc>
              <w:tc>
                <w:tcPr>
                  <w:tcW w:w="1673" w:type="pct"/>
                  <w:tcBorders>
                    <w:tl2br w:val="nil"/>
                    <w:tr2bl w:val="nil"/>
                  </w:tcBorders>
                  <w:vAlign w:val="center"/>
                </w:tcPr>
                <w:p w14:paraId="1E42B2DA">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本项目情况</w:t>
                  </w:r>
                </w:p>
              </w:tc>
              <w:tc>
                <w:tcPr>
                  <w:tcW w:w="566" w:type="pct"/>
                  <w:tcBorders>
                    <w:tl2br w:val="nil"/>
                    <w:tr2bl w:val="nil"/>
                  </w:tcBorders>
                  <w:vAlign w:val="center"/>
                </w:tcPr>
                <w:p w14:paraId="0C2EFE89">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符合性</w:t>
                  </w:r>
                </w:p>
              </w:tc>
            </w:tr>
            <w:tr w14:paraId="0AD96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tcBorders>
                    <w:tl2br w:val="nil"/>
                    <w:tr2bl w:val="nil"/>
                  </w:tcBorders>
                  <w:vAlign w:val="center"/>
                </w:tcPr>
                <w:p w14:paraId="37CD00D9">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Style w:val="35"/>
                      <w:rFonts w:hAnsi="宋体" w:cs="Times New Roman"/>
                      <w:b w:val="0"/>
                      <w:spacing w:val="7"/>
                      <w:sz w:val="18"/>
                      <w:szCs w:val="18"/>
                    </w:rPr>
                    <w:t>风电场建设使用林地禁建区域</w:t>
                  </w:r>
                </w:p>
              </w:tc>
              <w:tc>
                <w:tcPr>
                  <w:tcW w:w="2054" w:type="pct"/>
                  <w:tcBorders>
                    <w:tl2br w:val="nil"/>
                    <w:tr2bl w:val="nil"/>
                  </w:tcBorders>
                  <w:vAlign w:val="center"/>
                </w:tcPr>
                <w:p w14:paraId="16915D16">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自然遗产地、国家公园、自然保护区、森林公园、湿地公园、地质公园、风景名胜区、鸟类主要迁徙通道和迁徙地等区域以及沿海基干林带和消浪林带，为风电场项目禁止建设区域。</w:t>
                  </w:r>
                </w:p>
              </w:tc>
              <w:tc>
                <w:tcPr>
                  <w:tcW w:w="1673" w:type="pct"/>
                  <w:tcBorders>
                    <w:tl2br w:val="nil"/>
                    <w:tr2bl w:val="nil"/>
                  </w:tcBorders>
                  <w:vAlign w:val="center"/>
                </w:tcPr>
                <w:p w14:paraId="6548BF51">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ascii="宋体" w:hAnsi="宋体" w:cs="Times New Roman"/>
                      <w:bCs/>
                      <w:sz w:val="18"/>
                      <w:szCs w:val="18"/>
                    </w:rPr>
                    <w:t>①</w:t>
                  </w:r>
                  <w:r>
                    <w:rPr>
                      <w:rFonts w:hint="eastAsia" w:hAnsi="宋体" w:cs="Times New Roman"/>
                      <w:bCs/>
                      <w:sz w:val="18"/>
                      <w:szCs w:val="18"/>
                    </w:rPr>
                    <w:t>本</w:t>
                  </w:r>
                  <w:r>
                    <w:rPr>
                      <w:rFonts w:hAnsi="宋体" w:cs="Times New Roman"/>
                      <w:bCs/>
                      <w:sz w:val="18"/>
                      <w:szCs w:val="18"/>
                    </w:rPr>
                    <w:t>项目占地不涉及上述生态敏感区</w:t>
                  </w:r>
                  <w:r>
                    <w:rPr>
                      <w:rFonts w:hint="eastAsia" w:hAnsi="宋体" w:cs="Times New Roman"/>
                      <w:bCs/>
                      <w:sz w:val="18"/>
                      <w:szCs w:val="18"/>
                      <w:lang w:eastAsia="zh-CN"/>
                    </w:rPr>
                    <w:t>；</w:t>
                  </w:r>
                  <w:r>
                    <w:rPr>
                      <w:rFonts w:ascii="宋体" w:hAnsi="宋体" w:cs="Times New Roman"/>
                      <w:bCs/>
                      <w:sz w:val="18"/>
                      <w:szCs w:val="18"/>
                    </w:rPr>
                    <w:t>②</w:t>
                  </w:r>
                  <w:r>
                    <w:rPr>
                      <w:rFonts w:hint="eastAsia" w:ascii="宋体" w:hAnsi="宋体" w:cs="Times New Roman"/>
                      <w:bCs/>
                      <w:sz w:val="18"/>
                      <w:szCs w:val="18"/>
                      <w:lang w:val="en-US" w:eastAsia="zh-CN"/>
                    </w:rPr>
                    <w:t>鸟评报告结论显示，项目区域</w:t>
                  </w:r>
                  <w:r>
                    <w:rPr>
                      <w:rFonts w:hint="eastAsia" w:hAnsi="宋体" w:cs="Times New Roman"/>
                      <w:bCs/>
                      <w:sz w:val="18"/>
                      <w:szCs w:val="18"/>
                      <w:lang w:eastAsia="zh-CN"/>
                    </w:rPr>
                    <w:t>不</w:t>
                  </w:r>
                  <w:r>
                    <w:rPr>
                      <w:rFonts w:hint="eastAsia" w:hAnsi="宋体" w:cs="Times New Roman"/>
                      <w:bCs/>
                      <w:sz w:val="18"/>
                      <w:szCs w:val="18"/>
                      <w:lang w:val="en-US" w:eastAsia="zh-CN"/>
                    </w:rPr>
                    <w:t>涉及</w:t>
                  </w:r>
                  <w:r>
                    <w:rPr>
                      <w:rFonts w:hAnsi="宋体" w:cs="Times New Roman"/>
                      <w:bCs/>
                      <w:sz w:val="18"/>
                      <w:szCs w:val="18"/>
                    </w:rPr>
                    <w:t>鸟类主要迁徙通道和迁徙地</w:t>
                  </w:r>
                  <w:r>
                    <w:rPr>
                      <w:rFonts w:hint="eastAsia" w:hAnsi="宋体" w:cs="Times New Roman"/>
                      <w:bCs/>
                      <w:sz w:val="18"/>
                      <w:szCs w:val="18"/>
                      <w:lang w:eastAsia="zh-CN"/>
                    </w:rPr>
                    <w:t>（</w:t>
                  </w:r>
                  <w:r>
                    <w:rPr>
                      <w:rFonts w:hint="eastAsia" w:hAnsi="宋体" w:cs="Times New Roman"/>
                      <w:bCs/>
                      <w:sz w:val="18"/>
                      <w:szCs w:val="18"/>
                      <w:lang w:val="en-US" w:eastAsia="zh-CN"/>
                    </w:rPr>
                    <w:t>具体见鸟评报告专题</w:t>
                  </w:r>
                  <w:r>
                    <w:rPr>
                      <w:rFonts w:hint="eastAsia" w:hAnsi="宋体" w:cs="Times New Roman"/>
                      <w:bCs/>
                      <w:sz w:val="18"/>
                      <w:szCs w:val="18"/>
                      <w:lang w:eastAsia="zh-CN"/>
                    </w:rPr>
                    <w:t>）；</w:t>
                  </w:r>
                  <w:r>
                    <w:rPr>
                      <w:rFonts w:ascii="宋体" w:hAnsi="宋体" w:cs="Times New Roman"/>
                      <w:bCs/>
                      <w:sz w:val="18"/>
                      <w:szCs w:val="18"/>
                    </w:rPr>
                    <w:t>③</w:t>
                  </w:r>
                  <w:r>
                    <w:rPr>
                      <w:rFonts w:hAnsi="宋体" w:cs="Times New Roman"/>
                      <w:bCs/>
                      <w:sz w:val="18"/>
                      <w:szCs w:val="18"/>
                    </w:rPr>
                    <w:t>项目区域不涉及沿海基干林带和消浪林带</w:t>
                  </w:r>
                  <w:r>
                    <w:rPr>
                      <w:rFonts w:hint="eastAsia" w:hAnsi="宋体" w:cs="Times New Roman"/>
                      <w:bCs/>
                      <w:sz w:val="18"/>
                      <w:szCs w:val="18"/>
                    </w:rPr>
                    <w:t>。</w:t>
                  </w:r>
                </w:p>
              </w:tc>
              <w:tc>
                <w:tcPr>
                  <w:tcW w:w="566" w:type="pct"/>
                  <w:tcBorders>
                    <w:tl2br w:val="nil"/>
                    <w:tr2bl w:val="nil"/>
                  </w:tcBorders>
                  <w:vAlign w:val="center"/>
                </w:tcPr>
                <w:p w14:paraId="0C76AC24">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1A3DA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tcBorders>
                    <w:tl2br w:val="nil"/>
                    <w:tr2bl w:val="nil"/>
                  </w:tcBorders>
                  <w:vAlign w:val="center"/>
                </w:tcPr>
                <w:p w14:paraId="55D09966">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Style w:val="35"/>
                      <w:rFonts w:hAnsi="宋体" w:cs="Times New Roman"/>
                      <w:b w:val="0"/>
                      <w:spacing w:val="7"/>
                      <w:sz w:val="18"/>
                      <w:szCs w:val="18"/>
                    </w:rPr>
                    <w:t>风电场建设使用林地限制范围</w:t>
                  </w:r>
                </w:p>
              </w:tc>
              <w:tc>
                <w:tcPr>
                  <w:tcW w:w="2054" w:type="pct"/>
                  <w:tcBorders>
                    <w:tl2br w:val="nil"/>
                    <w:tr2bl w:val="nil"/>
                  </w:tcBorders>
                  <w:vAlign w:val="center"/>
                </w:tcPr>
                <w:p w14:paraId="752501B5">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风机基础、施工和检修道路、升压站、集电线路等，禁止占用天然乔木林（竹林）地、年降雨量</w:t>
                  </w:r>
                  <w:r>
                    <w:rPr>
                      <w:rFonts w:cs="Times New Roman"/>
                      <w:spacing w:val="7"/>
                      <w:sz w:val="18"/>
                      <w:szCs w:val="18"/>
                    </w:rPr>
                    <w:t>400</w:t>
                  </w:r>
                  <w:r>
                    <w:rPr>
                      <w:rFonts w:hAnsi="宋体" w:cs="Times New Roman"/>
                      <w:spacing w:val="7"/>
                      <w:sz w:val="18"/>
                      <w:szCs w:val="18"/>
                    </w:rPr>
                    <w:t>毫米以下区域的有林地、一级国家级公益林地和二级国家级公益林中的有林地。</w:t>
                  </w:r>
                </w:p>
              </w:tc>
              <w:tc>
                <w:tcPr>
                  <w:tcW w:w="1673" w:type="pct"/>
                  <w:tcBorders>
                    <w:tl2br w:val="nil"/>
                    <w:tr2bl w:val="nil"/>
                  </w:tcBorders>
                  <w:vAlign w:val="center"/>
                </w:tcPr>
                <w:p w14:paraId="52D7FE9B">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spacing w:val="7"/>
                      <w:sz w:val="18"/>
                      <w:szCs w:val="18"/>
                    </w:rPr>
                  </w:pPr>
                  <w:r>
                    <w:rPr>
                      <w:rFonts w:ascii="宋体" w:hAnsi="宋体" w:cs="Times New Roman"/>
                      <w:bCs/>
                      <w:sz w:val="18"/>
                      <w:szCs w:val="18"/>
                    </w:rPr>
                    <w:t>①</w:t>
                  </w:r>
                  <w:r>
                    <w:rPr>
                      <w:rFonts w:hAnsi="宋体" w:cs="Times New Roman"/>
                      <w:bCs/>
                      <w:sz w:val="18"/>
                      <w:szCs w:val="18"/>
                    </w:rPr>
                    <w:t>项目不占用天然乔木林</w:t>
                  </w:r>
                  <w:r>
                    <w:rPr>
                      <w:rFonts w:hAnsi="宋体" w:cs="Times New Roman"/>
                      <w:spacing w:val="7"/>
                      <w:sz w:val="18"/>
                      <w:szCs w:val="18"/>
                    </w:rPr>
                    <w:t>地</w:t>
                  </w:r>
                  <w:r>
                    <w:rPr>
                      <w:rFonts w:hint="eastAsia" w:hAnsi="宋体" w:cs="Times New Roman"/>
                      <w:spacing w:val="7"/>
                      <w:sz w:val="18"/>
                      <w:szCs w:val="18"/>
                      <w:lang w:val="en-US" w:eastAsia="zh-CN"/>
                    </w:rPr>
                    <w:t>；</w:t>
                  </w:r>
                  <w:r>
                    <w:rPr>
                      <w:rFonts w:ascii="宋体" w:hAnsi="宋体" w:cs="Times New Roman"/>
                      <w:spacing w:val="7"/>
                      <w:sz w:val="18"/>
                      <w:szCs w:val="18"/>
                    </w:rPr>
                    <w:t>②</w:t>
                  </w:r>
                  <w:r>
                    <w:rPr>
                      <w:rFonts w:hAnsi="宋体" w:cs="Times New Roman"/>
                      <w:spacing w:val="7"/>
                      <w:sz w:val="18"/>
                      <w:szCs w:val="18"/>
                    </w:rPr>
                    <w:t>本项目所在区域</w:t>
                  </w:r>
                  <w:r>
                    <w:rPr>
                      <w:rFonts w:hint="eastAsia" w:hAnsi="宋体" w:cs="Times New Roman"/>
                      <w:spacing w:val="7"/>
                      <w:sz w:val="18"/>
                      <w:szCs w:val="18"/>
                      <w:lang w:val="en-US" w:eastAsia="zh-CN"/>
                    </w:rPr>
                    <w:t>多</w:t>
                  </w:r>
                  <w:r>
                    <w:rPr>
                      <w:rFonts w:hAnsi="宋体" w:cs="Times New Roman"/>
                      <w:spacing w:val="7"/>
                      <w:sz w:val="18"/>
                      <w:szCs w:val="18"/>
                    </w:rPr>
                    <w:t>年降水量达到</w:t>
                  </w:r>
                  <w:r>
                    <w:rPr>
                      <w:rFonts w:hint="eastAsia" w:cs="Times New Roman"/>
                      <w:spacing w:val="7"/>
                      <w:sz w:val="18"/>
                      <w:szCs w:val="18"/>
                      <w:lang w:val="en-US" w:eastAsia="zh-CN"/>
                    </w:rPr>
                    <w:t>1337</w:t>
                  </w:r>
                  <w:r>
                    <w:rPr>
                      <w:rFonts w:hAnsi="宋体" w:cs="Times New Roman"/>
                      <w:spacing w:val="7"/>
                      <w:sz w:val="18"/>
                      <w:szCs w:val="18"/>
                    </w:rPr>
                    <w:t>毫米以上</w:t>
                  </w:r>
                  <w:r>
                    <w:rPr>
                      <w:rFonts w:hint="eastAsia" w:hAnsi="宋体" w:cs="Times New Roman"/>
                      <w:spacing w:val="7"/>
                      <w:sz w:val="18"/>
                      <w:szCs w:val="18"/>
                      <w:lang w:eastAsia="zh-CN"/>
                    </w:rPr>
                    <w:t>，</w:t>
                  </w:r>
                  <w:r>
                    <w:rPr>
                      <w:rFonts w:hint="eastAsia" w:hAnsi="宋体" w:cs="Times New Roman"/>
                      <w:spacing w:val="7"/>
                      <w:sz w:val="18"/>
                      <w:szCs w:val="18"/>
                      <w:lang w:val="en-US" w:eastAsia="zh-CN"/>
                    </w:rPr>
                    <w:t>远超过年降雨量400毫米；</w:t>
                  </w:r>
                  <w:r>
                    <w:rPr>
                      <w:rFonts w:ascii="宋体" w:hAnsi="宋体" w:cs="Times New Roman"/>
                      <w:spacing w:val="7"/>
                      <w:sz w:val="18"/>
                      <w:szCs w:val="18"/>
                    </w:rPr>
                    <w:t>③</w:t>
                  </w:r>
                  <w:r>
                    <w:rPr>
                      <w:rFonts w:hAnsi="宋体" w:cs="Times New Roman"/>
                      <w:bCs/>
                      <w:sz w:val="18"/>
                      <w:szCs w:val="18"/>
                    </w:rPr>
                    <w:t>本项目不占用年降雨量</w:t>
                  </w:r>
                  <w:r>
                    <w:rPr>
                      <w:rFonts w:cs="Times New Roman"/>
                      <w:bCs/>
                      <w:sz w:val="18"/>
                      <w:szCs w:val="18"/>
                    </w:rPr>
                    <w:t>400mm</w:t>
                  </w:r>
                  <w:r>
                    <w:rPr>
                      <w:rFonts w:hAnsi="宋体" w:cs="Times New Roman"/>
                      <w:bCs/>
                      <w:sz w:val="18"/>
                      <w:szCs w:val="18"/>
                    </w:rPr>
                    <w:t>以下区域的有林地和一级、二级国家公益林地</w:t>
                  </w:r>
                  <w:r>
                    <w:rPr>
                      <w:rFonts w:hint="eastAsia" w:hAnsi="宋体" w:cs="Times New Roman"/>
                      <w:bCs/>
                      <w:sz w:val="18"/>
                      <w:szCs w:val="18"/>
                    </w:rPr>
                    <w:t>有林地。</w:t>
                  </w:r>
                </w:p>
              </w:tc>
              <w:tc>
                <w:tcPr>
                  <w:tcW w:w="566" w:type="pct"/>
                  <w:tcBorders>
                    <w:tl2br w:val="nil"/>
                    <w:tr2bl w:val="nil"/>
                  </w:tcBorders>
                  <w:vAlign w:val="center"/>
                </w:tcPr>
                <w:p w14:paraId="5012C154">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13C314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restart"/>
                  <w:tcBorders>
                    <w:tl2br w:val="nil"/>
                    <w:tr2bl w:val="nil"/>
                  </w:tcBorders>
                  <w:vAlign w:val="center"/>
                </w:tcPr>
                <w:p w14:paraId="60B29249">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Style w:val="35"/>
                      <w:rFonts w:hAnsi="宋体" w:cs="Times New Roman"/>
                      <w:b w:val="0"/>
                      <w:spacing w:val="7"/>
                      <w:sz w:val="18"/>
                      <w:szCs w:val="18"/>
                    </w:rPr>
                    <w:t>强化风电场道路建设和临时用地管理</w:t>
                  </w:r>
                </w:p>
              </w:tc>
              <w:tc>
                <w:tcPr>
                  <w:tcW w:w="2054" w:type="pct"/>
                  <w:tcBorders>
                    <w:tl2br w:val="nil"/>
                    <w:tr2bl w:val="nil"/>
                  </w:tcBorders>
                  <w:vAlign w:val="center"/>
                </w:tcPr>
                <w:p w14:paraId="0B90017B">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风电场施工和检修道路，应尽可能利用现有森林防火道路、林区道路、乡村道路等道路，在其基础上扩建的风电场道路原则上不得改变现有道路性质。</w:t>
                  </w:r>
                </w:p>
              </w:tc>
              <w:tc>
                <w:tcPr>
                  <w:tcW w:w="1673" w:type="pct"/>
                  <w:tcBorders>
                    <w:tl2br w:val="nil"/>
                    <w:tr2bl w:val="nil"/>
                  </w:tcBorders>
                  <w:vAlign w:val="center"/>
                </w:tcPr>
                <w:p w14:paraId="191C6A6B">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进场道路</w:t>
                  </w:r>
                  <w:r>
                    <w:rPr>
                      <w:rFonts w:hint="eastAsia" w:hAnsi="宋体" w:cs="Times New Roman"/>
                      <w:bCs/>
                      <w:sz w:val="18"/>
                      <w:szCs w:val="18"/>
                    </w:rPr>
                    <w:t>尽量</w:t>
                  </w:r>
                  <w:r>
                    <w:rPr>
                      <w:rFonts w:hAnsi="宋体" w:cs="Times New Roman"/>
                      <w:bCs/>
                      <w:sz w:val="18"/>
                      <w:szCs w:val="18"/>
                    </w:rPr>
                    <w:t>利用</w:t>
                  </w:r>
                  <w:r>
                    <w:rPr>
                      <w:rFonts w:hint="eastAsia" w:hAnsi="宋体" w:cs="Times New Roman"/>
                      <w:bCs/>
                      <w:sz w:val="18"/>
                      <w:szCs w:val="18"/>
                    </w:rPr>
                    <w:t>现有道路</w:t>
                  </w:r>
                  <w:r>
                    <w:rPr>
                      <w:rFonts w:hAnsi="宋体" w:cs="Times New Roman"/>
                      <w:bCs/>
                      <w:sz w:val="18"/>
                      <w:szCs w:val="18"/>
                    </w:rPr>
                    <w:t>，</w:t>
                  </w:r>
                  <w:r>
                    <w:rPr>
                      <w:rFonts w:hint="eastAsia" w:hAnsi="宋体" w:cs="Times New Roman"/>
                      <w:bCs/>
                      <w:sz w:val="18"/>
                      <w:szCs w:val="18"/>
                    </w:rPr>
                    <w:t>不改变原有道路性质</w:t>
                  </w:r>
                </w:p>
              </w:tc>
              <w:tc>
                <w:tcPr>
                  <w:tcW w:w="566" w:type="pct"/>
                  <w:tcBorders>
                    <w:tl2br w:val="nil"/>
                    <w:tr2bl w:val="nil"/>
                  </w:tcBorders>
                  <w:vAlign w:val="center"/>
                </w:tcPr>
                <w:p w14:paraId="6376621B">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4CE16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continue"/>
                  <w:tcBorders>
                    <w:tl2br w:val="nil"/>
                    <w:tr2bl w:val="nil"/>
                  </w:tcBorders>
                  <w:vAlign w:val="center"/>
                </w:tcPr>
                <w:p w14:paraId="4B291758">
                  <w:pPr>
                    <w:keepNext w:val="0"/>
                    <w:keepLines w:val="0"/>
                    <w:pageBreakBefore w:val="0"/>
                    <w:kinsoku/>
                    <w:wordWrap/>
                    <w:overflowPunct/>
                    <w:topLinePunct w:val="0"/>
                    <w:autoSpaceDE/>
                    <w:autoSpaceDN/>
                    <w:bidi w:val="0"/>
                    <w:jc w:val="left"/>
                    <w:textAlignment w:val="auto"/>
                    <w:rPr>
                      <w:bCs/>
                      <w:sz w:val="18"/>
                      <w:szCs w:val="18"/>
                    </w:rPr>
                  </w:pPr>
                </w:p>
              </w:tc>
              <w:tc>
                <w:tcPr>
                  <w:tcW w:w="2054" w:type="pct"/>
                  <w:tcBorders>
                    <w:tl2br w:val="nil"/>
                    <w:tr2bl w:val="nil"/>
                  </w:tcBorders>
                  <w:vAlign w:val="center"/>
                </w:tcPr>
                <w:p w14:paraId="5725A810">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风电场新建配套道路应与风电场一同办理使用林地手续，风电场配套道路要严格控制道路宽度，提高标准，合理建设排水沟、过水涵洞、挡土墙等设施</w:t>
                  </w:r>
                  <w:r>
                    <w:rPr>
                      <w:rFonts w:hint="eastAsia" w:hAnsi="宋体" w:cs="Times New Roman"/>
                      <w:spacing w:val="7"/>
                      <w:sz w:val="18"/>
                      <w:szCs w:val="18"/>
                    </w:rPr>
                    <w:t>。</w:t>
                  </w:r>
                </w:p>
              </w:tc>
              <w:tc>
                <w:tcPr>
                  <w:tcW w:w="1673" w:type="pct"/>
                  <w:tcBorders>
                    <w:tl2br w:val="nil"/>
                    <w:tr2bl w:val="nil"/>
                  </w:tcBorders>
                  <w:vAlign w:val="center"/>
                </w:tcPr>
                <w:p w14:paraId="6EAE1383">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本项目未开工建设，风电场新建的场内道路将与风电场一同办理林地手续；项目</w:t>
                  </w:r>
                  <w:r>
                    <w:rPr>
                      <w:rFonts w:hint="eastAsia" w:hAnsi="宋体" w:cs="Times New Roman"/>
                      <w:bCs/>
                      <w:sz w:val="18"/>
                      <w:szCs w:val="18"/>
                      <w:lang w:val="en-US" w:eastAsia="zh-CN"/>
                    </w:rPr>
                    <w:t>已编制了水土保持报告并获得水利部门的批复，水保报告中已合理设置了</w:t>
                  </w:r>
                  <w:r>
                    <w:rPr>
                      <w:rFonts w:hAnsi="宋体" w:cs="Times New Roman"/>
                      <w:bCs/>
                      <w:sz w:val="18"/>
                      <w:szCs w:val="18"/>
                    </w:rPr>
                    <w:t>排水沟、挡土墙等</w:t>
                  </w:r>
                  <w:r>
                    <w:rPr>
                      <w:rFonts w:hint="eastAsia" w:hAnsi="宋体" w:cs="Times New Roman"/>
                      <w:bCs/>
                      <w:sz w:val="18"/>
                      <w:szCs w:val="18"/>
                      <w:lang w:val="en-US" w:eastAsia="zh-CN"/>
                    </w:rPr>
                    <w:t>相应的水土保持</w:t>
                  </w:r>
                  <w:r>
                    <w:rPr>
                      <w:rFonts w:hAnsi="宋体" w:cs="Times New Roman"/>
                      <w:bCs/>
                      <w:sz w:val="18"/>
                      <w:szCs w:val="18"/>
                    </w:rPr>
                    <w:t>设施。</w:t>
                  </w:r>
                </w:p>
              </w:tc>
              <w:tc>
                <w:tcPr>
                  <w:tcW w:w="566" w:type="pct"/>
                  <w:tcBorders>
                    <w:tl2br w:val="nil"/>
                    <w:tr2bl w:val="nil"/>
                  </w:tcBorders>
                  <w:vAlign w:val="center"/>
                </w:tcPr>
                <w:p w14:paraId="19D43248">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0D929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continue"/>
                  <w:tcBorders>
                    <w:tl2br w:val="nil"/>
                    <w:tr2bl w:val="nil"/>
                  </w:tcBorders>
                  <w:vAlign w:val="center"/>
                </w:tcPr>
                <w:p w14:paraId="0A9B6745">
                  <w:pPr>
                    <w:keepNext w:val="0"/>
                    <w:keepLines w:val="0"/>
                    <w:pageBreakBefore w:val="0"/>
                    <w:kinsoku/>
                    <w:wordWrap/>
                    <w:overflowPunct/>
                    <w:topLinePunct w:val="0"/>
                    <w:autoSpaceDE/>
                    <w:autoSpaceDN/>
                    <w:bidi w:val="0"/>
                    <w:jc w:val="left"/>
                    <w:textAlignment w:val="auto"/>
                    <w:rPr>
                      <w:bCs/>
                      <w:sz w:val="18"/>
                      <w:szCs w:val="18"/>
                    </w:rPr>
                  </w:pPr>
                </w:p>
              </w:tc>
              <w:tc>
                <w:tcPr>
                  <w:tcW w:w="2054" w:type="pct"/>
                  <w:tcBorders>
                    <w:tl2br w:val="nil"/>
                    <w:tr2bl w:val="nil"/>
                  </w:tcBorders>
                  <w:vAlign w:val="center"/>
                </w:tcPr>
                <w:p w14:paraId="05A35745">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spacing w:val="7"/>
                      <w:sz w:val="18"/>
                      <w:szCs w:val="18"/>
                    </w:rPr>
                  </w:pPr>
                  <w:r>
                    <w:rPr>
                      <w:rFonts w:hAnsi="宋体" w:cs="Times New Roman"/>
                      <w:spacing w:val="7"/>
                      <w:sz w:val="18"/>
                      <w:szCs w:val="18"/>
                    </w:rPr>
                    <w:t>严格按照设计规范施工，禁止强推强挖式放坡施工，防止废弃砂石任意放置和随意滚落，同步实施水土保持和恢复林业生产条件的措施。</w:t>
                  </w:r>
                </w:p>
              </w:tc>
              <w:tc>
                <w:tcPr>
                  <w:tcW w:w="1673" w:type="pct"/>
                  <w:tcBorders>
                    <w:tl2br w:val="nil"/>
                    <w:tr2bl w:val="nil"/>
                  </w:tcBorders>
                  <w:vAlign w:val="center"/>
                </w:tcPr>
                <w:p w14:paraId="170557D8">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采用半挖半填施工，弃渣及时进入渣场堆存，同步按照水保方案实施水土保持措施</w:t>
                  </w:r>
                  <w:r>
                    <w:rPr>
                      <w:rFonts w:hint="eastAsia" w:hAnsi="宋体" w:cs="Times New Roman"/>
                      <w:bCs/>
                      <w:sz w:val="18"/>
                      <w:szCs w:val="18"/>
                    </w:rPr>
                    <w:t>。</w:t>
                  </w:r>
                </w:p>
              </w:tc>
              <w:tc>
                <w:tcPr>
                  <w:tcW w:w="566" w:type="pct"/>
                  <w:tcBorders>
                    <w:tl2br w:val="nil"/>
                    <w:tr2bl w:val="nil"/>
                  </w:tcBorders>
                  <w:vAlign w:val="center"/>
                </w:tcPr>
                <w:p w14:paraId="57E3EEEA">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r w14:paraId="2E013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05" w:type="pct"/>
                  <w:vMerge w:val="continue"/>
                  <w:tcBorders>
                    <w:tl2br w:val="nil"/>
                    <w:tr2bl w:val="nil"/>
                  </w:tcBorders>
                  <w:vAlign w:val="center"/>
                </w:tcPr>
                <w:p w14:paraId="7997E685">
                  <w:pPr>
                    <w:keepNext w:val="0"/>
                    <w:keepLines w:val="0"/>
                    <w:pageBreakBefore w:val="0"/>
                    <w:kinsoku/>
                    <w:wordWrap/>
                    <w:overflowPunct/>
                    <w:topLinePunct w:val="0"/>
                    <w:autoSpaceDE/>
                    <w:autoSpaceDN/>
                    <w:bidi w:val="0"/>
                    <w:jc w:val="left"/>
                    <w:textAlignment w:val="auto"/>
                    <w:rPr>
                      <w:bCs/>
                      <w:sz w:val="18"/>
                      <w:szCs w:val="18"/>
                    </w:rPr>
                  </w:pPr>
                </w:p>
              </w:tc>
              <w:tc>
                <w:tcPr>
                  <w:tcW w:w="2054" w:type="pct"/>
                  <w:tcBorders>
                    <w:tl2br w:val="nil"/>
                    <w:tr2bl w:val="nil"/>
                  </w:tcBorders>
                  <w:vAlign w:val="center"/>
                </w:tcPr>
                <w:p w14:paraId="3723538D">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spacing w:val="7"/>
                      <w:sz w:val="18"/>
                      <w:szCs w:val="18"/>
                    </w:rPr>
                    <w:t>吊装平台、施工道路、弃渣场、集电线路等临时占用林地的，应在临时占用林地期满后一年内恢复林业生产条件，并及时恢复植被</w:t>
                  </w:r>
                  <w:r>
                    <w:rPr>
                      <w:rFonts w:hint="eastAsia" w:hAnsi="宋体" w:cs="Times New Roman"/>
                      <w:spacing w:val="7"/>
                      <w:sz w:val="18"/>
                      <w:szCs w:val="18"/>
                    </w:rPr>
                    <w:t>。</w:t>
                  </w:r>
                </w:p>
              </w:tc>
              <w:tc>
                <w:tcPr>
                  <w:tcW w:w="1673" w:type="pct"/>
                  <w:tcBorders>
                    <w:tl2br w:val="nil"/>
                    <w:tr2bl w:val="nil"/>
                  </w:tcBorders>
                  <w:vAlign w:val="center"/>
                </w:tcPr>
                <w:p w14:paraId="233E3490">
                  <w:pPr>
                    <w:pStyle w:val="62"/>
                    <w:keepNext w:val="0"/>
                    <w:keepLines w:val="0"/>
                    <w:pageBreakBefore w:val="0"/>
                    <w:kinsoku/>
                    <w:wordWrap/>
                    <w:overflowPunct/>
                    <w:topLinePunct w:val="0"/>
                    <w:autoSpaceDE/>
                    <w:autoSpaceDN/>
                    <w:bidi w:val="0"/>
                    <w:spacing w:line="240" w:lineRule="auto"/>
                    <w:ind w:firstLine="0" w:firstLineChars="0"/>
                    <w:jc w:val="both"/>
                    <w:textAlignment w:val="auto"/>
                    <w:rPr>
                      <w:rFonts w:cs="Times New Roman"/>
                      <w:bCs/>
                      <w:sz w:val="18"/>
                      <w:szCs w:val="18"/>
                    </w:rPr>
                  </w:pPr>
                  <w:r>
                    <w:rPr>
                      <w:rFonts w:hAnsi="宋体" w:cs="Times New Roman"/>
                      <w:bCs/>
                      <w:sz w:val="18"/>
                      <w:szCs w:val="18"/>
                    </w:rPr>
                    <w:t>临时占地施工完成后期按照水保方案</w:t>
                  </w:r>
                  <w:r>
                    <w:rPr>
                      <w:rFonts w:hint="eastAsia" w:hAnsi="宋体" w:cs="Times New Roman"/>
                      <w:bCs/>
                      <w:sz w:val="18"/>
                      <w:szCs w:val="18"/>
                      <w:lang w:val="en-US" w:eastAsia="zh-CN"/>
                    </w:rPr>
                    <w:t>的要求，</w:t>
                  </w:r>
                  <w:r>
                    <w:rPr>
                      <w:rFonts w:hAnsi="宋体" w:cs="Times New Roman"/>
                      <w:bCs/>
                      <w:sz w:val="18"/>
                      <w:szCs w:val="18"/>
                    </w:rPr>
                    <w:t>全部恢复植被</w:t>
                  </w:r>
                  <w:r>
                    <w:rPr>
                      <w:rFonts w:hint="eastAsia" w:hAnsi="宋体" w:cs="Times New Roman"/>
                      <w:bCs/>
                      <w:sz w:val="18"/>
                      <w:szCs w:val="18"/>
                    </w:rPr>
                    <w:t>。</w:t>
                  </w:r>
                </w:p>
              </w:tc>
              <w:tc>
                <w:tcPr>
                  <w:tcW w:w="566" w:type="pct"/>
                  <w:tcBorders>
                    <w:tl2br w:val="nil"/>
                    <w:tr2bl w:val="nil"/>
                  </w:tcBorders>
                  <w:vAlign w:val="center"/>
                </w:tcPr>
                <w:p w14:paraId="7B7E2FE4">
                  <w:pPr>
                    <w:pStyle w:val="62"/>
                    <w:keepNext w:val="0"/>
                    <w:keepLines w:val="0"/>
                    <w:pageBreakBefore w:val="0"/>
                    <w:kinsoku/>
                    <w:wordWrap/>
                    <w:overflowPunct/>
                    <w:topLinePunct w:val="0"/>
                    <w:autoSpaceDE/>
                    <w:autoSpaceDN/>
                    <w:bidi w:val="0"/>
                    <w:spacing w:line="240" w:lineRule="auto"/>
                    <w:ind w:firstLine="0" w:firstLineChars="0"/>
                    <w:jc w:val="center"/>
                    <w:textAlignment w:val="auto"/>
                    <w:rPr>
                      <w:rFonts w:cs="Times New Roman"/>
                      <w:bCs/>
                      <w:sz w:val="18"/>
                      <w:szCs w:val="18"/>
                    </w:rPr>
                  </w:pPr>
                  <w:r>
                    <w:rPr>
                      <w:rFonts w:hAnsi="宋体" w:cs="Times New Roman"/>
                      <w:bCs/>
                      <w:sz w:val="18"/>
                      <w:szCs w:val="18"/>
                    </w:rPr>
                    <w:t>符合</w:t>
                  </w:r>
                </w:p>
              </w:tc>
            </w:tr>
          </w:tbl>
          <w:p w14:paraId="2B21AED9">
            <w:pPr>
              <w:spacing w:line="360" w:lineRule="auto"/>
              <w:ind w:firstLine="480" w:firstLineChars="200"/>
              <w:rPr>
                <w:rFonts w:hint="default" w:hAnsi="宋体"/>
                <w:color w:val="FF0000"/>
                <w:sz w:val="24"/>
              </w:rPr>
            </w:pPr>
            <w:r>
              <w:rPr>
                <w:rFonts w:hint="eastAsia" w:hAnsi="宋体"/>
                <w:color w:val="FF0000"/>
                <w:sz w:val="24"/>
                <w:lang w:eastAsia="zh-CN"/>
              </w:rPr>
              <w:t>（</w:t>
            </w:r>
            <w:r>
              <w:rPr>
                <w:rFonts w:hint="eastAsia" w:hAnsi="宋体"/>
                <w:color w:val="FF0000"/>
                <w:sz w:val="24"/>
                <w:lang w:val="en-US" w:eastAsia="zh-CN"/>
              </w:rPr>
              <w:t>4</w:t>
            </w:r>
            <w:r>
              <w:rPr>
                <w:rFonts w:hint="eastAsia" w:hAnsi="宋体"/>
                <w:color w:val="FF0000"/>
                <w:sz w:val="24"/>
                <w:lang w:eastAsia="zh-CN"/>
              </w:rPr>
              <w:t>）</w:t>
            </w:r>
            <w:r>
              <w:rPr>
                <w:rFonts w:hint="default" w:hAnsi="宋体"/>
                <w:color w:val="FF0000"/>
                <w:sz w:val="24"/>
                <w:lang w:eastAsia="zh-CN"/>
              </w:rPr>
              <w:t>与</w:t>
            </w:r>
            <w:r>
              <w:rPr>
                <w:rFonts w:hint="eastAsia" w:hAnsi="宋体"/>
                <w:color w:val="FF0000"/>
                <w:sz w:val="24"/>
                <w:lang w:val="en-US" w:eastAsia="zh-CN"/>
              </w:rPr>
              <w:t>《湖南省碳达峰实施方案》（湘政发[2022]19号）的相符性分析</w:t>
            </w:r>
          </w:p>
          <w:p w14:paraId="6482DBBA">
            <w:pPr>
              <w:autoSpaceDE w:val="0"/>
              <w:autoSpaceDN w:val="0"/>
              <w:spacing w:line="360" w:lineRule="auto"/>
              <w:ind w:firstLine="480" w:firstLineChars="200"/>
              <w:rPr>
                <w:rFonts w:hint="default" w:hAnsi="宋体"/>
                <w:color w:val="auto"/>
                <w:sz w:val="24"/>
                <w:lang w:val="en-US" w:eastAsia="zh-CN"/>
              </w:rPr>
            </w:pPr>
            <w:r>
              <w:rPr>
                <w:rFonts w:hint="eastAsia" w:hAnsi="宋体"/>
                <w:color w:val="auto"/>
                <w:sz w:val="24"/>
                <w:lang w:val="en-US" w:eastAsia="zh-CN"/>
              </w:rPr>
              <w:t>《湖南省碳达峰实施方案》（湘政发[2022]19号）中提出：大力发展可再生能源。加快提升省内可再生能源利用比例。大力促进具备条件的风电和光伏发电快速规模化发展，加大具有资源优势的地热能开发利用力度。到2030年，新能源发电总装机容量达到4000万千瓦以上。</w:t>
            </w:r>
          </w:p>
          <w:p w14:paraId="43F3577D">
            <w:pPr>
              <w:autoSpaceDE w:val="0"/>
              <w:autoSpaceDN w:val="0"/>
              <w:spacing w:line="360" w:lineRule="auto"/>
              <w:ind w:firstLine="480" w:firstLineChars="200"/>
              <w:rPr>
                <w:rFonts w:hint="default" w:hAnsi="宋体"/>
                <w:color w:val="auto"/>
                <w:sz w:val="24"/>
                <w:lang w:val="en-US" w:eastAsia="zh-CN"/>
              </w:rPr>
            </w:pPr>
            <w:r>
              <w:rPr>
                <w:rFonts w:hint="eastAsia" w:hAnsi="宋体"/>
                <w:color w:val="auto"/>
                <w:sz w:val="24"/>
                <w:lang w:val="en-US" w:eastAsia="zh-CN"/>
              </w:rPr>
              <w:t>本项目属于风力发电项目，总装机容量为80MW。项目建成后，每年可为电网提供清洁电能152640MWh。按照火电煤耗每度电耗标准煤306g，投运后每年可节约标准煤约46707.84t，每年可减少CO</w:t>
            </w:r>
            <w:r>
              <w:rPr>
                <w:rFonts w:hint="eastAsia" w:hAnsi="宋体"/>
                <w:color w:val="auto"/>
                <w:sz w:val="24"/>
                <w:vertAlign w:val="subscript"/>
                <w:lang w:val="en-US" w:eastAsia="zh-CN"/>
              </w:rPr>
              <w:t>2</w:t>
            </w:r>
            <w:r>
              <w:rPr>
                <w:rFonts w:hint="eastAsia" w:hAnsi="宋体"/>
                <w:color w:val="auto"/>
                <w:sz w:val="24"/>
                <w:lang w:val="en-US" w:eastAsia="zh-CN"/>
              </w:rPr>
              <w:t>排放量约120582.55t、SO</w:t>
            </w:r>
            <w:r>
              <w:rPr>
                <w:rFonts w:hint="eastAsia" w:hAnsi="宋体"/>
                <w:color w:val="auto"/>
                <w:sz w:val="24"/>
                <w:vertAlign w:val="subscript"/>
                <w:lang w:val="en-US" w:eastAsia="zh-CN"/>
              </w:rPr>
              <w:t>2</w:t>
            </w:r>
            <w:r>
              <w:rPr>
                <w:rFonts w:hint="eastAsia" w:hAnsi="宋体"/>
                <w:color w:val="auto"/>
                <w:sz w:val="24"/>
                <w:lang w:val="en-US" w:eastAsia="zh-CN"/>
              </w:rPr>
              <w:t>排放量约1315.76t、NO</w:t>
            </w:r>
            <w:r>
              <w:rPr>
                <w:rFonts w:hint="eastAsia" w:hAnsi="宋体"/>
                <w:color w:val="auto"/>
                <w:sz w:val="24"/>
                <w:vertAlign w:val="subscript"/>
                <w:lang w:val="en-US" w:eastAsia="zh-CN"/>
              </w:rPr>
              <w:t>x</w:t>
            </w:r>
            <w:r>
              <w:rPr>
                <w:rFonts w:hint="eastAsia" w:hAnsi="宋体"/>
                <w:color w:val="auto"/>
                <w:sz w:val="24"/>
                <w:lang w:val="en-US" w:eastAsia="zh-CN"/>
              </w:rPr>
              <w:t>排放量约1315.76t。因此，项目</w:t>
            </w:r>
            <w:r>
              <w:rPr>
                <w:rFonts w:hint="default" w:hAnsi="宋体"/>
                <w:color w:val="auto"/>
                <w:sz w:val="24"/>
                <w:lang w:val="en-US" w:eastAsia="zh-CN"/>
              </w:rPr>
              <w:t>建设</w:t>
            </w:r>
            <w:r>
              <w:rPr>
                <w:rFonts w:hint="eastAsia" w:hAnsi="宋体"/>
                <w:color w:val="auto"/>
                <w:sz w:val="24"/>
                <w:lang w:val="en-US" w:eastAsia="zh-CN"/>
              </w:rPr>
              <w:t>有利于</w:t>
            </w:r>
            <w:r>
              <w:rPr>
                <w:rFonts w:hint="default" w:hAnsi="宋体"/>
                <w:color w:val="auto"/>
                <w:sz w:val="24"/>
                <w:lang w:val="en-US" w:eastAsia="zh-CN"/>
              </w:rPr>
              <w:t>《</w:t>
            </w:r>
            <w:r>
              <w:rPr>
                <w:rFonts w:hint="eastAsia" w:hAnsi="宋体"/>
                <w:color w:val="auto"/>
                <w:sz w:val="24"/>
                <w:lang w:val="en-US" w:eastAsia="zh-CN"/>
              </w:rPr>
              <w:t>湖南省碳达峰实施方案</w:t>
            </w:r>
            <w:r>
              <w:rPr>
                <w:rFonts w:hint="default" w:hAnsi="宋体"/>
                <w:color w:val="auto"/>
                <w:sz w:val="24"/>
                <w:lang w:val="en-US" w:eastAsia="zh-CN"/>
              </w:rPr>
              <w:t>》</w:t>
            </w:r>
            <w:r>
              <w:rPr>
                <w:rFonts w:hint="eastAsia" w:hAnsi="宋体"/>
                <w:color w:val="auto"/>
                <w:sz w:val="24"/>
                <w:lang w:val="en-US" w:eastAsia="zh-CN"/>
              </w:rPr>
              <w:t>的落实</w:t>
            </w:r>
            <w:r>
              <w:rPr>
                <w:rFonts w:hint="default" w:hAnsi="宋体"/>
                <w:color w:val="auto"/>
                <w:sz w:val="24"/>
                <w:lang w:val="en-US" w:eastAsia="zh-CN"/>
              </w:rPr>
              <w:t>。</w:t>
            </w:r>
          </w:p>
          <w:p w14:paraId="463C6AB2">
            <w:pPr>
              <w:pStyle w:val="2"/>
              <w:spacing w:after="0" w:line="360" w:lineRule="auto"/>
              <w:rPr>
                <w:rFonts w:hint="default" w:ascii="Times New Roman" w:hAnsi="Times New Roman" w:cs="Times New Roman"/>
                <w:b/>
                <w:bCs/>
                <w:color w:val="FF0000"/>
                <w:kern w:val="0"/>
                <w:sz w:val="24"/>
                <w:lang w:val="en-US" w:eastAsia="zh-CN"/>
              </w:rPr>
            </w:pPr>
            <w:r>
              <w:rPr>
                <w:rFonts w:hint="eastAsia" w:ascii="Times New Roman" w:hAnsi="Times New Roman" w:cs="Times New Roman"/>
                <w:b/>
                <w:bCs/>
                <w:color w:val="FF0000"/>
                <w:kern w:val="0"/>
                <w:sz w:val="24"/>
                <w:lang w:val="en-US" w:eastAsia="zh-CN"/>
              </w:rPr>
              <w:t>3、与相关规划的符合性分析</w:t>
            </w:r>
          </w:p>
          <w:p w14:paraId="1A8D3408">
            <w:pPr>
              <w:spacing w:line="360" w:lineRule="auto"/>
              <w:ind w:firstLine="480" w:firstLineChars="200"/>
              <w:rPr>
                <w:rFonts w:hint="eastAsia" w:ascii="Times New Roman" w:hAnsi="宋体" w:cs="Times New Roman"/>
                <w:color w:val="FF0000"/>
                <w:sz w:val="24"/>
                <w:lang w:eastAsia="zh-CN"/>
              </w:rPr>
            </w:pP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1</w:t>
            </w:r>
            <w:r>
              <w:rPr>
                <w:rFonts w:hint="eastAsia" w:ascii="Times New Roman" w:hAnsi="宋体" w:cs="Times New Roman"/>
                <w:color w:val="FF0000"/>
                <w:sz w:val="24"/>
                <w:lang w:eastAsia="zh-CN"/>
              </w:rPr>
              <w:t>）与《中华人民共和国国民经济和社会发展第十四个五年规划和2035年远景目标纲要》符合性分析</w:t>
            </w:r>
          </w:p>
          <w:p w14:paraId="7081C019">
            <w:pPr>
              <w:autoSpaceDE w:val="0"/>
              <w:autoSpaceDN w:val="0"/>
              <w:spacing w:line="360" w:lineRule="auto"/>
              <w:ind w:firstLine="480" w:firstLineChars="200"/>
              <w:rPr>
                <w:kern w:val="0"/>
                <w:sz w:val="24"/>
              </w:rPr>
            </w:pPr>
            <w:r>
              <w:rPr>
                <w:rFonts w:hint="eastAsia"/>
                <w:kern w:val="0"/>
                <w:sz w:val="24"/>
              </w:rPr>
              <w:t>《中华人民共和国国民经济和社会发展第十四个五年规划和2035年远景目标纲要》指出：“推进能源革命，建设清洁低碳、安全高效的能源体系，提高能源供给保障能力。加快发展非化石能源，坚持集中式和分布式并举，大力提升风电、光伏发电规模，加快发展东中部分布式能源，有序发展海上风电，加快西南水电基地建设，安全稳妥推动沿海核电建设，建设一批多能互补的清洁能源基地，非化石能源占能源消费总量比重提高到20%左右”。</w:t>
            </w:r>
          </w:p>
          <w:p w14:paraId="63F07619">
            <w:pPr>
              <w:pStyle w:val="2"/>
              <w:keepNext w:val="0"/>
              <w:keepLines w:val="0"/>
              <w:pageBreakBefore w:val="0"/>
              <w:widowControl w:val="0"/>
              <w:kinsoku/>
              <w:wordWrap/>
              <w:overflowPunct/>
              <w:topLinePunct w:val="0"/>
              <w:bidi w:val="0"/>
              <w:spacing w:after="0" w:line="360" w:lineRule="auto"/>
              <w:ind w:firstLine="480" w:firstLineChars="200"/>
              <w:textAlignment w:val="auto"/>
            </w:pPr>
            <w:r>
              <w:rPr>
                <w:rFonts w:hint="eastAsia"/>
                <w:kern w:val="0"/>
                <w:sz w:val="24"/>
              </w:rPr>
              <w:t>本项目</w:t>
            </w:r>
            <w:r>
              <w:rPr>
                <w:rFonts w:hint="eastAsia"/>
                <w:kern w:val="0"/>
                <w:sz w:val="24"/>
                <w:lang w:val="en-US" w:eastAsia="zh-CN"/>
              </w:rPr>
              <w:t>为陆上</w:t>
            </w:r>
            <w:r>
              <w:rPr>
                <w:rFonts w:hint="eastAsia"/>
                <w:kern w:val="0"/>
                <w:sz w:val="24"/>
              </w:rPr>
              <w:t>风力发电项目，</w:t>
            </w:r>
            <w:r>
              <w:rPr>
                <w:rFonts w:hint="eastAsia"/>
                <w:kern w:val="0"/>
                <w:sz w:val="24"/>
                <w:lang w:val="en-US" w:eastAsia="zh-CN"/>
              </w:rPr>
              <w:t>属于清洁能源，</w:t>
            </w:r>
            <w:r>
              <w:rPr>
                <w:rFonts w:hint="eastAsia"/>
                <w:kern w:val="0"/>
                <w:sz w:val="24"/>
              </w:rPr>
              <w:t>符合《中华人民共和国国民经济和社会发展第十四个五年规划和2035年远景目标纲要》。</w:t>
            </w:r>
          </w:p>
          <w:p w14:paraId="74D27DE5">
            <w:pPr>
              <w:autoSpaceDE w:val="0"/>
              <w:autoSpaceDN w:val="0"/>
              <w:spacing w:line="360" w:lineRule="auto"/>
              <w:ind w:firstLine="480" w:firstLineChars="200"/>
              <w:rPr>
                <w:rFonts w:hint="eastAsia" w:ascii="Times New Roman" w:hAnsi="Times New Roman" w:cs="Times New Roman"/>
                <w:color w:val="FF0000"/>
                <w:kern w:val="0"/>
                <w:sz w:val="24"/>
                <w:lang w:eastAsia="zh-CN"/>
              </w:rPr>
            </w:pPr>
            <w:r>
              <w:rPr>
                <w:rFonts w:hint="eastAsia" w:ascii="Times New Roman" w:hAnsi="Times New Roman" w:cs="Times New Roman"/>
                <w:color w:val="FF0000"/>
                <w:kern w:val="0"/>
                <w:sz w:val="24"/>
                <w:lang w:eastAsia="zh-CN"/>
              </w:rPr>
              <w:t>（</w:t>
            </w:r>
            <w:r>
              <w:rPr>
                <w:rFonts w:hint="eastAsia" w:ascii="Times New Roman" w:hAnsi="Times New Roman" w:cs="Times New Roman"/>
                <w:color w:val="FF0000"/>
                <w:kern w:val="0"/>
                <w:sz w:val="24"/>
                <w:lang w:val="en-US" w:eastAsia="zh-CN"/>
              </w:rPr>
              <w:t>2</w:t>
            </w:r>
            <w:r>
              <w:rPr>
                <w:rFonts w:hint="eastAsia" w:ascii="Times New Roman" w:hAnsi="Times New Roman" w:cs="Times New Roman"/>
                <w:color w:val="FF0000"/>
                <w:kern w:val="0"/>
                <w:sz w:val="24"/>
                <w:lang w:eastAsia="zh-CN"/>
              </w:rPr>
              <w:t>）与《湖南省主体功能区划》的符合性分析</w:t>
            </w:r>
          </w:p>
          <w:p w14:paraId="40328FEF">
            <w:pPr>
              <w:autoSpaceDE w:val="0"/>
              <w:autoSpaceDN w:val="0"/>
              <w:spacing w:line="360" w:lineRule="auto"/>
              <w:ind w:firstLine="480" w:firstLineChars="200"/>
              <w:rPr>
                <w:rFonts w:hint="default" w:ascii="Times New Roman" w:hAnsi="Times New Roman" w:cs="Times New Roman"/>
                <w:kern w:val="0"/>
                <w:sz w:val="24"/>
                <w:lang w:val="en-US" w:eastAsia="zh-CN"/>
              </w:rPr>
            </w:pPr>
            <w:r>
              <w:rPr>
                <w:rFonts w:hint="default" w:ascii="Times New Roman" w:hAnsi="Times New Roman" w:cs="Times New Roman"/>
                <w:kern w:val="0"/>
                <w:sz w:val="24"/>
                <w:lang w:val="en-US" w:eastAsia="zh-CN"/>
              </w:rPr>
              <w:t>《湖南省主体功能区</w:t>
            </w:r>
            <w:r>
              <w:rPr>
                <w:rFonts w:hint="eastAsia" w:ascii="Times New Roman" w:hAnsi="Times New Roman" w:cs="Times New Roman"/>
                <w:kern w:val="0"/>
                <w:sz w:val="24"/>
                <w:lang w:val="en-US" w:eastAsia="zh-CN"/>
              </w:rPr>
              <w:t>规</w:t>
            </w:r>
            <w:r>
              <w:rPr>
                <w:rFonts w:hint="default" w:ascii="Times New Roman" w:hAnsi="Times New Roman" w:cs="Times New Roman"/>
                <w:kern w:val="0"/>
                <w:sz w:val="24"/>
                <w:lang w:val="en-US" w:eastAsia="zh-CN"/>
              </w:rPr>
              <w:t>划》在对全省国土空间进行综合评价的基础上，以是否适宜或如何进行大规模高强度工业化城镇化为基础，以县级行政区为基本单元，将全省国土空间划分为以下主体功能区：按开发内容，分为城市化地区、农产品主产区和重点生态功能区；按开发方式和强度，分为重点开发区域、限制开发区域和禁止开发区域。禁止开发区域是指依法设立的各级各类自然文化资源保护区域，以及其它禁止进行工业化城镇化开发、需要特殊保护的重点生态功能区，点状分布于重点开发和限制开发区域之中。主要包括：各级各类自然保护区、风景名胜区、森林公园、地质公园、重要湿地、历史文化自然遗产、基本农田、蓄滞洪区、重要水源地等。限制开发区域主要包括农产品主产区和重点生态功能区。农产品主产区是指耕地面积较多、发展农业条件较好，尽管也适宜工业化城镇化开发，但从保障农产品安全以及永续发展的要求出发，必须把增强农业综合生产能力作为发展的首要任务，从而应该限制进行大规模高强度工业化城镇化开发的地区，以提供农产品为主体功能，也提供生态产品、服务产品和工业品。重点生态功能区是指生态系统脆弱或生态功能重要，资源环境承载能力较低，不具备大规模高强度工业化城镇化开发的条件，必须把增强生态产品生产能力作为首要任务，从而应该限制进行大规模高强度工业化城镇化开发的地区，以提供生态产品为主体功能，也提供一定的农产品、服务产品和工业品。</w:t>
            </w:r>
          </w:p>
          <w:p w14:paraId="47CD8B0B">
            <w:pPr>
              <w:autoSpaceDE w:val="0"/>
              <w:autoSpaceDN w:val="0"/>
              <w:spacing w:line="360" w:lineRule="auto"/>
              <w:ind w:firstLine="480" w:firstLineChars="200"/>
              <w:rPr>
                <w:rFonts w:hint="eastAsia" w:ascii="Times New Roman" w:hAnsi="Times New Roman" w:cs="Times New Roman"/>
                <w:color w:val="FF0000"/>
                <w:kern w:val="0"/>
                <w:sz w:val="24"/>
                <w:lang w:eastAsia="zh-CN"/>
              </w:rPr>
            </w:pPr>
            <w:r>
              <w:rPr>
                <w:rFonts w:hint="eastAsia" w:ascii="Times New Roman" w:hAnsi="Times New Roman" w:cs="Times New Roman"/>
                <w:color w:val="FF0000"/>
                <w:kern w:val="0"/>
                <w:sz w:val="24"/>
                <w:lang w:eastAsia="zh-CN"/>
              </w:rPr>
              <w:t>本项目风机机位选址位于耒阳市导子镇、</w:t>
            </w:r>
            <w:r>
              <w:rPr>
                <w:rFonts w:hint="eastAsia" w:ascii="Times New Roman" w:hAnsi="Times New Roman" w:cs="Times New Roman"/>
                <w:color w:val="FF0000"/>
                <w:kern w:val="0"/>
                <w:sz w:val="24"/>
                <w:lang w:val="en-US" w:eastAsia="zh-CN"/>
              </w:rPr>
              <w:t>东湖圩镇</w:t>
            </w:r>
            <w:r>
              <w:rPr>
                <w:rFonts w:hint="eastAsia" w:ascii="Times New Roman" w:hAnsi="Times New Roman" w:cs="Times New Roman"/>
                <w:color w:val="FF0000"/>
                <w:kern w:val="0"/>
                <w:sz w:val="24"/>
                <w:lang w:eastAsia="zh-CN"/>
              </w:rPr>
              <w:t>。根据《湖南省主体功能区划》，耒阳市导子镇、</w:t>
            </w:r>
            <w:r>
              <w:rPr>
                <w:rFonts w:hint="eastAsia" w:ascii="Times New Roman" w:hAnsi="Times New Roman" w:cs="Times New Roman"/>
                <w:color w:val="FF0000"/>
                <w:kern w:val="0"/>
                <w:sz w:val="24"/>
                <w:lang w:val="en-US" w:eastAsia="zh-CN"/>
              </w:rPr>
              <w:t>东湖圩镇均</w:t>
            </w:r>
            <w:r>
              <w:rPr>
                <w:rFonts w:hint="eastAsia" w:ascii="Times New Roman" w:hAnsi="Times New Roman" w:cs="Times New Roman"/>
                <w:color w:val="FF0000"/>
                <w:kern w:val="0"/>
                <w:sz w:val="24"/>
                <w:lang w:eastAsia="zh-CN"/>
              </w:rPr>
              <w:t>为国家级农产品主产区。本项目</w:t>
            </w:r>
            <w:r>
              <w:rPr>
                <w:rFonts w:hint="eastAsia" w:ascii="Times New Roman" w:hAnsi="Times New Roman" w:cs="Times New Roman"/>
                <w:color w:val="FF0000"/>
                <w:kern w:val="0"/>
                <w:sz w:val="24"/>
                <w:lang w:val="en-US" w:eastAsia="zh-CN"/>
              </w:rPr>
              <w:t>占地主要为林地，不占用耕地和永久基本农田，</w:t>
            </w:r>
            <w:r>
              <w:rPr>
                <w:rFonts w:hint="eastAsia" w:ascii="Times New Roman" w:hAnsi="Times New Roman" w:cs="Times New Roman"/>
                <w:color w:val="FF0000"/>
                <w:kern w:val="0"/>
                <w:sz w:val="24"/>
                <w:lang w:eastAsia="zh-CN"/>
              </w:rPr>
              <w:t>不涉及自然保护区、风景名胜区、森林公园等环境敏感区域，不会改变所在区域现有功能。</w:t>
            </w:r>
            <w:r>
              <w:rPr>
                <w:rFonts w:hint="eastAsia" w:ascii="Times New Roman" w:hAnsi="Times New Roman" w:cs="Times New Roman"/>
                <w:color w:val="FF0000"/>
                <w:kern w:val="0"/>
                <w:sz w:val="24"/>
                <w:lang w:val="en-US" w:eastAsia="zh-CN"/>
              </w:rPr>
              <w:t>因此项目建设</w:t>
            </w:r>
            <w:r>
              <w:rPr>
                <w:rFonts w:hint="default" w:ascii="Times New Roman" w:hAnsi="Times New Roman" w:eastAsia="宋体" w:cs="Times New Roman"/>
                <w:color w:val="FF0000"/>
                <w:kern w:val="0"/>
                <w:sz w:val="24"/>
                <w:szCs w:val="24"/>
                <w:highlight w:val="none"/>
                <w:lang w:val="en-US" w:eastAsia="zh-CN"/>
              </w:rPr>
              <w:t>符合《湖南省主体功能区规划》中“因地制宜发展适度资源开采、农林产品生产加工等资源环境可承载的适宜产业”，不属于“高污染、高能耗、高物耗产业，淘汰污染环境、破坏生态、浪费资源的产业”</w:t>
            </w:r>
            <w:r>
              <w:rPr>
                <w:rFonts w:hint="eastAsia" w:ascii="Times New Roman" w:hAnsi="Times New Roman" w:cs="Times New Roman"/>
                <w:color w:val="FF0000"/>
                <w:kern w:val="0"/>
                <w:sz w:val="24"/>
                <w:lang w:eastAsia="zh-CN"/>
              </w:rPr>
              <w:t>。</w:t>
            </w:r>
          </w:p>
          <w:p w14:paraId="2075375D">
            <w:pPr>
              <w:autoSpaceDE w:val="0"/>
              <w:autoSpaceDN w:val="0"/>
              <w:spacing w:line="360" w:lineRule="auto"/>
              <w:ind w:firstLine="480" w:firstLineChars="200"/>
              <w:rPr>
                <w:rFonts w:hint="eastAsia" w:hAnsi="宋体"/>
                <w:color w:val="FF0000"/>
                <w:sz w:val="24"/>
                <w:lang w:val="en-US" w:eastAsia="zh-CN"/>
              </w:rPr>
            </w:pPr>
            <w:r>
              <w:rPr>
                <w:rFonts w:hint="eastAsia" w:ascii="Times New Roman" w:hAnsi="Times New Roman" w:cs="Times New Roman"/>
                <w:color w:val="FF0000"/>
                <w:kern w:val="0"/>
                <w:sz w:val="24"/>
                <w:lang w:eastAsia="zh-CN"/>
              </w:rPr>
              <w:t>（</w:t>
            </w:r>
            <w:r>
              <w:rPr>
                <w:rFonts w:hint="eastAsia" w:ascii="Times New Roman" w:hAnsi="Times New Roman" w:cs="Times New Roman"/>
                <w:color w:val="FF0000"/>
                <w:kern w:val="0"/>
                <w:sz w:val="24"/>
                <w:lang w:val="en-US" w:eastAsia="zh-CN"/>
              </w:rPr>
              <w:t>3</w:t>
            </w:r>
            <w:r>
              <w:rPr>
                <w:rFonts w:hint="eastAsia" w:ascii="Times New Roman" w:hAnsi="Times New Roman" w:cs="Times New Roman"/>
                <w:color w:val="FF0000"/>
                <w:kern w:val="0"/>
                <w:sz w:val="24"/>
                <w:lang w:eastAsia="zh-CN"/>
              </w:rPr>
              <w:t>）</w:t>
            </w:r>
            <w:r>
              <w:rPr>
                <w:rFonts w:hint="eastAsia" w:hAnsi="宋体"/>
                <w:color w:val="FF0000"/>
                <w:sz w:val="24"/>
                <w:lang w:val="en-US" w:eastAsia="zh-CN"/>
              </w:rPr>
              <w:t>与《湖南省“十四五”可再生能源发展规划》（湘发改能源规[2022]405号）符合性分析</w:t>
            </w:r>
          </w:p>
          <w:p w14:paraId="6CFD4FF5">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湖南省“十四五”可再生能源发展规划》中指出：“十四五”期间，积极推进风电发展，按照“储备一批、成熟一批、推进一批”的思路，推动省内风电规模化和可持续发展，以不断扩大的建设规模和市场化资源配置带动省内风电产业继续发展壮大。开展老旧风电场风力发电设备“以大代小”退役改造，因地制宜推进易覆冰风电场抗冰改造，提升装机容量、风能利用效率和风电场经济性。到2025年，全省风电总装机规模达到1200万千瓦以上。</w:t>
            </w:r>
          </w:p>
          <w:p w14:paraId="5DA1887A">
            <w:pPr>
              <w:autoSpaceDE w:val="0"/>
              <w:autoSpaceDN w:val="0"/>
              <w:spacing w:line="360" w:lineRule="auto"/>
              <w:ind w:firstLine="480" w:firstLineChars="200"/>
              <w:rPr>
                <w:rFonts w:hint="eastAsia" w:hAnsi="宋体"/>
                <w:sz w:val="24"/>
                <w:lang w:eastAsia="zh-CN"/>
              </w:rPr>
            </w:pPr>
            <w:r>
              <w:rPr>
                <w:rFonts w:hint="eastAsia" w:hAnsi="宋体"/>
                <w:sz w:val="24"/>
                <w:lang w:val="en-US" w:eastAsia="zh-CN"/>
              </w:rPr>
              <w:t>本项目属于可再生能源——风电工程，项目建设科推动省内风电规模化和可持续发展。同时本项目2022年列入《湖南省发展和改革委员会关于同意全省“十四五”第一批风电、集中式光伏发电项目开发建设的复函》（湘发改函[2022]52号），2023年取得了《湖南省发展和改革委员会关于核准耒阳市导子东湖风电场项目的批复》（湘发改许[2023]38号）。因此，本工程建设符合《湖南省“十四五”可再生能源发展规划》。</w:t>
            </w:r>
          </w:p>
          <w:p w14:paraId="7118209E">
            <w:pPr>
              <w:autoSpaceDE w:val="0"/>
              <w:autoSpaceDN w:val="0"/>
              <w:spacing w:line="360" w:lineRule="auto"/>
              <w:ind w:firstLine="480" w:firstLineChars="200"/>
              <w:rPr>
                <w:rFonts w:hint="eastAsia" w:hAnsi="宋体"/>
                <w:color w:val="FF0000"/>
                <w:sz w:val="24"/>
                <w:lang w:val="en-US" w:eastAsia="zh-CN"/>
              </w:rPr>
            </w:pPr>
            <w:r>
              <w:rPr>
                <w:rFonts w:hint="eastAsia" w:hAnsi="宋体"/>
                <w:color w:val="FF0000"/>
                <w:sz w:val="24"/>
                <w:lang w:eastAsia="zh-CN"/>
              </w:rPr>
              <w:t>（</w:t>
            </w:r>
            <w:r>
              <w:rPr>
                <w:rFonts w:hint="eastAsia" w:hAnsi="宋体"/>
                <w:color w:val="FF0000"/>
                <w:sz w:val="24"/>
                <w:lang w:val="en-US" w:eastAsia="zh-CN"/>
              </w:rPr>
              <w:t>4</w:t>
            </w:r>
            <w:r>
              <w:rPr>
                <w:rFonts w:hint="eastAsia" w:hAnsi="宋体"/>
                <w:color w:val="FF0000"/>
                <w:sz w:val="24"/>
                <w:lang w:eastAsia="zh-CN"/>
              </w:rPr>
              <w:t>）</w:t>
            </w:r>
            <w:r>
              <w:rPr>
                <w:rFonts w:hint="eastAsia" w:hAnsi="宋体"/>
                <w:color w:val="FF0000"/>
                <w:sz w:val="24"/>
                <w:lang w:val="en-US" w:eastAsia="zh-CN"/>
              </w:rPr>
              <w:t>与《湖南省“十四五”生态环境保护规划》（湘政办发[2021]61号）相符性分析</w:t>
            </w:r>
          </w:p>
          <w:p w14:paraId="769FCD7D">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湖南省“十四五”生态环境保护规划》中指出：推动能源结构持续优化。加大“外电入湘”“页岩气入湘”等省外优质能源引入力度，加快推进以风电、光伏发电为主的新能源发展，统筹发展水能、氢能、地热、生物质等优质清洁能源。</w:t>
            </w:r>
          </w:p>
          <w:p w14:paraId="36B65302">
            <w:pPr>
              <w:autoSpaceDE w:val="0"/>
              <w:autoSpaceDN w:val="0"/>
              <w:spacing w:line="360" w:lineRule="auto"/>
              <w:ind w:firstLine="480" w:firstLineChars="200"/>
              <w:rPr>
                <w:rFonts w:hint="eastAsia" w:hAnsi="宋体"/>
                <w:sz w:val="24"/>
                <w:lang w:eastAsia="zh-CN"/>
              </w:rPr>
            </w:pPr>
            <w:r>
              <w:rPr>
                <w:rFonts w:hint="eastAsia" w:hAnsi="宋体"/>
                <w:sz w:val="24"/>
                <w:lang w:val="en-US" w:eastAsia="zh-CN"/>
              </w:rPr>
              <w:t>本项目属于风电工程，项目建设可推动省内风电新能源发展，因此，项目建设符合《湖南省“十四五”生态环境保护规划》。</w:t>
            </w:r>
          </w:p>
          <w:p w14:paraId="1728F563">
            <w:pPr>
              <w:autoSpaceDE w:val="0"/>
              <w:autoSpaceDN w:val="0"/>
              <w:spacing w:line="360" w:lineRule="auto"/>
              <w:ind w:firstLine="480" w:firstLineChars="200"/>
              <w:rPr>
                <w:rFonts w:hint="eastAsia" w:hAnsi="宋体"/>
                <w:color w:val="FF0000"/>
                <w:sz w:val="24"/>
                <w:lang w:eastAsia="zh-CN"/>
              </w:rPr>
            </w:pPr>
            <w:r>
              <w:rPr>
                <w:rFonts w:hint="eastAsia" w:hAnsi="宋体"/>
                <w:color w:val="FF0000"/>
                <w:sz w:val="24"/>
                <w:lang w:eastAsia="zh-CN"/>
              </w:rPr>
              <w:t>（</w:t>
            </w:r>
            <w:r>
              <w:rPr>
                <w:rFonts w:hint="eastAsia" w:hAnsi="宋体"/>
                <w:color w:val="FF0000"/>
                <w:sz w:val="24"/>
                <w:lang w:val="en-US" w:eastAsia="zh-CN"/>
              </w:rPr>
              <w:t>5</w:t>
            </w:r>
            <w:r>
              <w:rPr>
                <w:rFonts w:hint="eastAsia" w:hAnsi="宋体"/>
                <w:color w:val="FF0000"/>
                <w:sz w:val="24"/>
                <w:lang w:eastAsia="zh-CN"/>
              </w:rPr>
              <w:t>）与</w:t>
            </w:r>
            <w:r>
              <w:rPr>
                <w:rFonts w:hint="eastAsia" w:hAnsi="宋体"/>
                <w:color w:val="FF0000"/>
                <w:sz w:val="24"/>
                <w:lang w:val="en-US" w:eastAsia="zh-CN"/>
              </w:rPr>
              <w:t>《衡阳市“十四五”生态环境保护规划》（衡政办发[2021]37号）</w:t>
            </w:r>
            <w:r>
              <w:rPr>
                <w:rFonts w:hint="eastAsia" w:hAnsi="宋体"/>
                <w:color w:val="FF0000"/>
                <w:sz w:val="24"/>
                <w:lang w:eastAsia="zh-CN"/>
              </w:rPr>
              <w:t>相符性分析</w:t>
            </w:r>
          </w:p>
          <w:p w14:paraId="51AAD786">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衡阳市“十四五”生态环境保护规划》中指出：大力发展清洁能源。加快推进“气化衡阳”工程建设，推进天然气管网、储气库等基础设施建设，提升天然气供应保障能力，扩大天然气利用规模，到2025年天然气在一次能源占比进一步提高。优先发展和保障居民生活用气，提高居民管道天然气覆盖率。积极发展太阳能光伏、风电、沼气等清洁能源，推进非化石能源规模化利用。构建清洁低碳、安全高效的能源体系。</w:t>
            </w:r>
          </w:p>
          <w:p w14:paraId="23266329">
            <w:pPr>
              <w:autoSpaceDE w:val="0"/>
              <w:autoSpaceDN w:val="0"/>
              <w:spacing w:line="360" w:lineRule="auto"/>
              <w:ind w:firstLine="480" w:firstLineChars="200"/>
              <w:rPr>
                <w:rFonts w:hint="eastAsia" w:hAnsi="宋体"/>
                <w:sz w:val="24"/>
                <w:lang w:val="en-US" w:eastAsia="zh-CN"/>
              </w:rPr>
            </w:pPr>
            <w:r>
              <w:rPr>
                <w:rFonts w:hint="eastAsia" w:hAnsi="宋体"/>
                <w:sz w:val="24"/>
                <w:lang w:val="en-US" w:eastAsia="zh-CN"/>
              </w:rPr>
              <w:t>本项目属于清洁能源——风电工程，项目建设可推进非化石能源规模化利用，因此，项目建设符合《衡阳市“十四五”生态环境保护规划》。</w:t>
            </w:r>
          </w:p>
          <w:p w14:paraId="21C51DAC">
            <w:pPr>
              <w:autoSpaceDE w:val="0"/>
              <w:autoSpaceDN w:val="0"/>
              <w:spacing w:line="360" w:lineRule="auto"/>
              <w:ind w:firstLine="480" w:firstLineChars="200"/>
              <w:rPr>
                <w:rFonts w:hint="eastAsia" w:ascii="Times New Roman" w:hAnsi="宋体" w:cs="Times New Roman"/>
                <w:color w:val="FF0000"/>
                <w:sz w:val="24"/>
                <w:lang w:eastAsia="zh-CN"/>
              </w:rPr>
            </w:pPr>
            <w:r>
              <w:rPr>
                <w:rFonts w:hint="eastAsia" w:ascii="Times New Roman" w:hAnsi="宋体" w:cs="Times New Roman"/>
                <w:color w:val="FF0000"/>
                <w:sz w:val="24"/>
                <w:lang w:eastAsia="zh-CN"/>
              </w:rPr>
              <w:t>（</w:t>
            </w:r>
            <w:r>
              <w:rPr>
                <w:rFonts w:hint="eastAsia" w:ascii="Times New Roman" w:hAnsi="宋体" w:cs="Times New Roman"/>
                <w:color w:val="FF0000"/>
                <w:sz w:val="24"/>
                <w:lang w:val="en-US" w:eastAsia="zh-CN"/>
              </w:rPr>
              <w:t>6</w:t>
            </w:r>
            <w:r>
              <w:rPr>
                <w:rFonts w:hint="eastAsia" w:ascii="Times New Roman" w:hAnsi="宋体" w:cs="Times New Roman"/>
                <w:color w:val="FF0000"/>
                <w:sz w:val="24"/>
                <w:lang w:eastAsia="zh-CN"/>
              </w:rPr>
              <w:t>）与《湖南省长江经济带发展负面清单实施细则（试行，2022年版）》的相符性分析</w:t>
            </w:r>
          </w:p>
          <w:p w14:paraId="4225DD3C">
            <w:pPr>
              <w:autoSpaceDE w:val="0"/>
              <w:autoSpaceDN w:val="0"/>
              <w:spacing w:line="360" w:lineRule="auto"/>
              <w:ind w:firstLine="480" w:firstLineChars="200"/>
              <w:rPr>
                <w:rFonts w:hint="eastAsia" w:hAnsi="宋体"/>
                <w:sz w:val="24"/>
                <w:u w:val="none"/>
              </w:rPr>
            </w:pPr>
            <w:r>
              <w:rPr>
                <w:rFonts w:hint="eastAsia" w:hAnsi="宋体"/>
                <w:sz w:val="24"/>
                <w:u w:val="none"/>
              </w:rPr>
              <w:t>对照</w:t>
            </w:r>
            <w:r>
              <w:rPr>
                <w:rFonts w:hint="eastAsia" w:hAnsi="宋体"/>
                <w:sz w:val="24"/>
                <w:u w:val="none"/>
                <w:lang w:eastAsia="zh-CN"/>
              </w:rPr>
              <w:t>《</w:t>
            </w:r>
            <w:r>
              <w:rPr>
                <w:rFonts w:hint="eastAsia" w:hAnsi="宋体"/>
                <w:sz w:val="24"/>
                <w:u w:val="none"/>
              </w:rPr>
              <w:t>湖南省长江经济带发展负面清单实施细则（试行，2022年版）》禁止项目建设要求，本项目不涉自然保护区、风景名胜区、饮用水水源保护区、水产种质资源保护区、国家湿地公园等禁止或限制发展区；本项目距离湘江</w:t>
            </w:r>
            <w:r>
              <w:rPr>
                <w:rFonts w:hint="eastAsia" w:hAnsi="宋体"/>
                <w:sz w:val="24"/>
                <w:u w:val="none"/>
                <w:lang w:val="en-US" w:eastAsia="zh-CN"/>
              </w:rPr>
              <w:t>超过40</w:t>
            </w:r>
            <w:r>
              <w:rPr>
                <w:rFonts w:hint="eastAsia" w:hAnsi="宋体"/>
                <w:sz w:val="24"/>
                <w:u w:val="none"/>
              </w:rPr>
              <w:t>km，不在《长江岸线保护和开发利用总体规划》划定的岸线保护区和保留区内、《全国重要江河湖泊水功能区划》划定的河段及湖泊保护区和保留区、长江干支流和湖泊岸线一公里或三公里范围内</w:t>
            </w:r>
            <w:r>
              <w:rPr>
                <w:rFonts w:hint="eastAsia" w:hAnsi="宋体"/>
                <w:sz w:val="24"/>
                <w:u w:val="none"/>
                <w:lang w:eastAsia="zh-CN"/>
              </w:rPr>
              <w:t>；</w:t>
            </w:r>
            <w:r>
              <w:rPr>
                <w:rFonts w:hint="eastAsia" w:hAnsi="宋体"/>
                <w:sz w:val="24"/>
                <w:u w:val="none"/>
              </w:rPr>
              <w:t>项目运营期生活污水经一体化设备处理后用于场区及周边绿化用水，不外排</w:t>
            </w:r>
            <w:r>
              <w:rPr>
                <w:rFonts w:hint="eastAsia" w:hAnsi="宋体"/>
                <w:sz w:val="24"/>
                <w:u w:val="none"/>
                <w:lang w:eastAsia="zh-CN"/>
              </w:rPr>
              <w:t>；</w:t>
            </w:r>
            <w:r>
              <w:rPr>
                <w:rFonts w:hint="eastAsia" w:hAnsi="宋体"/>
                <w:sz w:val="24"/>
                <w:u w:val="none"/>
              </w:rPr>
              <w:t>本项目为新能源发电项目，为国家“十四五”规划鼓励发展的项目类别，不属于高污染、高耗能、高排放项目。</w:t>
            </w:r>
          </w:p>
          <w:p w14:paraId="3CE9039A">
            <w:pPr>
              <w:autoSpaceDE w:val="0"/>
              <w:autoSpaceDN w:val="0"/>
              <w:spacing w:line="360" w:lineRule="auto"/>
              <w:ind w:firstLine="480" w:firstLineChars="200"/>
              <w:rPr>
                <w:b/>
                <w:bCs/>
                <w:kern w:val="0"/>
                <w:sz w:val="24"/>
                <w:u w:val="none"/>
              </w:rPr>
            </w:pPr>
            <w:r>
              <w:rPr>
                <w:rFonts w:hint="eastAsia" w:hAnsi="宋体"/>
                <w:sz w:val="24"/>
                <w:u w:val="none"/>
              </w:rPr>
              <w:t>综上所述，本项目不存在《湖南省长江经济带发展负面清单实施细则（试行，2022年版）》列出的禁止项目建设的内容，符合文件相关要求。</w:t>
            </w:r>
          </w:p>
          <w:p w14:paraId="7579646F">
            <w:pPr>
              <w:autoSpaceDE w:val="0"/>
              <w:autoSpaceDN w:val="0"/>
              <w:spacing w:line="360" w:lineRule="auto"/>
              <w:rPr>
                <w:b/>
                <w:bCs/>
                <w:kern w:val="0"/>
                <w:sz w:val="24"/>
              </w:rPr>
            </w:pPr>
            <w:r>
              <w:rPr>
                <w:rFonts w:hint="eastAsia"/>
                <w:b/>
                <w:bCs/>
                <w:kern w:val="0"/>
                <w:sz w:val="24"/>
                <w:lang w:val="en-US" w:eastAsia="zh-CN"/>
              </w:rPr>
              <w:t>4</w:t>
            </w:r>
            <w:r>
              <w:rPr>
                <w:rFonts w:hint="eastAsia"/>
                <w:b/>
                <w:bCs/>
                <w:kern w:val="0"/>
                <w:sz w:val="24"/>
                <w:lang w:eastAsia="zh-CN"/>
              </w:rPr>
              <w:t>、</w:t>
            </w:r>
            <w:r>
              <w:rPr>
                <w:rFonts w:hint="eastAsia"/>
                <w:b/>
                <w:bCs/>
                <w:kern w:val="0"/>
                <w:sz w:val="24"/>
              </w:rPr>
              <w:t>与衡阳市“三线一单”的相符性分析</w:t>
            </w:r>
          </w:p>
          <w:p w14:paraId="613E2707">
            <w:pPr>
              <w:autoSpaceDE w:val="0"/>
              <w:autoSpaceDN w:val="0"/>
              <w:spacing w:line="360" w:lineRule="auto"/>
              <w:ind w:firstLine="480" w:firstLineChars="200"/>
              <w:rPr>
                <w:kern w:val="0"/>
                <w:sz w:val="24"/>
              </w:rPr>
            </w:pPr>
            <w:r>
              <w:rPr>
                <w:rFonts w:hint="eastAsia"/>
                <w:kern w:val="0"/>
                <w:sz w:val="24"/>
              </w:rPr>
              <w:t>（1）与生态保护红线相符性分析</w:t>
            </w:r>
          </w:p>
          <w:p w14:paraId="023604E1">
            <w:pPr>
              <w:autoSpaceDE w:val="0"/>
              <w:autoSpaceDN w:val="0"/>
              <w:spacing w:line="360" w:lineRule="auto"/>
              <w:ind w:firstLine="480" w:firstLineChars="200"/>
              <w:rPr>
                <w:kern w:val="0"/>
                <w:sz w:val="24"/>
              </w:rPr>
            </w:pPr>
            <w:r>
              <w:rPr>
                <w:rFonts w:hint="eastAsia"/>
                <w:kern w:val="0"/>
                <w:sz w:val="24"/>
              </w:rPr>
              <w:t>根据《湖南省人民政府关于印发湖南省生态保护红线的通知》湘政发</w:t>
            </w:r>
            <w:r>
              <w:rPr>
                <w:rFonts w:hint="eastAsia"/>
                <w:kern w:val="0"/>
                <w:sz w:val="24"/>
                <w:lang w:val="en-US" w:eastAsia="zh-CN"/>
              </w:rPr>
              <w:t>[</w:t>
            </w:r>
            <w:r>
              <w:rPr>
                <w:rFonts w:hint="eastAsia"/>
                <w:kern w:val="0"/>
                <w:sz w:val="24"/>
              </w:rPr>
              <w:t>2018</w:t>
            </w:r>
            <w:r>
              <w:rPr>
                <w:rFonts w:hint="eastAsia"/>
                <w:kern w:val="0"/>
                <w:sz w:val="24"/>
                <w:lang w:val="en-US" w:eastAsia="zh-CN"/>
              </w:rPr>
              <w:t>]</w:t>
            </w:r>
            <w:r>
              <w:rPr>
                <w:rFonts w:hint="eastAsia"/>
                <w:kern w:val="0"/>
                <w:sz w:val="24"/>
              </w:rPr>
              <w:t>20号，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14:paraId="15954FE3">
            <w:pPr>
              <w:autoSpaceDE w:val="0"/>
              <w:autoSpaceDN w:val="0"/>
              <w:spacing w:line="360" w:lineRule="auto"/>
              <w:ind w:firstLine="480" w:firstLineChars="200"/>
              <w:rPr>
                <w:rFonts w:hint="eastAsia"/>
                <w:kern w:val="0"/>
                <w:sz w:val="24"/>
              </w:rPr>
            </w:pPr>
            <w:r>
              <w:rPr>
                <w:rFonts w:hint="eastAsia"/>
                <w:kern w:val="0"/>
                <w:sz w:val="24"/>
              </w:rPr>
              <w:t>本项目位于</w:t>
            </w:r>
            <w:r>
              <w:rPr>
                <w:rFonts w:hint="eastAsia"/>
                <w:kern w:val="0"/>
                <w:sz w:val="24"/>
                <w:lang w:eastAsia="zh-CN"/>
              </w:rPr>
              <w:t>耒阳市导子镇</w:t>
            </w:r>
            <w:r>
              <w:rPr>
                <w:rFonts w:hint="eastAsia"/>
                <w:kern w:val="0"/>
                <w:sz w:val="24"/>
              </w:rPr>
              <w:t>一带，根据</w:t>
            </w:r>
            <w:r>
              <w:rPr>
                <w:rFonts w:hint="eastAsia"/>
                <w:sz w:val="24"/>
                <w:szCs w:val="32"/>
                <w:u w:val="none"/>
                <w:lang w:val="en-US" w:eastAsia="zh-CN"/>
              </w:rPr>
              <w:t>衡阳市自然资源和规划局</w:t>
            </w:r>
            <w:r>
              <w:rPr>
                <w:rFonts w:hint="eastAsia"/>
                <w:kern w:val="0"/>
                <w:sz w:val="24"/>
              </w:rPr>
              <w:t>出具的证明文件</w:t>
            </w:r>
            <w:r>
              <w:rPr>
                <w:rFonts w:hint="eastAsia"/>
                <w:kern w:val="0"/>
                <w:sz w:val="24"/>
                <w:u w:val="none"/>
              </w:rPr>
              <w:t>及“三区三线”成果套合图</w:t>
            </w:r>
            <w:r>
              <w:rPr>
                <w:rFonts w:hint="eastAsia"/>
                <w:kern w:val="0"/>
                <w:sz w:val="24"/>
                <w:u w:val="none"/>
                <w:lang w:eastAsia="zh-CN"/>
              </w:rPr>
              <w:t>（</w:t>
            </w:r>
            <w:r>
              <w:rPr>
                <w:rFonts w:hint="eastAsia"/>
                <w:kern w:val="0"/>
                <w:sz w:val="24"/>
                <w:u w:val="none"/>
                <w:lang w:val="en-US" w:eastAsia="zh-CN"/>
              </w:rPr>
              <w:t>见附图7</w:t>
            </w:r>
            <w:r>
              <w:rPr>
                <w:rFonts w:hint="eastAsia"/>
                <w:kern w:val="0"/>
                <w:sz w:val="24"/>
                <w:u w:val="none"/>
                <w:lang w:eastAsia="zh-CN"/>
              </w:rPr>
              <w:t>）</w:t>
            </w:r>
            <w:r>
              <w:rPr>
                <w:rFonts w:hint="eastAsia"/>
                <w:kern w:val="0"/>
                <w:sz w:val="24"/>
              </w:rPr>
              <w:t>，本项目占地不涉及生态保护红线，因此与湖南省生态保护红线区域保护规划相符。</w:t>
            </w:r>
          </w:p>
          <w:p w14:paraId="52E75E93">
            <w:pPr>
              <w:autoSpaceDE w:val="0"/>
              <w:autoSpaceDN w:val="0"/>
              <w:spacing w:line="360" w:lineRule="auto"/>
              <w:ind w:firstLine="480" w:firstLineChars="200"/>
              <w:rPr>
                <w:kern w:val="0"/>
                <w:sz w:val="24"/>
              </w:rPr>
            </w:pPr>
            <w:r>
              <w:rPr>
                <w:rFonts w:hint="eastAsia"/>
                <w:kern w:val="0"/>
                <w:sz w:val="24"/>
              </w:rPr>
              <w:t>（2）环境质量底线</w:t>
            </w:r>
          </w:p>
          <w:p w14:paraId="0E10DCD2">
            <w:pPr>
              <w:autoSpaceDE w:val="0"/>
              <w:autoSpaceDN w:val="0"/>
              <w:spacing w:line="360" w:lineRule="auto"/>
              <w:ind w:firstLine="480" w:firstLineChars="200"/>
              <w:rPr>
                <w:rFonts w:hint="default" w:eastAsia="宋体"/>
                <w:kern w:val="0"/>
                <w:sz w:val="24"/>
                <w:lang w:val="en-US" w:eastAsia="zh-CN"/>
              </w:rPr>
            </w:pPr>
            <w:r>
              <w:rPr>
                <w:rFonts w:hint="eastAsia"/>
                <w:kern w:val="0"/>
                <w:sz w:val="24"/>
                <w:lang w:val="en-US" w:eastAsia="zh-CN"/>
              </w:rPr>
              <w:t>项目区域为环境空气二类区。根据衡阳市生态环境局发布的《关于2023年12月及1-12月全市环境质量状况的通报》，2023年1-12月，按照环境空气质量综合指数评价，衡阳市8个县市所在城镇环境空气质量从好到差依次为：南岳区、祁东县、衡东县、衡阳县、常宁市、耒阳市、横山县、衡南县。其中耒阳市空气质量综合指数为3.20，优良天数为346天，优良天数比例为94.8%，六项主要污染物的浓度情况见表1-5。</w:t>
            </w:r>
          </w:p>
          <w:p w14:paraId="53B18EB1">
            <w:pPr>
              <w:pStyle w:val="62"/>
              <w:spacing w:line="240" w:lineRule="auto"/>
              <w:ind w:firstLine="0" w:firstLineChars="0"/>
              <w:jc w:val="center"/>
              <w:rPr>
                <w:rFonts w:hint="default" w:ascii="Times New Roman" w:hAnsi="Times New Roman" w:cs="Times New Roman"/>
                <w:b/>
                <w:bCs/>
                <w:color w:val="FF0000"/>
                <w:sz w:val="21"/>
                <w:szCs w:val="21"/>
                <w:lang w:val="en-US" w:eastAsia="zh-CN"/>
              </w:rPr>
            </w:pPr>
            <w:r>
              <w:rPr>
                <w:rFonts w:hint="eastAsia" w:ascii="Times New Roman" w:hAnsi="Times New Roman" w:cs="Times New Roman"/>
                <w:b/>
                <w:bCs/>
                <w:color w:val="FF0000"/>
                <w:sz w:val="21"/>
                <w:szCs w:val="21"/>
                <w:lang w:val="en-US" w:eastAsia="zh-CN"/>
              </w:rPr>
              <w:t>表1-5  2023年1-12月耒阳市环境空气污染物浓度情况  单位：ug/m</w:t>
            </w:r>
            <w:r>
              <w:rPr>
                <w:rFonts w:hint="eastAsia" w:ascii="Times New Roman" w:hAnsi="Times New Roman" w:cs="Times New Roman"/>
                <w:b/>
                <w:bCs/>
                <w:color w:val="FF0000"/>
                <w:sz w:val="21"/>
                <w:szCs w:val="21"/>
                <w:vertAlign w:val="superscript"/>
                <w:lang w:val="en-US" w:eastAsia="zh-CN"/>
              </w:rPr>
              <w:t>3</w:t>
            </w:r>
          </w:p>
          <w:tbl>
            <w:tblPr>
              <w:tblStyle w:val="3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9"/>
              <w:gridCol w:w="1010"/>
              <w:gridCol w:w="1010"/>
              <w:gridCol w:w="1010"/>
              <w:gridCol w:w="1011"/>
              <w:gridCol w:w="1011"/>
              <w:gridCol w:w="1011"/>
            </w:tblGrid>
            <w:tr w14:paraId="367C8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09" w:type="dxa"/>
                  <w:tcBorders>
                    <w:top w:val="single" w:color="auto" w:sz="12" w:space="0"/>
                    <w:left w:val="nil"/>
                  </w:tcBorders>
                  <w:vAlign w:val="center"/>
                </w:tcPr>
                <w:p w14:paraId="65C907B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县市名称</w:t>
                  </w:r>
                </w:p>
              </w:tc>
              <w:tc>
                <w:tcPr>
                  <w:tcW w:w="1010" w:type="dxa"/>
                  <w:tcBorders>
                    <w:top w:val="single" w:color="auto" w:sz="12" w:space="0"/>
                  </w:tcBorders>
                  <w:vAlign w:val="center"/>
                </w:tcPr>
                <w:p w14:paraId="641722D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2.5</w:t>
                  </w:r>
                </w:p>
              </w:tc>
              <w:tc>
                <w:tcPr>
                  <w:tcW w:w="1010" w:type="dxa"/>
                  <w:tcBorders>
                    <w:top w:val="single" w:color="auto" w:sz="12" w:space="0"/>
                  </w:tcBorders>
                  <w:vAlign w:val="center"/>
                </w:tcPr>
                <w:p w14:paraId="38E8B5E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10</w:t>
                  </w:r>
                </w:p>
              </w:tc>
              <w:tc>
                <w:tcPr>
                  <w:tcW w:w="1010" w:type="dxa"/>
                  <w:tcBorders>
                    <w:top w:val="single" w:color="auto" w:sz="12" w:space="0"/>
                  </w:tcBorders>
                  <w:vAlign w:val="center"/>
                </w:tcPr>
                <w:p w14:paraId="0F6010E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O</w:t>
                  </w:r>
                  <w:r>
                    <w:rPr>
                      <w:rFonts w:hint="eastAsia"/>
                      <w:kern w:val="0"/>
                      <w:sz w:val="18"/>
                      <w:szCs w:val="18"/>
                      <w:vertAlign w:val="subscript"/>
                      <w:lang w:val="en-US" w:eastAsia="zh-CN"/>
                    </w:rPr>
                    <w:t>3</w:t>
                  </w:r>
                </w:p>
              </w:tc>
              <w:tc>
                <w:tcPr>
                  <w:tcW w:w="1011" w:type="dxa"/>
                  <w:tcBorders>
                    <w:top w:val="single" w:color="auto" w:sz="12" w:space="0"/>
                  </w:tcBorders>
                  <w:vAlign w:val="center"/>
                </w:tcPr>
                <w:p w14:paraId="517E58A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SO</w:t>
                  </w:r>
                  <w:r>
                    <w:rPr>
                      <w:rFonts w:hint="eastAsia"/>
                      <w:kern w:val="0"/>
                      <w:sz w:val="18"/>
                      <w:szCs w:val="18"/>
                      <w:vertAlign w:val="subscript"/>
                      <w:lang w:val="en-US" w:eastAsia="zh-CN"/>
                    </w:rPr>
                    <w:t>2</w:t>
                  </w:r>
                </w:p>
              </w:tc>
              <w:tc>
                <w:tcPr>
                  <w:tcW w:w="1011" w:type="dxa"/>
                  <w:tcBorders>
                    <w:top w:val="single" w:color="auto" w:sz="12" w:space="0"/>
                  </w:tcBorders>
                  <w:vAlign w:val="center"/>
                </w:tcPr>
                <w:p w14:paraId="518ECD2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NO</w:t>
                  </w:r>
                  <w:r>
                    <w:rPr>
                      <w:rFonts w:hint="eastAsia"/>
                      <w:kern w:val="0"/>
                      <w:sz w:val="18"/>
                      <w:szCs w:val="18"/>
                      <w:vertAlign w:val="subscript"/>
                      <w:lang w:val="en-US" w:eastAsia="zh-CN"/>
                    </w:rPr>
                    <w:t>2</w:t>
                  </w:r>
                </w:p>
              </w:tc>
              <w:tc>
                <w:tcPr>
                  <w:tcW w:w="1011" w:type="dxa"/>
                  <w:tcBorders>
                    <w:top w:val="single" w:color="auto" w:sz="12" w:space="0"/>
                    <w:right w:val="nil"/>
                  </w:tcBorders>
                  <w:vAlign w:val="center"/>
                </w:tcPr>
                <w:p w14:paraId="2056118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CO</w:t>
                  </w:r>
                </w:p>
              </w:tc>
            </w:tr>
            <w:tr w14:paraId="4D25D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09" w:type="dxa"/>
                  <w:tcBorders>
                    <w:left w:val="nil"/>
                    <w:bottom w:val="single" w:color="auto" w:sz="12" w:space="0"/>
                  </w:tcBorders>
                  <w:vAlign w:val="center"/>
                </w:tcPr>
                <w:p w14:paraId="648E04E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耒阳市</w:t>
                  </w:r>
                </w:p>
              </w:tc>
              <w:tc>
                <w:tcPr>
                  <w:tcW w:w="1010" w:type="dxa"/>
                  <w:tcBorders>
                    <w:bottom w:val="single" w:color="auto" w:sz="12" w:space="0"/>
                  </w:tcBorders>
                  <w:vAlign w:val="center"/>
                </w:tcPr>
                <w:p w14:paraId="2DCB784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32</w:t>
                  </w:r>
                </w:p>
              </w:tc>
              <w:tc>
                <w:tcPr>
                  <w:tcW w:w="1010" w:type="dxa"/>
                  <w:tcBorders>
                    <w:bottom w:val="single" w:color="auto" w:sz="12" w:space="0"/>
                  </w:tcBorders>
                  <w:vAlign w:val="center"/>
                </w:tcPr>
                <w:p w14:paraId="58AA4E9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51</w:t>
                  </w:r>
                </w:p>
              </w:tc>
              <w:tc>
                <w:tcPr>
                  <w:tcW w:w="1010" w:type="dxa"/>
                  <w:tcBorders>
                    <w:bottom w:val="single" w:color="auto" w:sz="12" w:space="0"/>
                  </w:tcBorders>
                  <w:vAlign w:val="center"/>
                </w:tcPr>
                <w:p w14:paraId="6F640CB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122</w:t>
                  </w:r>
                </w:p>
              </w:tc>
              <w:tc>
                <w:tcPr>
                  <w:tcW w:w="1011" w:type="dxa"/>
                  <w:tcBorders>
                    <w:bottom w:val="single" w:color="auto" w:sz="12" w:space="0"/>
                  </w:tcBorders>
                  <w:vAlign w:val="center"/>
                </w:tcPr>
                <w:p w14:paraId="082D90B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9</w:t>
                  </w:r>
                </w:p>
              </w:tc>
              <w:tc>
                <w:tcPr>
                  <w:tcW w:w="1011" w:type="dxa"/>
                  <w:tcBorders>
                    <w:bottom w:val="single" w:color="auto" w:sz="12" w:space="0"/>
                  </w:tcBorders>
                  <w:vAlign w:val="center"/>
                </w:tcPr>
                <w:p w14:paraId="3FB3FEC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16</w:t>
                  </w:r>
                </w:p>
              </w:tc>
              <w:tc>
                <w:tcPr>
                  <w:tcW w:w="1011" w:type="dxa"/>
                  <w:tcBorders>
                    <w:bottom w:val="single" w:color="auto" w:sz="12" w:space="0"/>
                    <w:right w:val="nil"/>
                  </w:tcBorders>
                  <w:vAlign w:val="center"/>
                </w:tcPr>
                <w:p w14:paraId="2DD2D3E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1.0</w:t>
                  </w:r>
                </w:p>
              </w:tc>
            </w:tr>
          </w:tbl>
          <w:p w14:paraId="69B195A7">
            <w:pPr>
              <w:autoSpaceDE w:val="0"/>
              <w:autoSpaceDN w:val="0"/>
              <w:spacing w:line="360" w:lineRule="auto"/>
              <w:ind w:firstLine="480" w:firstLineChars="200"/>
              <w:rPr>
                <w:kern w:val="0"/>
                <w:sz w:val="24"/>
              </w:rPr>
            </w:pPr>
            <w:r>
              <w:rPr>
                <w:rFonts w:hint="eastAsia"/>
                <w:kern w:val="0"/>
                <w:sz w:val="24"/>
                <w:lang w:val="en-US" w:eastAsia="zh-CN"/>
              </w:rPr>
              <w:t>可以看出，耒阳市环境空气质量满足《环境空气质量标准》（GB3095-2012）及修改单的二级标准限值要求，项目区域属于环境空气达标区。此外项目施工废水经沉淀处理后用于场地洒水降尘不外排，营运期生活污水经升压站的地埋式一体化污水处理站处理后用于升压站及周边的额绿化浇灌。因此项目</w:t>
            </w:r>
            <w:r>
              <w:rPr>
                <w:rFonts w:hint="eastAsia"/>
                <w:kern w:val="0"/>
                <w:sz w:val="24"/>
              </w:rPr>
              <w:t>环境质量现状良好，项目实施后不会改变原有环境功能，符合区域环境质量底线要求。</w:t>
            </w:r>
          </w:p>
          <w:p w14:paraId="4BD8C42A">
            <w:pPr>
              <w:autoSpaceDE w:val="0"/>
              <w:autoSpaceDN w:val="0"/>
              <w:spacing w:line="360" w:lineRule="auto"/>
              <w:ind w:firstLine="480" w:firstLineChars="200"/>
              <w:rPr>
                <w:kern w:val="0"/>
                <w:sz w:val="24"/>
              </w:rPr>
            </w:pPr>
            <w:r>
              <w:rPr>
                <w:rFonts w:hint="eastAsia"/>
                <w:kern w:val="0"/>
                <w:sz w:val="24"/>
              </w:rPr>
              <w:t>（3）</w:t>
            </w:r>
            <w:r>
              <w:rPr>
                <w:kern w:val="0"/>
                <w:sz w:val="24"/>
              </w:rPr>
              <w:t>资源利用上限</w:t>
            </w:r>
          </w:p>
          <w:p w14:paraId="583CD13A">
            <w:pPr>
              <w:autoSpaceDE w:val="0"/>
              <w:autoSpaceDN w:val="0"/>
              <w:spacing w:line="360" w:lineRule="auto"/>
              <w:ind w:firstLine="480" w:firstLineChars="200"/>
              <w:rPr>
                <w:kern w:val="0"/>
                <w:sz w:val="24"/>
              </w:rPr>
            </w:pPr>
            <w:r>
              <w:rPr>
                <w:kern w:val="0"/>
                <w:sz w:val="24"/>
              </w:rPr>
              <w:t>本项目主要利用</w:t>
            </w:r>
            <w:r>
              <w:rPr>
                <w:rFonts w:hint="eastAsia"/>
                <w:kern w:val="0"/>
                <w:sz w:val="24"/>
              </w:rPr>
              <w:t>风能发电，风能为可再生清洁能源；施工期和运营期使用水量、电量等有限，</w:t>
            </w:r>
            <w:r>
              <w:rPr>
                <w:kern w:val="0"/>
                <w:sz w:val="24"/>
              </w:rPr>
              <w:t>本项目建成后可以提供电能，为社会提供清洁能源，因而符合资源利用上限要求。</w:t>
            </w:r>
          </w:p>
          <w:p w14:paraId="65BC5278">
            <w:pPr>
              <w:autoSpaceDE w:val="0"/>
              <w:autoSpaceDN w:val="0"/>
              <w:spacing w:line="360" w:lineRule="auto"/>
              <w:ind w:firstLine="480" w:firstLineChars="200"/>
              <w:rPr>
                <w:kern w:val="0"/>
                <w:sz w:val="24"/>
              </w:rPr>
            </w:pPr>
            <w:r>
              <w:rPr>
                <w:rFonts w:hint="eastAsia"/>
                <w:kern w:val="0"/>
                <w:sz w:val="24"/>
              </w:rPr>
              <w:t>（4）生态环境准入清单</w:t>
            </w:r>
          </w:p>
          <w:p w14:paraId="1AD41F04">
            <w:pPr>
              <w:autoSpaceDE w:val="0"/>
              <w:autoSpaceDN w:val="0"/>
              <w:spacing w:line="360" w:lineRule="auto"/>
              <w:ind w:firstLine="480" w:firstLineChars="200"/>
              <w:rPr>
                <w:rFonts w:hint="eastAsia"/>
                <w:kern w:val="0"/>
                <w:sz w:val="24"/>
                <w:lang w:val="en-US" w:eastAsia="zh-CN"/>
              </w:rPr>
            </w:pPr>
            <w:r>
              <w:rPr>
                <w:rFonts w:hint="eastAsia"/>
                <w:kern w:val="0"/>
                <w:sz w:val="24"/>
              </w:rPr>
              <w:t>根据《</w:t>
            </w:r>
            <w:r>
              <w:rPr>
                <w:rFonts w:hint="eastAsia"/>
                <w:kern w:val="0"/>
                <w:sz w:val="24"/>
                <w:lang w:val="en-US" w:eastAsia="zh-CN"/>
              </w:rPr>
              <w:t>衡阳市人民政府</w:t>
            </w:r>
            <w:r>
              <w:rPr>
                <w:rFonts w:hint="eastAsia"/>
                <w:kern w:val="0"/>
                <w:sz w:val="24"/>
              </w:rPr>
              <w:t>关于实施“三线一单”生态环境分区管控的意见》（衡政发[2020]9号），</w:t>
            </w:r>
            <w:r>
              <w:rPr>
                <w:rFonts w:hint="eastAsia"/>
                <w:kern w:val="0"/>
                <w:sz w:val="24"/>
                <w:lang w:eastAsia="zh-CN"/>
              </w:rPr>
              <w:t>耒阳市导子</w:t>
            </w:r>
            <w:r>
              <w:rPr>
                <w:rFonts w:hint="eastAsia"/>
                <w:kern w:val="0"/>
                <w:sz w:val="24"/>
                <w:lang w:val="en-US" w:eastAsia="zh-CN"/>
              </w:rPr>
              <w:t>镇、东湖圩镇均</w:t>
            </w:r>
            <w:r>
              <w:rPr>
                <w:rFonts w:hint="eastAsia"/>
                <w:kern w:val="0"/>
                <w:sz w:val="24"/>
              </w:rPr>
              <w:t>为重点管控单元，本项目与管控要求符合性分析见表</w:t>
            </w:r>
            <w:r>
              <w:rPr>
                <w:rFonts w:hint="eastAsia"/>
                <w:kern w:val="0"/>
                <w:sz w:val="24"/>
                <w:lang w:val="en-US" w:eastAsia="zh-CN"/>
              </w:rPr>
              <w:t>1-6和表1-7。</w:t>
            </w:r>
          </w:p>
          <w:p w14:paraId="76441A44">
            <w:pPr>
              <w:autoSpaceDE w:val="0"/>
              <w:autoSpaceDN w:val="0"/>
              <w:spacing w:line="360" w:lineRule="auto"/>
              <w:ind w:firstLine="480" w:firstLineChars="200"/>
              <w:rPr>
                <w:rFonts w:hint="eastAsia"/>
                <w:kern w:val="0"/>
                <w:sz w:val="24"/>
              </w:rPr>
            </w:pPr>
            <w:r>
              <w:rPr>
                <w:rFonts w:hint="eastAsia"/>
                <w:kern w:val="0"/>
                <w:sz w:val="24"/>
              </w:rPr>
              <w:t>根据对比分析，本项目符合《</w:t>
            </w:r>
            <w:r>
              <w:rPr>
                <w:rFonts w:hint="eastAsia"/>
                <w:kern w:val="0"/>
                <w:sz w:val="24"/>
                <w:lang w:val="en-US" w:eastAsia="zh-CN"/>
              </w:rPr>
              <w:t>衡阳市人民政府</w:t>
            </w:r>
            <w:r>
              <w:rPr>
                <w:rFonts w:hint="eastAsia"/>
                <w:kern w:val="0"/>
                <w:sz w:val="24"/>
              </w:rPr>
              <w:t>关于实施“三线一单”生态环境分区管控的意见》（衡政发[2020]9号）</w:t>
            </w:r>
            <w:r>
              <w:rPr>
                <w:rFonts w:hint="eastAsia"/>
                <w:kern w:val="0"/>
                <w:sz w:val="24"/>
                <w:lang w:val="en-US" w:eastAsia="zh-CN"/>
              </w:rPr>
              <w:t>的要求</w:t>
            </w:r>
            <w:r>
              <w:rPr>
                <w:rFonts w:hint="eastAsia"/>
                <w:kern w:val="0"/>
                <w:sz w:val="24"/>
              </w:rPr>
              <w:t>。</w:t>
            </w:r>
          </w:p>
          <w:p w14:paraId="08550CCC">
            <w:pPr>
              <w:autoSpaceDE w:val="0"/>
              <w:autoSpaceDN w:val="0"/>
              <w:spacing w:line="360" w:lineRule="auto"/>
              <w:rPr>
                <w:rFonts w:hint="eastAsia"/>
                <w:kern w:val="0"/>
                <w:sz w:val="24"/>
              </w:rPr>
            </w:pPr>
          </w:p>
          <w:p w14:paraId="2F0D0257">
            <w:pPr>
              <w:autoSpaceDE w:val="0"/>
              <w:autoSpaceDN w:val="0"/>
              <w:spacing w:line="360" w:lineRule="auto"/>
              <w:rPr>
                <w:rFonts w:hint="eastAsia"/>
                <w:kern w:val="0"/>
                <w:sz w:val="24"/>
              </w:rPr>
            </w:pPr>
          </w:p>
          <w:p w14:paraId="6E7D7C26">
            <w:pPr>
              <w:autoSpaceDE w:val="0"/>
              <w:autoSpaceDN w:val="0"/>
              <w:spacing w:line="360" w:lineRule="auto"/>
              <w:rPr>
                <w:rFonts w:hint="eastAsia"/>
                <w:kern w:val="0"/>
                <w:sz w:val="24"/>
              </w:rPr>
            </w:pPr>
          </w:p>
          <w:p w14:paraId="5A94DE25">
            <w:pPr>
              <w:autoSpaceDE w:val="0"/>
              <w:autoSpaceDN w:val="0"/>
              <w:spacing w:line="360" w:lineRule="auto"/>
              <w:rPr>
                <w:rFonts w:hint="eastAsia"/>
                <w:kern w:val="0"/>
                <w:sz w:val="24"/>
              </w:rPr>
            </w:pPr>
          </w:p>
          <w:p w14:paraId="407B5F7F">
            <w:pPr>
              <w:autoSpaceDE w:val="0"/>
              <w:autoSpaceDN w:val="0"/>
              <w:spacing w:line="360" w:lineRule="auto"/>
              <w:rPr>
                <w:rFonts w:hint="eastAsia"/>
                <w:kern w:val="0"/>
                <w:sz w:val="24"/>
              </w:rPr>
            </w:pPr>
          </w:p>
        </w:tc>
      </w:tr>
    </w:tbl>
    <w:p w14:paraId="44E0DB6F">
      <w:pPr>
        <w:sectPr>
          <w:footerReference r:id="rId6" w:type="default"/>
          <w:pgSz w:w="11906" w:h="16838"/>
          <w:pgMar w:top="1440" w:right="1797" w:bottom="1440" w:left="1797"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hint="eastAsia"/>
        </w:rPr>
        <w:br w:type="page"/>
      </w:r>
    </w:p>
    <w:p w14:paraId="1062777C">
      <w:pPr>
        <w:jc w:val="center"/>
        <w:rPr>
          <w:rFonts w:hint="eastAsia" w:eastAsia="宋体"/>
          <w:lang w:eastAsia="zh-CN"/>
        </w:rPr>
      </w:pPr>
      <w:r>
        <w:rPr>
          <w:rFonts w:hint="eastAsia"/>
          <w:b/>
          <w:bCs/>
          <w:color w:val="FF0000"/>
          <w:szCs w:val="21"/>
        </w:rPr>
        <w:t>表1</w:t>
      </w:r>
      <w:r>
        <w:rPr>
          <w:rFonts w:hint="eastAsia"/>
          <w:b/>
          <w:bCs/>
          <w:color w:val="FF0000"/>
          <w:szCs w:val="21"/>
          <w:lang w:val="en-US" w:eastAsia="zh-CN"/>
        </w:rPr>
        <w:t>-6</w:t>
      </w:r>
      <w:r>
        <w:rPr>
          <w:b/>
          <w:bCs/>
          <w:color w:val="FF0000"/>
          <w:szCs w:val="21"/>
        </w:rPr>
        <w:t xml:space="preserve"> </w:t>
      </w:r>
      <w:r>
        <w:rPr>
          <w:rFonts w:hint="eastAsia"/>
          <w:b/>
          <w:bCs/>
          <w:color w:val="FF0000"/>
          <w:szCs w:val="21"/>
          <w:lang w:val="en-US" w:eastAsia="zh-CN"/>
        </w:rPr>
        <w:t xml:space="preserve"> </w:t>
      </w:r>
      <w:r>
        <w:rPr>
          <w:rFonts w:hint="eastAsia"/>
          <w:b/>
          <w:bCs/>
          <w:color w:val="FF0000"/>
          <w:szCs w:val="21"/>
        </w:rPr>
        <w:t>本项目与</w:t>
      </w:r>
      <w:r>
        <w:rPr>
          <w:rFonts w:hint="eastAsia"/>
          <w:b/>
          <w:bCs/>
          <w:color w:val="FF0000"/>
          <w:szCs w:val="21"/>
          <w:lang w:val="en-US" w:eastAsia="zh-CN"/>
        </w:rPr>
        <w:t>耒阳市导子镇</w:t>
      </w:r>
      <w:r>
        <w:rPr>
          <w:rFonts w:hint="eastAsia"/>
          <w:b/>
          <w:bCs/>
          <w:color w:val="FF0000"/>
          <w:szCs w:val="21"/>
        </w:rPr>
        <w:t>三线一单符合性分析</w:t>
      </w:r>
    </w:p>
    <w:tbl>
      <w:tblPr>
        <w:tblStyle w:val="33"/>
        <w:tblW w:w="143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87"/>
        <w:gridCol w:w="1050"/>
        <w:gridCol w:w="436"/>
        <w:gridCol w:w="437"/>
        <w:gridCol w:w="438"/>
        <w:gridCol w:w="723"/>
        <w:gridCol w:w="1021"/>
        <w:gridCol w:w="1020"/>
        <w:gridCol w:w="3084"/>
        <w:gridCol w:w="2409"/>
        <w:gridCol w:w="1321"/>
        <w:gridCol w:w="1414"/>
      </w:tblGrid>
      <w:tr w14:paraId="10A494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vMerge w:val="restart"/>
            <w:tcBorders>
              <w:tl2br w:val="nil"/>
              <w:tr2bl w:val="nil"/>
            </w:tcBorders>
            <w:vAlign w:val="center"/>
          </w:tcPr>
          <w:p w14:paraId="33D5387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环境管控单元编码</w:t>
            </w:r>
          </w:p>
        </w:tc>
        <w:tc>
          <w:tcPr>
            <w:tcW w:w="1050" w:type="dxa"/>
            <w:vMerge w:val="restart"/>
            <w:tcBorders>
              <w:tl2br w:val="nil"/>
              <w:tr2bl w:val="nil"/>
            </w:tcBorders>
            <w:vAlign w:val="center"/>
          </w:tcPr>
          <w:p w14:paraId="788FEFB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单元名称</w:t>
            </w:r>
          </w:p>
        </w:tc>
        <w:tc>
          <w:tcPr>
            <w:tcW w:w="1311" w:type="dxa"/>
            <w:gridSpan w:val="3"/>
            <w:tcBorders>
              <w:tl2br w:val="nil"/>
              <w:tr2bl w:val="nil"/>
            </w:tcBorders>
            <w:vAlign w:val="center"/>
          </w:tcPr>
          <w:p w14:paraId="32C7895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行政区划</w:t>
            </w:r>
          </w:p>
        </w:tc>
        <w:tc>
          <w:tcPr>
            <w:tcW w:w="723" w:type="dxa"/>
            <w:vMerge w:val="restart"/>
            <w:tcBorders>
              <w:tl2br w:val="nil"/>
              <w:tr2bl w:val="nil"/>
            </w:tcBorders>
            <w:vAlign w:val="center"/>
          </w:tcPr>
          <w:p w14:paraId="6B42F9C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单元</w:t>
            </w:r>
          </w:p>
          <w:p w14:paraId="1899059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分类</w:t>
            </w:r>
          </w:p>
        </w:tc>
        <w:tc>
          <w:tcPr>
            <w:tcW w:w="1021" w:type="dxa"/>
            <w:vMerge w:val="restart"/>
            <w:tcBorders>
              <w:tl2br w:val="nil"/>
              <w:tr2bl w:val="nil"/>
            </w:tcBorders>
            <w:vAlign w:val="center"/>
          </w:tcPr>
          <w:p w14:paraId="0A5AC82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单元面积（</w:t>
            </w:r>
            <w:r>
              <w:rPr>
                <w:rFonts w:eastAsiaTheme="minorEastAsia"/>
                <w:b/>
                <w:kern w:val="0"/>
                <w:szCs w:val="21"/>
              </w:rPr>
              <w:t>km</w:t>
            </w:r>
            <w:r>
              <w:rPr>
                <w:rFonts w:eastAsiaTheme="minorEastAsia"/>
                <w:b/>
                <w:kern w:val="0"/>
                <w:szCs w:val="21"/>
                <w:vertAlign w:val="superscript"/>
              </w:rPr>
              <w:t>2</w:t>
            </w:r>
            <w:r>
              <w:rPr>
                <w:rFonts w:hint="eastAsia" w:eastAsiaTheme="minorEastAsia"/>
                <w:b/>
                <w:kern w:val="0"/>
                <w:szCs w:val="21"/>
              </w:rPr>
              <w:t>）</w:t>
            </w:r>
          </w:p>
        </w:tc>
        <w:tc>
          <w:tcPr>
            <w:tcW w:w="1020" w:type="dxa"/>
            <w:vMerge w:val="restart"/>
            <w:tcBorders>
              <w:tl2br w:val="nil"/>
              <w:tr2bl w:val="nil"/>
            </w:tcBorders>
            <w:vAlign w:val="center"/>
          </w:tcPr>
          <w:p w14:paraId="525E8C0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涉及乡镇（街道）</w:t>
            </w:r>
          </w:p>
        </w:tc>
        <w:tc>
          <w:tcPr>
            <w:tcW w:w="3084" w:type="dxa"/>
            <w:vMerge w:val="restart"/>
            <w:tcBorders>
              <w:tl2br w:val="nil"/>
              <w:tr2bl w:val="nil"/>
            </w:tcBorders>
            <w:vAlign w:val="center"/>
          </w:tcPr>
          <w:p w14:paraId="60018B3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主体功能定位</w:t>
            </w:r>
          </w:p>
        </w:tc>
        <w:tc>
          <w:tcPr>
            <w:tcW w:w="2409" w:type="dxa"/>
            <w:vMerge w:val="restart"/>
            <w:tcBorders>
              <w:tl2br w:val="nil"/>
              <w:tr2bl w:val="nil"/>
            </w:tcBorders>
            <w:vAlign w:val="center"/>
          </w:tcPr>
          <w:p w14:paraId="00549B2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经济产业布局</w:t>
            </w:r>
          </w:p>
        </w:tc>
        <w:tc>
          <w:tcPr>
            <w:tcW w:w="2735" w:type="dxa"/>
            <w:gridSpan w:val="2"/>
            <w:vMerge w:val="restart"/>
            <w:tcBorders>
              <w:tl2br w:val="nil"/>
              <w:tr2bl w:val="nil"/>
            </w:tcBorders>
            <w:vAlign w:val="center"/>
          </w:tcPr>
          <w:p w14:paraId="52112E3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主要环境问题</w:t>
            </w:r>
          </w:p>
        </w:tc>
      </w:tr>
      <w:tr w14:paraId="1D60F7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blHeader/>
          <w:jc w:val="center"/>
        </w:trPr>
        <w:tc>
          <w:tcPr>
            <w:tcW w:w="987" w:type="dxa"/>
            <w:vMerge w:val="continue"/>
            <w:tcBorders>
              <w:tl2br w:val="nil"/>
              <w:tr2bl w:val="nil"/>
            </w:tcBorders>
            <w:vAlign w:val="center"/>
          </w:tcPr>
          <w:p w14:paraId="5C0E1E07">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1050" w:type="dxa"/>
            <w:vMerge w:val="continue"/>
            <w:tcBorders>
              <w:tl2br w:val="nil"/>
              <w:tr2bl w:val="nil"/>
            </w:tcBorders>
            <w:vAlign w:val="center"/>
          </w:tcPr>
          <w:p w14:paraId="5D4D5F58">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436" w:type="dxa"/>
            <w:tcBorders>
              <w:tl2br w:val="nil"/>
              <w:tr2bl w:val="nil"/>
            </w:tcBorders>
            <w:vAlign w:val="center"/>
          </w:tcPr>
          <w:p w14:paraId="4A48215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省</w:t>
            </w:r>
          </w:p>
        </w:tc>
        <w:tc>
          <w:tcPr>
            <w:tcW w:w="437" w:type="dxa"/>
            <w:tcBorders>
              <w:tl2br w:val="nil"/>
              <w:tr2bl w:val="nil"/>
            </w:tcBorders>
            <w:vAlign w:val="center"/>
          </w:tcPr>
          <w:p w14:paraId="637850B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市</w:t>
            </w:r>
          </w:p>
        </w:tc>
        <w:tc>
          <w:tcPr>
            <w:tcW w:w="438" w:type="dxa"/>
            <w:tcBorders>
              <w:tl2br w:val="nil"/>
              <w:tr2bl w:val="nil"/>
            </w:tcBorders>
            <w:vAlign w:val="center"/>
          </w:tcPr>
          <w:p w14:paraId="3388C9E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县</w:t>
            </w:r>
          </w:p>
        </w:tc>
        <w:tc>
          <w:tcPr>
            <w:tcW w:w="723" w:type="dxa"/>
            <w:vMerge w:val="continue"/>
            <w:tcBorders>
              <w:tl2br w:val="nil"/>
              <w:tr2bl w:val="nil"/>
            </w:tcBorders>
            <w:vAlign w:val="center"/>
          </w:tcPr>
          <w:p w14:paraId="075498FA">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1021" w:type="dxa"/>
            <w:vMerge w:val="continue"/>
            <w:tcBorders>
              <w:tl2br w:val="nil"/>
              <w:tr2bl w:val="nil"/>
            </w:tcBorders>
            <w:vAlign w:val="center"/>
          </w:tcPr>
          <w:p w14:paraId="4C758C26">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1020" w:type="dxa"/>
            <w:vMerge w:val="continue"/>
            <w:tcBorders>
              <w:tl2br w:val="nil"/>
              <w:tr2bl w:val="nil"/>
            </w:tcBorders>
            <w:vAlign w:val="center"/>
          </w:tcPr>
          <w:p w14:paraId="04490E1A">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3084" w:type="dxa"/>
            <w:vMerge w:val="continue"/>
            <w:tcBorders>
              <w:tl2br w:val="nil"/>
              <w:tr2bl w:val="nil"/>
            </w:tcBorders>
            <w:vAlign w:val="center"/>
          </w:tcPr>
          <w:p w14:paraId="03A4A131">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2409" w:type="dxa"/>
            <w:vMerge w:val="continue"/>
            <w:tcBorders>
              <w:tl2br w:val="nil"/>
              <w:tr2bl w:val="nil"/>
            </w:tcBorders>
            <w:vAlign w:val="center"/>
          </w:tcPr>
          <w:p w14:paraId="00CEAC43">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c>
          <w:tcPr>
            <w:tcW w:w="2735" w:type="dxa"/>
            <w:gridSpan w:val="2"/>
            <w:vMerge w:val="continue"/>
            <w:tcBorders>
              <w:tl2br w:val="nil"/>
              <w:tr2bl w:val="nil"/>
            </w:tcBorders>
            <w:vAlign w:val="center"/>
          </w:tcPr>
          <w:p w14:paraId="214AE35C">
            <w:pPr>
              <w:keepNext w:val="0"/>
              <w:keepLines w:val="0"/>
              <w:pageBreakBefore w:val="0"/>
              <w:widowControl/>
              <w:kinsoku/>
              <w:wordWrap/>
              <w:overflowPunct/>
              <w:topLinePunct w:val="0"/>
              <w:autoSpaceDE/>
              <w:autoSpaceDN/>
              <w:bidi w:val="0"/>
              <w:spacing w:line="240" w:lineRule="auto"/>
              <w:jc w:val="left"/>
              <w:textAlignment w:val="auto"/>
              <w:rPr>
                <w:rFonts w:eastAsiaTheme="minorEastAsia"/>
                <w:b/>
                <w:kern w:val="0"/>
                <w:szCs w:val="21"/>
              </w:rPr>
            </w:pPr>
          </w:p>
        </w:tc>
      </w:tr>
      <w:tr w14:paraId="69B12D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88" w:hRule="atLeast"/>
          <w:jc w:val="center"/>
        </w:trPr>
        <w:tc>
          <w:tcPr>
            <w:tcW w:w="987" w:type="dxa"/>
            <w:tcBorders>
              <w:tl2br w:val="nil"/>
              <w:tr2bl w:val="nil"/>
            </w:tcBorders>
            <w:vAlign w:val="center"/>
          </w:tcPr>
          <w:p w14:paraId="51B7A51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eastAsiaTheme="minorEastAsia"/>
                <w:kern w:val="0"/>
                <w:szCs w:val="21"/>
                <w:lang w:val="en-US" w:eastAsia="zh-CN"/>
              </w:rPr>
            </w:pPr>
            <w:r>
              <w:rPr>
                <w:rFonts w:eastAsiaTheme="minorEastAsia"/>
                <w:kern w:val="0"/>
                <w:szCs w:val="21"/>
              </w:rPr>
              <w:t>ZH4304</w:t>
            </w:r>
            <w:r>
              <w:rPr>
                <w:rFonts w:hint="eastAsia" w:eastAsiaTheme="minorEastAsia"/>
                <w:kern w:val="0"/>
                <w:szCs w:val="21"/>
                <w:lang w:val="en-US" w:eastAsia="zh-CN"/>
              </w:rPr>
              <w:t>8130003</w:t>
            </w:r>
          </w:p>
        </w:tc>
        <w:tc>
          <w:tcPr>
            <w:tcW w:w="1050" w:type="dxa"/>
            <w:tcBorders>
              <w:tl2br w:val="nil"/>
              <w:tr2bl w:val="nil"/>
            </w:tcBorders>
            <w:vAlign w:val="center"/>
          </w:tcPr>
          <w:p w14:paraId="657FBB6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p>
        </w:tc>
        <w:tc>
          <w:tcPr>
            <w:tcW w:w="436" w:type="dxa"/>
            <w:tcBorders>
              <w:tl2br w:val="nil"/>
              <w:tr2bl w:val="nil"/>
            </w:tcBorders>
            <w:vAlign w:val="center"/>
          </w:tcPr>
          <w:p w14:paraId="62B2F04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湖南省</w:t>
            </w:r>
          </w:p>
        </w:tc>
        <w:tc>
          <w:tcPr>
            <w:tcW w:w="437" w:type="dxa"/>
            <w:tcBorders>
              <w:tl2br w:val="nil"/>
              <w:tr2bl w:val="nil"/>
            </w:tcBorders>
            <w:vAlign w:val="center"/>
          </w:tcPr>
          <w:p w14:paraId="0990E83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衡阳市</w:t>
            </w:r>
          </w:p>
        </w:tc>
        <w:tc>
          <w:tcPr>
            <w:tcW w:w="438" w:type="dxa"/>
            <w:tcBorders>
              <w:tl2br w:val="nil"/>
              <w:tr2bl w:val="nil"/>
            </w:tcBorders>
            <w:vAlign w:val="center"/>
          </w:tcPr>
          <w:p w14:paraId="0BF048E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Theme="minorEastAsia"/>
                <w:kern w:val="0"/>
                <w:szCs w:val="21"/>
                <w:lang w:eastAsia="zh-CN"/>
              </w:rPr>
            </w:pPr>
            <w:r>
              <w:rPr>
                <w:rFonts w:hint="eastAsia" w:eastAsiaTheme="minorEastAsia"/>
                <w:kern w:val="0"/>
                <w:szCs w:val="21"/>
                <w:lang w:eastAsia="zh-CN"/>
              </w:rPr>
              <w:t>耒阳市</w:t>
            </w:r>
          </w:p>
        </w:tc>
        <w:tc>
          <w:tcPr>
            <w:tcW w:w="723" w:type="dxa"/>
            <w:tcBorders>
              <w:tl2br w:val="nil"/>
              <w:tr2bl w:val="nil"/>
            </w:tcBorders>
            <w:vAlign w:val="center"/>
          </w:tcPr>
          <w:p w14:paraId="197656B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kern w:val="0"/>
                <w:szCs w:val="21"/>
                <w:u w:val="single"/>
              </w:rPr>
            </w:pPr>
            <w:r>
              <w:rPr>
                <w:rFonts w:hint="eastAsia" w:eastAsiaTheme="minorEastAsia"/>
                <w:kern w:val="0"/>
                <w:szCs w:val="21"/>
                <w:u w:val="none"/>
              </w:rPr>
              <w:t>一般管控单元</w:t>
            </w:r>
          </w:p>
        </w:tc>
        <w:tc>
          <w:tcPr>
            <w:tcW w:w="1021" w:type="dxa"/>
            <w:tcBorders>
              <w:tl2br w:val="nil"/>
              <w:tr2bl w:val="nil"/>
            </w:tcBorders>
            <w:vAlign w:val="center"/>
          </w:tcPr>
          <w:p w14:paraId="2B8D52B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eastAsiaTheme="minorEastAsia"/>
                <w:kern w:val="0"/>
                <w:szCs w:val="21"/>
              </w:rPr>
              <w:t>/</w:t>
            </w:r>
          </w:p>
        </w:tc>
        <w:tc>
          <w:tcPr>
            <w:tcW w:w="1020" w:type="dxa"/>
            <w:tcBorders>
              <w:tl2br w:val="nil"/>
              <w:tr2bl w:val="nil"/>
            </w:tcBorders>
            <w:vAlign w:val="center"/>
          </w:tcPr>
          <w:p w14:paraId="41D1343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Theme="minorEastAsia"/>
                <w:kern w:val="0"/>
                <w:szCs w:val="21"/>
                <w:lang w:val="en-US" w:eastAsia="zh-CN"/>
              </w:rPr>
            </w:pPr>
            <w:r>
              <w:rPr>
                <w:rFonts w:hint="eastAsia" w:eastAsiaTheme="minorEastAsia"/>
                <w:kern w:val="0"/>
                <w:szCs w:val="21"/>
                <w:lang w:val="en-US" w:eastAsia="zh-CN"/>
              </w:rPr>
              <w:t>导子镇</w:t>
            </w:r>
          </w:p>
        </w:tc>
        <w:tc>
          <w:tcPr>
            <w:tcW w:w="3084" w:type="dxa"/>
            <w:tcBorders>
              <w:tl2br w:val="nil"/>
              <w:tr2bl w:val="nil"/>
            </w:tcBorders>
            <w:vAlign w:val="center"/>
          </w:tcPr>
          <w:p w14:paraId="0A2821E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国家层面农产品主产区</w:t>
            </w:r>
          </w:p>
        </w:tc>
        <w:tc>
          <w:tcPr>
            <w:tcW w:w="2409" w:type="dxa"/>
            <w:tcBorders>
              <w:tl2br w:val="nil"/>
              <w:tr2bl w:val="nil"/>
            </w:tcBorders>
            <w:vAlign w:val="center"/>
          </w:tcPr>
          <w:p w14:paraId="3CA33BD7">
            <w:pPr>
              <w:keepNext w:val="0"/>
              <w:keepLines w:val="0"/>
              <w:pageBreakBefore w:val="0"/>
              <w:widowControl/>
              <w:kinsoku/>
              <w:wordWrap/>
              <w:overflowPunct/>
              <w:topLinePunct w:val="0"/>
              <w:autoSpaceDE/>
              <w:autoSpaceDN/>
              <w:bidi w:val="0"/>
              <w:adjustRightInd w:val="0"/>
              <w:snapToGrid w:val="0"/>
              <w:spacing w:line="240" w:lineRule="auto"/>
              <w:textAlignment w:val="auto"/>
              <w:rPr>
                <w:rFonts w:eastAsiaTheme="minorEastAsia"/>
                <w:kern w:val="0"/>
                <w:szCs w:val="21"/>
              </w:rPr>
            </w:pPr>
            <w:r>
              <w:rPr>
                <w:rFonts w:hint="eastAsia"/>
                <w:kern w:val="0"/>
                <w:szCs w:val="21"/>
              </w:rPr>
              <w:t>矿产资源开采</w:t>
            </w:r>
            <w:r>
              <w:rPr>
                <w:rFonts w:hint="eastAsia" w:eastAsiaTheme="minorEastAsia"/>
                <w:kern w:val="0"/>
                <w:szCs w:val="21"/>
              </w:rPr>
              <w:t>、建材、</w:t>
            </w:r>
            <w:r>
              <w:rPr>
                <w:rFonts w:hint="eastAsia" w:eastAsiaTheme="minorEastAsia"/>
                <w:kern w:val="0"/>
                <w:szCs w:val="21"/>
                <w:lang w:val="en-US" w:eastAsia="zh-CN"/>
              </w:rPr>
              <w:t>食品加工</w:t>
            </w:r>
            <w:r>
              <w:rPr>
                <w:rFonts w:hint="eastAsia" w:eastAsiaTheme="minorEastAsia"/>
                <w:kern w:val="0"/>
                <w:szCs w:val="21"/>
              </w:rPr>
              <w:t>、</w:t>
            </w:r>
            <w:r>
              <w:rPr>
                <w:rFonts w:hint="eastAsia" w:eastAsiaTheme="minorEastAsia"/>
                <w:kern w:val="0"/>
                <w:szCs w:val="21"/>
                <w:lang w:val="en-US" w:eastAsia="zh-CN"/>
              </w:rPr>
              <w:t>竹木加工、物流、生态旅游、畜禽养殖等</w:t>
            </w:r>
            <w:r>
              <w:rPr>
                <w:rFonts w:hint="eastAsia" w:eastAsiaTheme="minorEastAsia"/>
                <w:kern w:val="0"/>
                <w:szCs w:val="21"/>
              </w:rPr>
              <w:t>。</w:t>
            </w:r>
          </w:p>
        </w:tc>
        <w:tc>
          <w:tcPr>
            <w:tcW w:w="2735" w:type="dxa"/>
            <w:gridSpan w:val="2"/>
            <w:tcBorders>
              <w:tl2br w:val="nil"/>
              <w:tr2bl w:val="nil"/>
            </w:tcBorders>
            <w:vAlign w:val="center"/>
          </w:tcPr>
          <w:p w14:paraId="7E739E32">
            <w:pPr>
              <w:keepNext w:val="0"/>
              <w:keepLines w:val="0"/>
              <w:pageBreakBefore w:val="0"/>
              <w:widowControl/>
              <w:kinsoku/>
              <w:wordWrap/>
              <w:overflowPunct/>
              <w:topLinePunct w:val="0"/>
              <w:autoSpaceDE/>
              <w:autoSpaceDN/>
              <w:bidi w:val="0"/>
              <w:adjustRightInd w:val="0"/>
              <w:snapToGrid w:val="0"/>
              <w:spacing w:line="240" w:lineRule="auto"/>
              <w:textAlignment w:val="auto"/>
              <w:rPr>
                <w:rFonts w:eastAsiaTheme="minorEastAsia"/>
                <w:kern w:val="0"/>
                <w:szCs w:val="21"/>
              </w:rPr>
            </w:pPr>
            <w:r>
              <w:rPr>
                <w:rFonts w:hint="eastAsia" w:eastAsiaTheme="minorEastAsia"/>
                <w:kern w:val="0"/>
                <w:szCs w:val="21"/>
                <w:lang w:val="en-US" w:eastAsia="zh-CN"/>
              </w:rPr>
              <w:t>采矿沉陷，养殖废水污染，垃圾收集处理系统不完备，煤矿、采石扬尘、废水等，垃圾焚烧</w:t>
            </w:r>
            <w:r>
              <w:rPr>
                <w:rFonts w:hint="eastAsia" w:eastAsiaTheme="minorEastAsia"/>
                <w:kern w:val="0"/>
                <w:szCs w:val="21"/>
              </w:rPr>
              <w:t>。</w:t>
            </w:r>
          </w:p>
        </w:tc>
      </w:tr>
      <w:tr w14:paraId="47BAF2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524EF53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主要属性</w:t>
            </w:r>
          </w:p>
        </w:tc>
        <w:tc>
          <w:tcPr>
            <w:tcW w:w="13353" w:type="dxa"/>
            <w:gridSpan w:val="11"/>
            <w:tcBorders>
              <w:tl2br w:val="nil"/>
              <w:tr2bl w:val="nil"/>
            </w:tcBorders>
            <w:vAlign w:val="center"/>
          </w:tcPr>
          <w:p w14:paraId="49693925">
            <w:pPr>
              <w:keepNext w:val="0"/>
              <w:keepLines w:val="0"/>
              <w:pageBreakBefore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kern w:val="0"/>
                <w:szCs w:val="21"/>
                <w:lang w:val="en-US" w:eastAsia="zh-CN"/>
              </w:rPr>
            </w:pPr>
            <w:r>
              <w:rPr>
                <w:rFonts w:hint="eastAsia" w:ascii="宋体" w:hAnsi="宋体" w:cs="宋体"/>
                <w:kern w:val="0"/>
                <w:szCs w:val="21"/>
                <w:lang w:val="en-US" w:eastAsia="zh-CN"/>
              </w:rPr>
              <w:t>导子镇：</w:t>
            </w:r>
          </w:p>
          <w:p w14:paraId="537AA7CA">
            <w:pPr>
              <w:keepNext w:val="0"/>
              <w:keepLines w:val="0"/>
              <w:pageBreakBefore w:val="0"/>
              <w:kinsoku/>
              <w:wordWrap/>
              <w:overflowPunct/>
              <w:topLinePunct w:val="0"/>
              <w:autoSpaceDE/>
              <w:autoSpaceDN/>
              <w:bidi w:val="0"/>
              <w:adjustRightInd w:val="0"/>
              <w:snapToGrid w:val="0"/>
              <w:spacing w:line="240" w:lineRule="auto"/>
              <w:jc w:val="left"/>
              <w:textAlignment w:val="auto"/>
              <w:rPr>
                <w:rFonts w:eastAsiaTheme="minorEastAsia"/>
                <w:kern w:val="0"/>
                <w:szCs w:val="21"/>
              </w:rPr>
            </w:pPr>
            <w:r>
              <w:rPr>
                <w:rFonts w:hint="eastAsia" w:ascii="宋体" w:hAnsi="宋体" w:cs="宋体"/>
                <w:kern w:val="0"/>
                <w:szCs w:val="21"/>
              </w:rPr>
              <w:t>▉</w:t>
            </w:r>
            <w:r>
              <w:rPr>
                <w:rFonts w:hint="eastAsia" w:eastAsiaTheme="minorEastAsia"/>
                <w:kern w:val="0"/>
                <w:szCs w:val="21"/>
              </w:rPr>
              <w:t>红线</w:t>
            </w:r>
            <w:r>
              <w:rPr>
                <w:rFonts w:eastAsiaTheme="minorEastAsia"/>
                <w:kern w:val="0"/>
                <w:szCs w:val="21"/>
              </w:rPr>
              <w:t>/</w:t>
            </w:r>
            <w:r>
              <w:rPr>
                <w:rFonts w:hint="eastAsia" w:eastAsiaTheme="minorEastAsia"/>
                <w:kern w:val="0"/>
                <w:szCs w:val="21"/>
              </w:rPr>
              <w:t>一般生态空间</w:t>
            </w:r>
            <w:r>
              <w:rPr>
                <w:rFonts w:eastAsiaTheme="minorEastAsia"/>
                <w:kern w:val="0"/>
                <w:szCs w:val="21"/>
              </w:rPr>
              <w:t>——</w:t>
            </w:r>
            <w:r>
              <w:rPr>
                <w:rFonts w:hint="eastAsia" w:eastAsiaTheme="minorEastAsia"/>
                <w:kern w:val="0"/>
                <w:szCs w:val="21"/>
              </w:rPr>
              <w:t>风公益林</w:t>
            </w:r>
            <w:r>
              <w:rPr>
                <w:rFonts w:eastAsiaTheme="minorEastAsia"/>
                <w:kern w:val="0"/>
                <w:szCs w:val="21"/>
              </w:rPr>
              <w:t>/</w:t>
            </w:r>
            <w:r>
              <w:rPr>
                <w:rFonts w:hint="eastAsia" w:eastAsiaTheme="minorEastAsia"/>
                <w:kern w:val="0"/>
                <w:szCs w:val="21"/>
                <w:lang w:val="en-US" w:eastAsia="zh-CN"/>
              </w:rPr>
              <w:t>森林</w:t>
            </w:r>
            <w:r>
              <w:rPr>
                <w:rFonts w:hint="eastAsia" w:eastAsiaTheme="minorEastAsia"/>
                <w:kern w:val="0"/>
                <w:szCs w:val="21"/>
              </w:rPr>
              <w:t>公园</w:t>
            </w:r>
            <w:r>
              <w:rPr>
                <w:rFonts w:eastAsiaTheme="minorEastAsia"/>
                <w:kern w:val="0"/>
                <w:szCs w:val="21"/>
              </w:rPr>
              <w:t>/</w:t>
            </w:r>
            <w:r>
              <w:rPr>
                <w:rFonts w:hint="eastAsia" w:eastAsiaTheme="minorEastAsia"/>
                <w:kern w:val="0"/>
                <w:szCs w:val="21"/>
              </w:rPr>
              <w:t>水土保持功能重要区</w:t>
            </w:r>
            <w:r>
              <w:rPr>
                <w:rFonts w:eastAsiaTheme="minorEastAsia"/>
                <w:kern w:val="0"/>
                <w:szCs w:val="21"/>
              </w:rPr>
              <w:t>/</w:t>
            </w:r>
            <w:r>
              <w:rPr>
                <w:rFonts w:hint="eastAsia" w:eastAsiaTheme="minorEastAsia"/>
                <w:kern w:val="0"/>
                <w:szCs w:val="21"/>
              </w:rPr>
              <w:t>水源涵养重要区</w:t>
            </w:r>
          </w:p>
          <w:p w14:paraId="40EA7FEF">
            <w:pPr>
              <w:keepNext w:val="0"/>
              <w:keepLines w:val="0"/>
              <w:pageBreakBefore w:val="0"/>
              <w:kinsoku/>
              <w:wordWrap/>
              <w:overflowPunct/>
              <w:topLinePunct w:val="0"/>
              <w:autoSpaceDE/>
              <w:autoSpaceDN/>
              <w:bidi w:val="0"/>
              <w:adjustRightInd w:val="0"/>
              <w:snapToGrid w:val="0"/>
              <w:spacing w:line="240" w:lineRule="auto"/>
              <w:jc w:val="left"/>
              <w:textAlignment w:val="auto"/>
              <w:rPr>
                <w:rFonts w:eastAsiaTheme="minorEastAsia"/>
                <w:kern w:val="0"/>
                <w:szCs w:val="21"/>
              </w:rPr>
            </w:pPr>
            <w:r>
              <w:rPr>
                <w:rFonts w:hint="eastAsia" w:ascii="宋体" w:hAnsi="宋体" w:cs="宋体"/>
                <w:kern w:val="0"/>
                <w:szCs w:val="21"/>
              </w:rPr>
              <w:t>▉</w:t>
            </w:r>
            <w:r>
              <w:rPr>
                <w:rFonts w:hint="eastAsia" w:ascii="宋体" w:hAnsi="宋体" w:cs="宋体"/>
                <w:kern w:val="0"/>
                <w:szCs w:val="21"/>
                <w:lang w:val="en-US" w:eastAsia="zh-CN"/>
              </w:rPr>
              <w:t>其他水环境重点管控区</w:t>
            </w:r>
            <w:r>
              <w:rPr>
                <w:rFonts w:eastAsiaTheme="minorEastAsia"/>
                <w:kern w:val="0"/>
                <w:szCs w:val="21"/>
              </w:rPr>
              <w:t>——</w:t>
            </w:r>
            <w:r>
              <w:rPr>
                <w:rFonts w:hint="eastAsia" w:eastAsiaTheme="minorEastAsia"/>
                <w:kern w:val="0"/>
                <w:szCs w:val="21"/>
                <w:lang w:val="en-US" w:eastAsia="zh-CN"/>
              </w:rPr>
              <w:t>耒阳市群星矿业有限公司石山岭铅锌矿</w:t>
            </w:r>
          </w:p>
          <w:p w14:paraId="3C21C80E">
            <w:pPr>
              <w:keepNext w:val="0"/>
              <w:keepLines w:val="0"/>
              <w:pageBreakBefore w:val="0"/>
              <w:kinsoku/>
              <w:wordWrap/>
              <w:overflowPunct/>
              <w:topLinePunct w:val="0"/>
              <w:autoSpaceDE/>
              <w:autoSpaceDN/>
              <w:bidi w:val="0"/>
              <w:adjustRightInd w:val="0"/>
              <w:snapToGrid w:val="0"/>
              <w:spacing w:line="240" w:lineRule="auto"/>
              <w:jc w:val="left"/>
              <w:textAlignment w:val="auto"/>
              <w:rPr>
                <w:rFonts w:eastAsiaTheme="minorEastAsia"/>
                <w:kern w:val="0"/>
                <w:szCs w:val="21"/>
              </w:rPr>
            </w:pPr>
            <w:r>
              <w:rPr>
                <w:rFonts w:hint="eastAsia" w:ascii="宋体" w:hAnsi="宋体" w:cs="宋体"/>
                <w:kern w:val="0"/>
                <w:szCs w:val="21"/>
              </w:rPr>
              <w:t>▉</w:t>
            </w:r>
            <w:r>
              <w:rPr>
                <w:rFonts w:hint="eastAsia" w:eastAsiaTheme="minorEastAsia"/>
                <w:kern w:val="0"/>
                <w:szCs w:val="21"/>
              </w:rPr>
              <w:t>农用地优先保护区</w:t>
            </w:r>
            <w:r>
              <w:rPr>
                <w:rFonts w:eastAsiaTheme="minorEastAsia"/>
                <w:kern w:val="0"/>
                <w:szCs w:val="21"/>
              </w:rPr>
              <w:t>/</w:t>
            </w:r>
            <w:r>
              <w:rPr>
                <w:rFonts w:hint="eastAsia" w:eastAsiaTheme="minorEastAsia"/>
                <w:kern w:val="0"/>
                <w:szCs w:val="21"/>
              </w:rPr>
              <w:t>其他土壤重点管控区</w:t>
            </w:r>
            <w:r>
              <w:rPr>
                <w:rFonts w:eastAsiaTheme="minorEastAsia"/>
                <w:kern w:val="0"/>
                <w:szCs w:val="21"/>
              </w:rPr>
              <w:t>——</w:t>
            </w:r>
            <w:r>
              <w:rPr>
                <w:rFonts w:hint="eastAsia" w:eastAsiaTheme="minorEastAsia"/>
                <w:kern w:val="0"/>
                <w:szCs w:val="21"/>
              </w:rPr>
              <w:t>部省级采矿权</w:t>
            </w:r>
            <w:r>
              <w:rPr>
                <w:rFonts w:eastAsiaTheme="minorEastAsia"/>
                <w:kern w:val="0"/>
                <w:szCs w:val="21"/>
              </w:rPr>
              <w:t>/</w:t>
            </w:r>
            <w:r>
              <w:rPr>
                <w:rFonts w:hint="eastAsia" w:eastAsiaTheme="minorEastAsia"/>
                <w:kern w:val="0"/>
                <w:szCs w:val="21"/>
              </w:rPr>
              <w:t>市县级采矿权</w:t>
            </w:r>
            <w:r>
              <w:rPr>
                <w:rFonts w:eastAsiaTheme="minorEastAsia"/>
                <w:kern w:val="0"/>
                <w:szCs w:val="21"/>
              </w:rPr>
              <w:t>/</w:t>
            </w:r>
            <w:r>
              <w:rPr>
                <w:rFonts w:hint="eastAsia" w:eastAsiaTheme="minorEastAsia"/>
                <w:kern w:val="0"/>
                <w:szCs w:val="21"/>
              </w:rPr>
              <w:t>部省级探矿权</w:t>
            </w:r>
          </w:p>
        </w:tc>
      </w:tr>
      <w:tr w14:paraId="1EE6F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77A10A7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管控维度</w:t>
            </w:r>
          </w:p>
        </w:tc>
        <w:tc>
          <w:tcPr>
            <w:tcW w:w="8209" w:type="dxa"/>
            <w:gridSpan w:val="8"/>
            <w:tcBorders>
              <w:tl2br w:val="nil"/>
              <w:tr2bl w:val="nil"/>
            </w:tcBorders>
            <w:vAlign w:val="center"/>
          </w:tcPr>
          <w:p w14:paraId="776BEFA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管控要求</w:t>
            </w:r>
          </w:p>
        </w:tc>
        <w:tc>
          <w:tcPr>
            <w:tcW w:w="3730" w:type="dxa"/>
            <w:gridSpan w:val="2"/>
            <w:tcBorders>
              <w:tl2br w:val="nil"/>
              <w:tr2bl w:val="nil"/>
            </w:tcBorders>
            <w:vAlign w:val="center"/>
          </w:tcPr>
          <w:p w14:paraId="6A165E6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项目情况</w:t>
            </w:r>
          </w:p>
        </w:tc>
        <w:tc>
          <w:tcPr>
            <w:tcW w:w="1414" w:type="dxa"/>
            <w:tcBorders>
              <w:tl2br w:val="nil"/>
              <w:tr2bl w:val="nil"/>
            </w:tcBorders>
            <w:vAlign w:val="center"/>
          </w:tcPr>
          <w:p w14:paraId="36F2C63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eastAsiaTheme="minorEastAsia"/>
                <w:b/>
                <w:kern w:val="0"/>
                <w:szCs w:val="21"/>
              </w:rPr>
            </w:pPr>
            <w:r>
              <w:rPr>
                <w:rFonts w:hint="eastAsia" w:eastAsiaTheme="minorEastAsia"/>
                <w:b/>
                <w:kern w:val="0"/>
                <w:szCs w:val="21"/>
              </w:rPr>
              <w:t>符合性分析</w:t>
            </w:r>
          </w:p>
        </w:tc>
      </w:tr>
      <w:tr w14:paraId="7ADE7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485506B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空间布局约束</w:t>
            </w:r>
          </w:p>
        </w:tc>
        <w:tc>
          <w:tcPr>
            <w:tcW w:w="8209" w:type="dxa"/>
            <w:gridSpan w:val="8"/>
            <w:tcBorders>
              <w:tl2br w:val="nil"/>
              <w:tr2bl w:val="nil"/>
            </w:tcBorders>
            <w:vAlign w:val="center"/>
          </w:tcPr>
          <w:p w14:paraId="0CDCC26E">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w:t>
            </w:r>
            <w:r>
              <w:rPr>
                <w:rFonts w:eastAsiaTheme="minorEastAsia"/>
                <w:kern w:val="0"/>
                <w:szCs w:val="21"/>
              </w:rPr>
              <w:t>1.1</w:t>
            </w:r>
            <w:r>
              <w:rPr>
                <w:rFonts w:hint="eastAsia" w:eastAsiaTheme="minorEastAsia"/>
                <w:kern w:val="0"/>
                <w:szCs w:val="21"/>
              </w:rPr>
              <w:t>）</w:t>
            </w:r>
            <w:r>
              <w:rPr>
                <w:rFonts w:hint="eastAsia" w:eastAsiaTheme="minorEastAsia"/>
                <w:kern w:val="0"/>
                <w:szCs w:val="21"/>
                <w:lang w:val="en-US" w:eastAsia="zh-CN"/>
              </w:rPr>
              <w:t>禁止新建钢铁、焦化等行业的高污染项目</w:t>
            </w:r>
            <w:r>
              <w:rPr>
                <w:rFonts w:hint="eastAsia" w:eastAsiaTheme="minorEastAsia"/>
                <w:kern w:val="0"/>
                <w:szCs w:val="21"/>
              </w:rPr>
              <w:t>。</w:t>
            </w:r>
          </w:p>
          <w:p w14:paraId="56488BC8">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w:t>
            </w:r>
            <w:r>
              <w:rPr>
                <w:rFonts w:eastAsiaTheme="minorEastAsia"/>
                <w:kern w:val="0"/>
                <w:szCs w:val="21"/>
              </w:rPr>
              <w:t>1.2</w:t>
            </w:r>
            <w:r>
              <w:rPr>
                <w:rFonts w:hint="eastAsia" w:eastAsiaTheme="minorEastAsia"/>
                <w:kern w:val="0"/>
                <w:szCs w:val="21"/>
              </w:rPr>
              <w:t>）区域养殖业按划定的禁养区、限养区、适养区实施分类管理。</w:t>
            </w:r>
          </w:p>
        </w:tc>
        <w:tc>
          <w:tcPr>
            <w:tcW w:w="3730" w:type="dxa"/>
            <w:gridSpan w:val="2"/>
            <w:tcBorders>
              <w:tl2br w:val="nil"/>
              <w:tr2bl w:val="nil"/>
            </w:tcBorders>
            <w:vAlign w:val="center"/>
          </w:tcPr>
          <w:p w14:paraId="7002B9C1">
            <w:pPr>
              <w:keepNext w:val="0"/>
              <w:keepLines w:val="0"/>
              <w:pageBreakBefore w:val="0"/>
              <w:kinsoku/>
              <w:wordWrap/>
              <w:overflowPunct/>
              <w:topLinePunct w:val="0"/>
              <w:autoSpaceDE/>
              <w:autoSpaceDN/>
              <w:bidi w:val="0"/>
              <w:adjustRightInd w:val="0"/>
              <w:spacing w:line="240" w:lineRule="auto"/>
              <w:jc w:val="left"/>
              <w:textAlignment w:val="auto"/>
              <w:rPr>
                <w:rFonts w:eastAsiaTheme="minorEastAsia"/>
                <w:szCs w:val="21"/>
              </w:rPr>
            </w:pPr>
            <w:r>
              <w:rPr>
                <w:rFonts w:hint="eastAsia"/>
                <w:kern w:val="0"/>
                <w:szCs w:val="21"/>
              </w:rPr>
              <w:t>本项目为风电项目，不属于上述行业。</w:t>
            </w:r>
          </w:p>
        </w:tc>
        <w:tc>
          <w:tcPr>
            <w:tcW w:w="1414" w:type="dxa"/>
            <w:tcBorders>
              <w:tl2br w:val="nil"/>
              <w:tr2bl w:val="nil"/>
            </w:tcBorders>
            <w:vAlign w:val="center"/>
          </w:tcPr>
          <w:p w14:paraId="6FF26398">
            <w:pPr>
              <w:keepNext w:val="0"/>
              <w:keepLines w:val="0"/>
              <w:pageBreakBefore w:val="0"/>
              <w:tabs>
                <w:tab w:val="left" w:pos="1021"/>
              </w:tabs>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kern w:val="0"/>
                <w:szCs w:val="21"/>
              </w:rPr>
              <w:t>符合</w:t>
            </w:r>
          </w:p>
        </w:tc>
      </w:tr>
      <w:tr w14:paraId="4ED9EA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0EA5744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污染物排放管控</w:t>
            </w:r>
          </w:p>
        </w:tc>
        <w:tc>
          <w:tcPr>
            <w:tcW w:w="8209" w:type="dxa"/>
            <w:gridSpan w:val="8"/>
            <w:tcBorders>
              <w:tl2br w:val="nil"/>
              <w:tr2bl w:val="nil"/>
            </w:tcBorders>
            <w:vAlign w:val="center"/>
          </w:tcPr>
          <w:p w14:paraId="50799B61">
            <w:pPr>
              <w:keepNext w:val="0"/>
              <w:keepLines w:val="0"/>
              <w:pageBreakBefore w:val="0"/>
              <w:kinsoku/>
              <w:wordWrap/>
              <w:overflowPunct/>
              <w:topLinePunct w:val="0"/>
              <w:autoSpaceDE/>
              <w:autoSpaceDN/>
              <w:bidi w:val="0"/>
              <w:adjustRightInd w:val="0"/>
              <w:spacing w:line="240" w:lineRule="auto"/>
              <w:textAlignment w:val="auto"/>
              <w:rPr>
                <w:rFonts w:hint="eastAsia" w:eastAsiaTheme="minorEastAsia"/>
                <w:kern w:val="0"/>
                <w:szCs w:val="21"/>
                <w:lang w:val="en-US" w:eastAsia="zh-CN"/>
              </w:rPr>
            </w:pPr>
            <w:r>
              <w:rPr>
                <w:rFonts w:hint="eastAsia" w:eastAsiaTheme="minorEastAsia"/>
                <w:kern w:val="0"/>
                <w:szCs w:val="21"/>
              </w:rPr>
              <w:t>（</w:t>
            </w:r>
            <w:r>
              <w:rPr>
                <w:rFonts w:eastAsiaTheme="minorEastAsia"/>
                <w:kern w:val="0"/>
                <w:szCs w:val="21"/>
              </w:rPr>
              <w:t>2.1</w:t>
            </w:r>
            <w:r>
              <w:rPr>
                <w:rFonts w:hint="eastAsia" w:eastAsiaTheme="minorEastAsia"/>
                <w:kern w:val="0"/>
                <w:szCs w:val="21"/>
              </w:rPr>
              <w:t>）</w:t>
            </w:r>
            <w:r>
              <w:rPr>
                <w:rFonts w:hint="eastAsia" w:eastAsiaTheme="minorEastAsia"/>
                <w:kern w:val="0"/>
                <w:szCs w:val="21"/>
                <w:lang w:val="en-US" w:eastAsia="zh-CN"/>
              </w:rPr>
              <w:t>加强工业水污染防治、加快污水管网及处理设施建设、强化饮用水源保护、黑臭水体治理等为重点，开展水污染防治计划，全力保障饮用水安全和改善水环境质量。</w:t>
            </w:r>
          </w:p>
          <w:p w14:paraId="21CB68B6">
            <w:pPr>
              <w:keepNext w:val="0"/>
              <w:keepLines w:val="0"/>
              <w:pageBreakBefore w:val="0"/>
              <w:kinsoku/>
              <w:wordWrap/>
              <w:overflowPunct/>
              <w:topLinePunct w:val="0"/>
              <w:autoSpaceDE/>
              <w:autoSpaceDN/>
              <w:bidi w:val="0"/>
              <w:adjustRightInd w:val="0"/>
              <w:spacing w:line="240" w:lineRule="auto"/>
              <w:textAlignment w:val="auto"/>
              <w:rPr>
                <w:rFonts w:hint="default" w:eastAsiaTheme="minorEastAsia"/>
                <w:kern w:val="0"/>
                <w:szCs w:val="21"/>
                <w:lang w:val="en-US" w:eastAsia="zh-CN"/>
              </w:rPr>
            </w:pPr>
            <w:r>
              <w:rPr>
                <w:rFonts w:hint="eastAsia" w:eastAsiaTheme="minorEastAsia"/>
                <w:kern w:val="0"/>
                <w:szCs w:val="21"/>
                <w:lang w:val="en-US" w:eastAsia="zh-CN"/>
              </w:rPr>
              <w:t>（2.2）加强城区燃煤锅炉整治，全面实施大气污染物特别排放限值；渣土、建材、垃圾运输车辆必须全封闭运输，施工场地全封闭围挡作业；禁止城区露天焚烧垃圾、露天烧烤等行为，禁止焚烧秸秆。</w:t>
            </w:r>
          </w:p>
          <w:p w14:paraId="415BDB33">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w:t>
            </w:r>
            <w:r>
              <w:rPr>
                <w:rFonts w:eastAsiaTheme="minorEastAsia"/>
                <w:kern w:val="0"/>
                <w:szCs w:val="21"/>
              </w:rPr>
              <w:t>2.</w:t>
            </w:r>
            <w:r>
              <w:rPr>
                <w:rFonts w:hint="eastAsia" w:eastAsiaTheme="minorEastAsia"/>
                <w:kern w:val="0"/>
                <w:szCs w:val="21"/>
                <w:lang w:val="en-US" w:eastAsia="zh-CN"/>
              </w:rPr>
              <w:t>3</w:t>
            </w:r>
            <w:r>
              <w:rPr>
                <w:rFonts w:hint="eastAsia" w:eastAsiaTheme="minorEastAsia"/>
                <w:kern w:val="0"/>
                <w:szCs w:val="21"/>
              </w:rPr>
              <w:t>）以“减量化、无害化、资源化”为重点，加快推进垃圾分类收集减量和资源综合利用，提升危险废物安全处置能力，推进一般工业固废综合利用。</w:t>
            </w:r>
          </w:p>
        </w:tc>
        <w:tc>
          <w:tcPr>
            <w:tcW w:w="3730" w:type="dxa"/>
            <w:gridSpan w:val="2"/>
            <w:tcBorders>
              <w:tl2br w:val="nil"/>
              <w:tr2bl w:val="nil"/>
            </w:tcBorders>
            <w:vAlign w:val="center"/>
          </w:tcPr>
          <w:p w14:paraId="14299B83">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rPr>
                <w:rFonts w:eastAsiaTheme="minorEastAsia"/>
                <w:kern w:val="0"/>
                <w:szCs w:val="21"/>
              </w:rPr>
            </w:pPr>
            <w:r>
              <w:rPr>
                <w:rFonts w:hint="eastAsia"/>
              </w:rPr>
              <w:t>施工期运输车辆材料覆盖，车辆冲洗干净后上路，施工道路扬尘采取洒水抑尘，及时清理道路遗撒物。</w:t>
            </w:r>
          </w:p>
        </w:tc>
        <w:tc>
          <w:tcPr>
            <w:tcW w:w="1414" w:type="dxa"/>
            <w:tcBorders>
              <w:tl2br w:val="nil"/>
              <w:tr2bl w:val="nil"/>
            </w:tcBorders>
            <w:vAlign w:val="center"/>
          </w:tcPr>
          <w:p w14:paraId="1641B269">
            <w:pPr>
              <w:keepNext w:val="0"/>
              <w:keepLines w:val="0"/>
              <w:pageBreakBefore w:val="0"/>
              <w:widowControl/>
              <w:kinsoku/>
              <w:wordWrap/>
              <w:overflowPunct/>
              <w:topLinePunct w:val="0"/>
              <w:autoSpaceDE/>
              <w:autoSpaceDN/>
              <w:bidi w:val="0"/>
              <w:spacing w:line="240" w:lineRule="auto"/>
              <w:jc w:val="center"/>
              <w:textAlignment w:val="auto"/>
              <w:rPr>
                <w:rFonts w:eastAsiaTheme="minorEastAsia"/>
                <w:kern w:val="0"/>
                <w:szCs w:val="21"/>
              </w:rPr>
            </w:pPr>
            <w:r>
              <w:rPr>
                <w:rFonts w:hint="eastAsia"/>
                <w:kern w:val="0"/>
                <w:szCs w:val="21"/>
              </w:rPr>
              <w:t>符合</w:t>
            </w:r>
          </w:p>
        </w:tc>
      </w:tr>
      <w:tr w14:paraId="463CBE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987" w:type="dxa"/>
            <w:tcBorders>
              <w:tl2br w:val="nil"/>
              <w:tr2bl w:val="nil"/>
            </w:tcBorders>
            <w:vAlign w:val="center"/>
          </w:tcPr>
          <w:p w14:paraId="65DF1D1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环境风险防控</w:t>
            </w:r>
          </w:p>
        </w:tc>
        <w:tc>
          <w:tcPr>
            <w:tcW w:w="8209" w:type="dxa"/>
            <w:gridSpan w:val="8"/>
            <w:tcBorders>
              <w:tl2br w:val="nil"/>
              <w:tr2bl w:val="nil"/>
            </w:tcBorders>
            <w:vAlign w:val="center"/>
          </w:tcPr>
          <w:p w14:paraId="5C662731">
            <w:pPr>
              <w:keepNext w:val="0"/>
              <w:keepLines w:val="0"/>
              <w:pageBreakBefore w:val="0"/>
              <w:kinsoku/>
              <w:wordWrap/>
              <w:overflowPunct/>
              <w:topLinePunct w:val="0"/>
              <w:autoSpaceDE/>
              <w:autoSpaceDN/>
              <w:bidi w:val="0"/>
              <w:adjustRightInd w:val="0"/>
              <w:spacing w:line="240" w:lineRule="auto"/>
              <w:textAlignment w:val="auto"/>
              <w:rPr>
                <w:rFonts w:hint="eastAsia" w:eastAsiaTheme="minorEastAsia"/>
                <w:kern w:val="0"/>
                <w:szCs w:val="21"/>
              </w:rPr>
            </w:pPr>
            <w:r>
              <w:rPr>
                <w:rFonts w:hint="eastAsia" w:eastAsiaTheme="minorEastAsia"/>
                <w:kern w:val="0"/>
                <w:szCs w:val="21"/>
              </w:rPr>
              <w:t>（3.1）推动项目、区域、流域尺度环境风险评价和环境应急预案编制。定期开展环境污染隐患排查和计划执法，加强政府、企业环境风险应急演练管理。</w:t>
            </w:r>
          </w:p>
          <w:p w14:paraId="0C9B2CAE">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kern w:val="0"/>
                <w:szCs w:val="21"/>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3730" w:type="dxa"/>
            <w:gridSpan w:val="2"/>
            <w:tcBorders>
              <w:tl2br w:val="nil"/>
              <w:tr2bl w:val="nil"/>
            </w:tcBorders>
            <w:vAlign w:val="center"/>
          </w:tcPr>
          <w:p w14:paraId="79B6296F">
            <w:pPr>
              <w:keepNext w:val="0"/>
              <w:keepLines w:val="0"/>
              <w:pageBreakBefore w:val="0"/>
              <w:kinsoku/>
              <w:wordWrap/>
              <w:overflowPunct/>
              <w:topLinePunct w:val="0"/>
              <w:autoSpaceDE/>
              <w:autoSpaceDN/>
              <w:bidi w:val="0"/>
              <w:adjustRightInd w:val="0"/>
              <w:spacing w:line="240" w:lineRule="auto"/>
              <w:jc w:val="left"/>
              <w:textAlignment w:val="auto"/>
              <w:rPr>
                <w:rFonts w:eastAsiaTheme="minorEastAsia"/>
                <w:kern w:val="0"/>
                <w:szCs w:val="21"/>
              </w:rPr>
            </w:pPr>
            <w:r>
              <w:t>本</w:t>
            </w:r>
            <w:r>
              <w:rPr>
                <w:rFonts w:hint="eastAsia"/>
                <w:lang w:val="en-US" w:eastAsia="zh-CN"/>
              </w:rPr>
              <w:t>项目</w:t>
            </w:r>
            <w:r>
              <w:t>环境风险主要为施工期弃渣场垮塌和营运期变压器油泄漏。</w:t>
            </w:r>
            <w:r>
              <w:rPr>
                <w:rFonts w:hint="eastAsia"/>
              </w:rPr>
              <w:t>通过采取环境风险防范和应急措施，可使环境风险影响降到最小</w:t>
            </w:r>
            <w:r>
              <w:t>。</w:t>
            </w:r>
          </w:p>
        </w:tc>
        <w:tc>
          <w:tcPr>
            <w:tcW w:w="1414" w:type="dxa"/>
            <w:tcBorders>
              <w:tl2br w:val="nil"/>
              <w:tr2bl w:val="nil"/>
            </w:tcBorders>
            <w:vAlign w:val="center"/>
          </w:tcPr>
          <w:p w14:paraId="519819EF">
            <w:pPr>
              <w:keepNext w:val="0"/>
              <w:keepLines w:val="0"/>
              <w:pageBreakBefore w:val="0"/>
              <w:widowControl/>
              <w:kinsoku/>
              <w:wordWrap/>
              <w:overflowPunct/>
              <w:topLinePunct w:val="0"/>
              <w:autoSpaceDE/>
              <w:autoSpaceDN/>
              <w:bidi w:val="0"/>
              <w:spacing w:line="240" w:lineRule="auto"/>
              <w:jc w:val="center"/>
              <w:textAlignment w:val="auto"/>
              <w:rPr>
                <w:rFonts w:eastAsiaTheme="minorEastAsia"/>
                <w:kern w:val="0"/>
                <w:szCs w:val="21"/>
              </w:rPr>
            </w:pPr>
            <w:r>
              <w:rPr>
                <w:rFonts w:hint="eastAsia"/>
                <w:kern w:val="0"/>
                <w:szCs w:val="21"/>
              </w:rPr>
              <w:t>符合</w:t>
            </w:r>
          </w:p>
        </w:tc>
      </w:tr>
      <w:tr w14:paraId="2EF22E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87" w:type="dxa"/>
            <w:tcBorders>
              <w:tl2br w:val="nil"/>
              <w:tr2bl w:val="nil"/>
            </w:tcBorders>
            <w:vAlign w:val="center"/>
          </w:tcPr>
          <w:p w14:paraId="21E9E5C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eastAsiaTheme="minorEastAsia"/>
                <w:kern w:val="0"/>
                <w:szCs w:val="21"/>
              </w:rPr>
            </w:pPr>
            <w:r>
              <w:rPr>
                <w:rFonts w:hint="eastAsia" w:eastAsiaTheme="minorEastAsia"/>
                <w:kern w:val="0"/>
                <w:szCs w:val="21"/>
              </w:rPr>
              <w:t>资源开发效率要求</w:t>
            </w:r>
          </w:p>
        </w:tc>
        <w:tc>
          <w:tcPr>
            <w:tcW w:w="8209" w:type="dxa"/>
            <w:gridSpan w:val="8"/>
            <w:tcBorders>
              <w:tl2br w:val="nil"/>
              <w:tr2bl w:val="nil"/>
            </w:tcBorders>
            <w:vAlign w:val="center"/>
          </w:tcPr>
          <w:p w14:paraId="00B64AA7">
            <w:pPr>
              <w:keepNext w:val="0"/>
              <w:keepLines w:val="0"/>
              <w:pageBreakBefore w:val="0"/>
              <w:kinsoku/>
              <w:wordWrap/>
              <w:overflowPunct/>
              <w:topLinePunct w:val="0"/>
              <w:autoSpaceDE/>
              <w:autoSpaceDN/>
              <w:bidi w:val="0"/>
              <w:adjustRightInd w:val="0"/>
              <w:spacing w:line="240" w:lineRule="auto"/>
              <w:textAlignment w:val="auto"/>
              <w:rPr>
                <w:rFonts w:hint="eastAsia" w:eastAsiaTheme="minorEastAsia"/>
                <w:szCs w:val="21"/>
              </w:rPr>
            </w:pPr>
            <w:r>
              <w:rPr>
                <w:rFonts w:hint="eastAsia" w:eastAsiaTheme="minorEastAsia"/>
                <w:szCs w:val="21"/>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14:paraId="2DFC2229">
            <w:pPr>
              <w:keepNext w:val="0"/>
              <w:keepLines w:val="0"/>
              <w:pageBreakBefore w:val="0"/>
              <w:kinsoku/>
              <w:wordWrap/>
              <w:overflowPunct/>
              <w:topLinePunct w:val="0"/>
              <w:autoSpaceDE/>
              <w:autoSpaceDN/>
              <w:bidi w:val="0"/>
              <w:adjustRightInd w:val="0"/>
              <w:spacing w:line="240" w:lineRule="auto"/>
              <w:textAlignment w:val="auto"/>
              <w:rPr>
                <w:rFonts w:eastAsiaTheme="minorEastAsia"/>
                <w:kern w:val="0"/>
                <w:szCs w:val="21"/>
              </w:rPr>
            </w:pPr>
            <w:r>
              <w:rPr>
                <w:rFonts w:hint="eastAsia" w:eastAsiaTheme="minorEastAsia"/>
                <w:szCs w:val="21"/>
              </w:rPr>
              <w:t>（4.2）水资源：大力推进农业、工业、城镇节水，全面推进节水型社会建设。</w:t>
            </w:r>
          </w:p>
        </w:tc>
        <w:tc>
          <w:tcPr>
            <w:tcW w:w="3730" w:type="dxa"/>
            <w:gridSpan w:val="2"/>
            <w:tcBorders>
              <w:tl2br w:val="nil"/>
              <w:tr2bl w:val="nil"/>
            </w:tcBorders>
            <w:vAlign w:val="center"/>
          </w:tcPr>
          <w:p w14:paraId="5A4CDE8D">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pPr>
            <w:r>
              <w:rPr>
                <w:rFonts w:hint="eastAsia"/>
              </w:rPr>
              <w:t>（1）本项目本身为利用清洁能源发电。</w:t>
            </w:r>
          </w:p>
          <w:p w14:paraId="75956A4C">
            <w:pPr>
              <w:keepNext w:val="0"/>
              <w:keepLines w:val="0"/>
              <w:pageBreakBefore w:val="0"/>
              <w:kinsoku/>
              <w:wordWrap/>
              <w:overflowPunct/>
              <w:topLinePunct w:val="0"/>
              <w:autoSpaceDE/>
              <w:autoSpaceDN/>
              <w:bidi w:val="0"/>
              <w:adjustRightInd w:val="0"/>
              <w:spacing w:line="240" w:lineRule="auto"/>
              <w:jc w:val="left"/>
              <w:textAlignment w:val="auto"/>
              <w:rPr>
                <w:rFonts w:eastAsiaTheme="minorEastAsia"/>
                <w:kern w:val="0"/>
                <w:szCs w:val="21"/>
              </w:rPr>
            </w:pPr>
            <w:r>
              <w:rPr>
                <w:rFonts w:hint="eastAsia"/>
              </w:rPr>
              <w:t>（2）本项目运行期</w:t>
            </w:r>
            <w:r>
              <w:t>采用少人值守模式，</w:t>
            </w:r>
            <w:r>
              <w:rPr>
                <w:rFonts w:hint="eastAsia"/>
              </w:rPr>
              <w:t>采用节水设备。</w:t>
            </w:r>
          </w:p>
        </w:tc>
        <w:tc>
          <w:tcPr>
            <w:tcW w:w="1414" w:type="dxa"/>
            <w:tcBorders>
              <w:tl2br w:val="nil"/>
              <w:tr2bl w:val="nil"/>
            </w:tcBorders>
            <w:vAlign w:val="center"/>
          </w:tcPr>
          <w:p w14:paraId="458720EA">
            <w:pPr>
              <w:keepNext w:val="0"/>
              <w:keepLines w:val="0"/>
              <w:pageBreakBefore w:val="0"/>
              <w:widowControl/>
              <w:kinsoku/>
              <w:wordWrap/>
              <w:overflowPunct/>
              <w:topLinePunct w:val="0"/>
              <w:autoSpaceDE/>
              <w:autoSpaceDN/>
              <w:bidi w:val="0"/>
              <w:spacing w:line="240" w:lineRule="auto"/>
              <w:jc w:val="center"/>
              <w:textAlignment w:val="auto"/>
              <w:rPr>
                <w:rFonts w:eastAsiaTheme="minorEastAsia"/>
                <w:kern w:val="0"/>
                <w:szCs w:val="21"/>
              </w:rPr>
            </w:pPr>
            <w:r>
              <w:rPr>
                <w:rFonts w:hint="eastAsia"/>
              </w:rPr>
              <w:t>符合</w:t>
            </w:r>
          </w:p>
        </w:tc>
      </w:tr>
    </w:tbl>
    <w:p w14:paraId="49623474">
      <w:pPr>
        <w:jc w:val="center"/>
        <w:rPr>
          <w:rFonts w:hint="eastAsia" w:eastAsia="宋体"/>
          <w:lang w:eastAsia="zh-CN"/>
        </w:rPr>
      </w:pPr>
      <w:r>
        <w:rPr>
          <w:rFonts w:hint="eastAsia"/>
          <w:b/>
          <w:bCs/>
          <w:color w:val="FF0000"/>
          <w:szCs w:val="21"/>
        </w:rPr>
        <w:t>表1</w:t>
      </w:r>
      <w:r>
        <w:rPr>
          <w:rFonts w:hint="eastAsia"/>
          <w:b/>
          <w:bCs/>
          <w:color w:val="FF0000"/>
          <w:szCs w:val="21"/>
          <w:lang w:val="en-US" w:eastAsia="zh-CN"/>
        </w:rPr>
        <w:t>-7</w:t>
      </w:r>
      <w:r>
        <w:rPr>
          <w:b/>
          <w:bCs/>
          <w:color w:val="FF0000"/>
          <w:szCs w:val="21"/>
        </w:rPr>
        <w:t xml:space="preserve"> </w:t>
      </w:r>
      <w:r>
        <w:rPr>
          <w:rFonts w:hint="eastAsia"/>
          <w:b/>
          <w:bCs/>
          <w:color w:val="FF0000"/>
          <w:szCs w:val="21"/>
          <w:lang w:val="en-US" w:eastAsia="zh-CN"/>
        </w:rPr>
        <w:t xml:space="preserve"> </w:t>
      </w:r>
      <w:r>
        <w:rPr>
          <w:rFonts w:hint="eastAsia"/>
          <w:b/>
          <w:bCs/>
          <w:color w:val="FF0000"/>
          <w:szCs w:val="21"/>
        </w:rPr>
        <w:t>本项目与</w:t>
      </w:r>
      <w:r>
        <w:rPr>
          <w:rFonts w:hint="eastAsia"/>
          <w:b/>
          <w:bCs/>
          <w:color w:val="FF0000"/>
          <w:szCs w:val="21"/>
          <w:lang w:val="en-US" w:eastAsia="zh-CN"/>
        </w:rPr>
        <w:t>耒阳市东湖圩镇</w:t>
      </w:r>
      <w:r>
        <w:rPr>
          <w:rFonts w:hint="eastAsia"/>
          <w:b/>
          <w:bCs/>
          <w:color w:val="FF0000"/>
          <w:szCs w:val="21"/>
        </w:rPr>
        <w:t>三线一单符合性分析</w:t>
      </w:r>
    </w:p>
    <w:tbl>
      <w:tblPr>
        <w:tblStyle w:val="33"/>
        <w:tblW w:w="143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987"/>
        <w:gridCol w:w="1050"/>
        <w:gridCol w:w="436"/>
        <w:gridCol w:w="437"/>
        <w:gridCol w:w="438"/>
        <w:gridCol w:w="723"/>
        <w:gridCol w:w="1021"/>
        <w:gridCol w:w="1020"/>
        <w:gridCol w:w="3084"/>
        <w:gridCol w:w="2409"/>
        <w:gridCol w:w="1321"/>
        <w:gridCol w:w="1414"/>
      </w:tblGrid>
      <w:tr w14:paraId="05B7D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vMerge w:val="restart"/>
            <w:tcBorders>
              <w:tl2br w:val="nil"/>
              <w:tr2bl w:val="nil"/>
            </w:tcBorders>
            <w:vAlign w:val="center"/>
          </w:tcPr>
          <w:p w14:paraId="1F06A24F">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环境管控单元编码</w:t>
            </w:r>
          </w:p>
        </w:tc>
        <w:tc>
          <w:tcPr>
            <w:tcW w:w="1050" w:type="dxa"/>
            <w:vMerge w:val="restart"/>
            <w:tcBorders>
              <w:tl2br w:val="nil"/>
              <w:tr2bl w:val="nil"/>
            </w:tcBorders>
            <w:vAlign w:val="center"/>
          </w:tcPr>
          <w:p w14:paraId="5D79DA12">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单元名称</w:t>
            </w:r>
          </w:p>
        </w:tc>
        <w:tc>
          <w:tcPr>
            <w:tcW w:w="1311" w:type="dxa"/>
            <w:gridSpan w:val="3"/>
            <w:tcBorders>
              <w:tl2br w:val="nil"/>
              <w:tr2bl w:val="nil"/>
            </w:tcBorders>
            <w:vAlign w:val="center"/>
          </w:tcPr>
          <w:p w14:paraId="0FB647C8">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行政区划</w:t>
            </w:r>
          </w:p>
        </w:tc>
        <w:tc>
          <w:tcPr>
            <w:tcW w:w="723" w:type="dxa"/>
            <w:vMerge w:val="restart"/>
            <w:tcBorders>
              <w:tl2br w:val="nil"/>
              <w:tr2bl w:val="nil"/>
            </w:tcBorders>
            <w:vAlign w:val="center"/>
          </w:tcPr>
          <w:p w14:paraId="3D40B6ED">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单元</w:t>
            </w:r>
          </w:p>
          <w:p w14:paraId="176D09CD">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分类</w:t>
            </w:r>
          </w:p>
        </w:tc>
        <w:tc>
          <w:tcPr>
            <w:tcW w:w="1021" w:type="dxa"/>
            <w:vMerge w:val="restart"/>
            <w:tcBorders>
              <w:tl2br w:val="nil"/>
              <w:tr2bl w:val="nil"/>
            </w:tcBorders>
            <w:vAlign w:val="center"/>
          </w:tcPr>
          <w:p w14:paraId="4932B00C">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单元面积（</w:t>
            </w:r>
            <w:r>
              <w:rPr>
                <w:rFonts w:eastAsiaTheme="minorEastAsia"/>
                <w:b w:val="0"/>
                <w:bCs/>
                <w:kern w:val="0"/>
                <w:szCs w:val="21"/>
              </w:rPr>
              <w:t>km</w:t>
            </w:r>
            <w:r>
              <w:rPr>
                <w:rFonts w:eastAsiaTheme="minorEastAsia"/>
                <w:b w:val="0"/>
                <w:bCs/>
                <w:kern w:val="0"/>
                <w:szCs w:val="21"/>
                <w:vertAlign w:val="superscript"/>
              </w:rPr>
              <w:t>2</w:t>
            </w:r>
            <w:r>
              <w:rPr>
                <w:rFonts w:hint="eastAsia" w:eastAsiaTheme="minorEastAsia"/>
                <w:b w:val="0"/>
                <w:bCs/>
                <w:kern w:val="0"/>
                <w:szCs w:val="21"/>
              </w:rPr>
              <w:t>）</w:t>
            </w:r>
          </w:p>
        </w:tc>
        <w:tc>
          <w:tcPr>
            <w:tcW w:w="1020" w:type="dxa"/>
            <w:vMerge w:val="restart"/>
            <w:tcBorders>
              <w:tl2br w:val="nil"/>
              <w:tr2bl w:val="nil"/>
            </w:tcBorders>
            <w:vAlign w:val="center"/>
          </w:tcPr>
          <w:p w14:paraId="5BADB34D">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涉及乡镇（街道）</w:t>
            </w:r>
          </w:p>
        </w:tc>
        <w:tc>
          <w:tcPr>
            <w:tcW w:w="3084" w:type="dxa"/>
            <w:vMerge w:val="restart"/>
            <w:tcBorders>
              <w:tl2br w:val="nil"/>
              <w:tr2bl w:val="nil"/>
            </w:tcBorders>
            <w:vAlign w:val="center"/>
          </w:tcPr>
          <w:p w14:paraId="1C3FE520">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主体功能定位</w:t>
            </w:r>
          </w:p>
        </w:tc>
        <w:tc>
          <w:tcPr>
            <w:tcW w:w="2409" w:type="dxa"/>
            <w:vMerge w:val="restart"/>
            <w:tcBorders>
              <w:tl2br w:val="nil"/>
              <w:tr2bl w:val="nil"/>
            </w:tcBorders>
            <w:vAlign w:val="center"/>
          </w:tcPr>
          <w:p w14:paraId="0DC1B929">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经济产业布局</w:t>
            </w:r>
          </w:p>
        </w:tc>
        <w:tc>
          <w:tcPr>
            <w:tcW w:w="2735" w:type="dxa"/>
            <w:gridSpan w:val="2"/>
            <w:vMerge w:val="restart"/>
            <w:tcBorders>
              <w:tl2br w:val="nil"/>
              <w:tr2bl w:val="nil"/>
            </w:tcBorders>
            <w:vAlign w:val="center"/>
          </w:tcPr>
          <w:p w14:paraId="44D6EDEC">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主要环境问题</w:t>
            </w:r>
          </w:p>
        </w:tc>
      </w:tr>
      <w:tr w14:paraId="4B4613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tblHeader/>
          <w:jc w:val="center"/>
        </w:trPr>
        <w:tc>
          <w:tcPr>
            <w:tcW w:w="987" w:type="dxa"/>
            <w:vMerge w:val="continue"/>
            <w:tcBorders>
              <w:tl2br w:val="nil"/>
              <w:tr2bl w:val="nil"/>
            </w:tcBorders>
            <w:vAlign w:val="center"/>
          </w:tcPr>
          <w:p w14:paraId="14357E64">
            <w:pPr>
              <w:widowControl/>
              <w:spacing w:line="240" w:lineRule="auto"/>
              <w:jc w:val="left"/>
              <w:rPr>
                <w:rFonts w:eastAsiaTheme="minorEastAsia"/>
                <w:b w:val="0"/>
                <w:bCs/>
                <w:kern w:val="0"/>
                <w:szCs w:val="21"/>
              </w:rPr>
            </w:pPr>
          </w:p>
        </w:tc>
        <w:tc>
          <w:tcPr>
            <w:tcW w:w="1050" w:type="dxa"/>
            <w:vMerge w:val="continue"/>
            <w:tcBorders>
              <w:tl2br w:val="nil"/>
              <w:tr2bl w:val="nil"/>
            </w:tcBorders>
            <w:vAlign w:val="center"/>
          </w:tcPr>
          <w:p w14:paraId="31A119A3">
            <w:pPr>
              <w:widowControl/>
              <w:spacing w:line="240" w:lineRule="auto"/>
              <w:jc w:val="left"/>
              <w:rPr>
                <w:rFonts w:eastAsiaTheme="minorEastAsia"/>
                <w:b w:val="0"/>
                <w:bCs/>
                <w:kern w:val="0"/>
                <w:szCs w:val="21"/>
              </w:rPr>
            </w:pPr>
          </w:p>
        </w:tc>
        <w:tc>
          <w:tcPr>
            <w:tcW w:w="436" w:type="dxa"/>
            <w:tcBorders>
              <w:tl2br w:val="nil"/>
              <w:tr2bl w:val="nil"/>
            </w:tcBorders>
            <w:vAlign w:val="center"/>
          </w:tcPr>
          <w:p w14:paraId="7945C8CE">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省</w:t>
            </w:r>
          </w:p>
        </w:tc>
        <w:tc>
          <w:tcPr>
            <w:tcW w:w="437" w:type="dxa"/>
            <w:tcBorders>
              <w:tl2br w:val="nil"/>
              <w:tr2bl w:val="nil"/>
            </w:tcBorders>
            <w:vAlign w:val="center"/>
          </w:tcPr>
          <w:p w14:paraId="48D9F1C7">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市</w:t>
            </w:r>
          </w:p>
        </w:tc>
        <w:tc>
          <w:tcPr>
            <w:tcW w:w="438" w:type="dxa"/>
            <w:tcBorders>
              <w:tl2br w:val="nil"/>
              <w:tr2bl w:val="nil"/>
            </w:tcBorders>
            <w:vAlign w:val="center"/>
          </w:tcPr>
          <w:p w14:paraId="715A8B3F">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县</w:t>
            </w:r>
          </w:p>
        </w:tc>
        <w:tc>
          <w:tcPr>
            <w:tcW w:w="723" w:type="dxa"/>
            <w:vMerge w:val="continue"/>
            <w:tcBorders>
              <w:tl2br w:val="nil"/>
              <w:tr2bl w:val="nil"/>
            </w:tcBorders>
            <w:vAlign w:val="center"/>
          </w:tcPr>
          <w:p w14:paraId="3142CC17">
            <w:pPr>
              <w:widowControl/>
              <w:spacing w:line="240" w:lineRule="auto"/>
              <w:jc w:val="left"/>
              <w:rPr>
                <w:rFonts w:eastAsiaTheme="minorEastAsia"/>
                <w:b w:val="0"/>
                <w:bCs/>
                <w:kern w:val="0"/>
                <w:szCs w:val="21"/>
              </w:rPr>
            </w:pPr>
          </w:p>
        </w:tc>
        <w:tc>
          <w:tcPr>
            <w:tcW w:w="1021" w:type="dxa"/>
            <w:vMerge w:val="continue"/>
            <w:tcBorders>
              <w:tl2br w:val="nil"/>
              <w:tr2bl w:val="nil"/>
            </w:tcBorders>
            <w:vAlign w:val="center"/>
          </w:tcPr>
          <w:p w14:paraId="1BCF8ABD">
            <w:pPr>
              <w:widowControl/>
              <w:spacing w:line="240" w:lineRule="auto"/>
              <w:jc w:val="left"/>
              <w:rPr>
                <w:rFonts w:eastAsiaTheme="minorEastAsia"/>
                <w:b w:val="0"/>
                <w:bCs/>
                <w:kern w:val="0"/>
                <w:szCs w:val="21"/>
              </w:rPr>
            </w:pPr>
          </w:p>
        </w:tc>
        <w:tc>
          <w:tcPr>
            <w:tcW w:w="1020" w:type="dxa"/>
            <w:vMerge w:val="continue"/>
            <w:tcBorders>
              <w:tl2br w:val="nil"/>
              <w:tr2bl w:val="nil"/>
            </w:tcBorders>
            <w:vAlign w:val="center"/>
          </w:tcPr>
          <w:p w14:paraId="1AD9B3BB">
            <w:pPr>
              <w:widowControl/>
              <w:spacing w:line="240" w:lineRule="auto"/>
              <w:jc w:val="left"/>
              <w:rPr>
                <w:rFonts w:eastAsiaTheme="minorEastAsia"/>
                <w:b w:val="0"/>
                <w:bCs/>
                <w:kern w:val="0"/>
                <w:szCs w:val="21"/>
              </w:rPr>
            </w:pPr>
          </w:p>
        </w:tc>
        <w:tc>
          <w:tcPr>
            <w:tcW w:w="3084" w:type="dxa"/>
            <w:vMerge w:val="continue"/>
            <w:tcBorders>
              <w:tl2br w:val="nil"/>
              <w:tr2bl w:val="nil"/>
            </w:tcBorders>
            <w:vAlign w:val="center"/>
          </w:tcPr>
          <w:p w14:paraId="31E99687">
            <w:pPr>
              <w:widowControl/>
              <w:spacing w:line="240" w:lineRule="auto"/>
              <w:jc w:val="left"/>
              <w:rPr>
                <w:rFonts w:eastAsiaTheme="minorEastAsia"/>
                <w:b w:val="0"/>
                <w:bCs/>
                <w:kern w:val="0"/>
                <w:szCs w:val="21"/>
              </w:rPr>
            </w:pPr>
          </w:p>
        </w:tc>
        <w:tc>
          <w:tcPr>
            <w:tcW w:w="2409" w:type="dxa"/>
            <w:vMerge w:val="continue"/>
            <w:tcBorders>
              <w:tl2br w:val="nil"/>
              <w:tr2bl w:val="nil"/>
            </w:tcBorders>
            <w:vAlign w:val="center"/>
          </w:tcPr>
          <w:p w14:paraId="100489E9">
            <w:pPr>
              <w:widowControl/>
              <w:spacing w:line="240" w:lineRule="auto"/>
              <w:jc w:val="left"/>
              <w:rPr>
                <w:rFonts w:eastAsiaTheme="minorEastAsia"/>
                <w:b w:val="0"/>
                <w:bCs/>
                <w:kern w:val="0"/>
                <w:szCs w:val="21"/>
              </w:rPr>
            </w:pPr>
          </w:p>
        </w:tc>
        <w:tc>
          <w:tcPr>
            <w:tcW w:w="2735" w:type="dxa"/>
            <w:gridSpan w:val="2"/>
            <w:vMerge w:val="continue"/>
            <w:tcBorders>
              <w:tl2br w:val="nil"/>
              <w:tr2bl w:val="nil"/>
            </w:tcBorders>
            <w:vAlign w:val="center"/>
          </w:tcPr>
          <w:p w14:paraId="6F976E7F">
            <w:pPr>
              <w:widowControl/>
              <w:spacing w:line="240" w:lineRule="auto"/>
              <w:jc w:val="left"/>
              <w:rPr>
                <w:rFonts w:eastAsiaTheme="minorEastAsia"/>
                <w:b w:val="0"/>
                <w:bCs/>
                <w:kern w:val="0"/>
                <w:szCs w:val="21"/>
              </w:rPr>
            </w:pPr>
          </w:p>
        </w:tc>
      </w:tr>
      <w:tr w14:paraId="2AC24F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26828DF7">
            <w:pPr>
              <w:widowControl/>
              <w:adjustRightInd w:val="0"/>
              <w:snapToGrid w:val="0"/>
              <w:spacing w:line="240" w:lineRule="auto"/>
              <w:jc w:val="center"/>
              <w:rPr>
                <w:rFonts w:hint="default" w:eastAsiaTheme="minorEastAsia"/>
                <w:b w:val="0"/>
                <w:bCs/>
                <w:kern w:val="0"/>
                <w:szCs w:val="21"/>
                <w:lang w:val="en-US" w:eastAsia="zh-CN"/>
              </w:rPr>
            </w:pPr>
            <w:r>
              <w:rPr>
                <w:rFonts w:eastAsiaTheme="minorEastAsia"/>
                <w:b w:val="0"/>
                <w:bCs/>
                <w:kern w:val="0"/>
                <w:szCs w:val="21"/>
              </w:rPr>
              <w:t>ZH4304</w:t>
            </w:r>
            <w:r>
              <w:rPr>
                <w:rFonts w:hint="eastAsia" w:eastAsiaTheme="minorEastAsia"/>
                <w:b w:val="0"/>
                <w:bCs/>
                <w:kern w:val="0"/>
                <w:szCs w:val="21"/>
                <w:lang w:val="en-US" w:eastAsia="zh-CN"/>
              </w:rPr>
              <w:t>8130003</w:t>
            </w:r>
          </w:p>
        </w:tc>
        <w:tc>
          <w:tcPr>
            <w:tcW w:w="1050" w:type="dxa"/>
            <w:tcBorders>
              <w:tl2br w:val="nil"/>
              <w:tr2bl w:val="nil"/>
            </w:tcBorders>
            <w:vAlign w:val="center"/>
          </w:tcPr>
          <w:p w14:paraId="7B55B473">
            <w:pPr>
              <w:widowControl/>
              <w:adjustRightInd w:val="0"/>
              <w:snapToGrid w:val="0"/>
              <w:spacing w:line="240" w:lineRule="auto"/>
              <w:jc w:val="center"/>
              <w:rPr>
                <w:rFonts w:eastAsiaTheme="minorEastAsia"/>
                <w:b w:val="0"/>
                <w:bCs/>
                <w:kern w:val="0"/>
                <w:szCs w:val="21"/>
              </w:rPr>
            </w:pPr>
          </w:p>
        </w:tc>
        <w:tc>
          <w:tcPr>
            <w:tcW w:w="436" w:type="dxa"/>
            <w:tcBorders>
              <w:tl2br w:val="nil"/>
              <w:tr2bl w:val="nil"/>
            </w:tcBorders>
            <w:vAlign w:val="center"/>
          </w:tcPr>
          <w:p w14:paraId="00A0F27E">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湖南省</w:t>
            </w:r>
          </w:p>
        </w:tc>
        <w:tc>
          <w:tcPr>
            <w:tcW w:w="437" w:type="dxa"/>
            <w:tcBorders>
              <w:tl2br w:val="nil"/>
              <w:tr2bl w:val="nil"/>
            </w:tcBorders>
            <w:vAlign w:val="center"/>
          </w:tcPr>
          <w:p w14:paraId="357F74A4">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衡阳市</w:t>
            </w:r>
          </w:p>
        </w:tc>
        <w:tc>
          <w:tcPr>
            <w:tcW w:w="438" w:type="dxa"/>
            <w:tcBorders>
              <w:tl2br w:val="nil"/>
              <w:tr2bl w:val="nil"/>
            </w:tcBorders>
            <w:vAlign w:val="center"/>
          </w:tcPr>
          <w:p w14:paraId="239D29AF">
            <w:pPr>
              <w:adjustRightInd w:val="0"/>
              <w:snapToGrid w:val="0"/>
              <w:spacing w:line="240" w:lineRule="auto"/>
              <w:jc w:val="center"/>
              <w:rPr>
                <w:rFonts w:hint="eastAsia" w:eastAsiaTheme="minorEastAsia"/>
                <w:b w:val="0"/>
                <w:bCs/>
                <w:kern w:val="0"/>
                <w:szCs w:val="21"/>
                <w:lang w:eastAsia="zh-CN"/>
              </w:rPr>
            </w:pPr>
            <w:r>
              <w:rPr>
                <w:rFonts w:hint="eastAsia" w:eastAsiaTheme="minorEastAsia"/>
                <w:b w:val="0"/>
                <w:bCs/>
                <w:kern w:val="0"/>
                <w:szCs w:val="21"/>
                <w:lang w:eastAsia="zh-CN"/>
              </w:rPr>
              <w:t>耒阳市</w:t>
            </w:r>
          </w:p>
        </w:tc>
        <w:tc>
          <w:tcPr>
            <w:tcW w:w="723" w:type="dxa"/>
            <w:tcBorders>
              <w:tl2br w:val="nil"/>
              <w:tr2bl w:val="nil"/>
            </w:tcBorders>
            <w:vAlign w:val="center"/>
          </w:tcPr>
          <w:p w14:paraId="10A21FA8">
            <w:pPr>
              <w:adjustRightInd w:val="0"/>
              <w:snapToGrid w:val="0"/>
              <w:spacing w:line="240" w:lineRule="auto"/>
              <w:jc w:val="center"/>
              <w:rPr>
                <w:rFonts w:eastAsiaTheme="minorEastAsia"/>
                <w:b w:val="0"/>
                <w:bCs/>
                <w:kern w:val="0"/>
                <w:szCs w:val="21"/>
                <w:u w:val="single"/>
              </w:rPr>
            </w:pPr>
            <w:r>
              <w:rPr>
                <w:rFonts w:hint="eastAsia" w:eastAsiaTheme="minorEastAsia"/>
                <w:b w:val="0"/>
                <w:bCs/>
                <w:kern w:val="0"/>
                <w:szCs w:val="21"/>
                <w:u w:val="none"/>
              </w:rPr>
              <w:t>一般管控单元</w:t>
            </w:r>
          </w:p>
        </w:tc>
        <w:tc>
          <w:tcPr>
            <w:tcW w:w="1021" w:type="dxa"/>
            <w:tcBorders>
              <w:tl2br w:val="nil"/>
              <w:tr2bl w:val="nil"/>
            </w:tcBorders>
            <w:vAlign w:val="center"/>
          </w:tcPr>
          <w:p w14:paraId="77F3D1A4">
            <w:pPr>
              <w:adjustRightInd w:val="0"/>
              <w:snapToGrid w:val="0"/>
              <w:spacing w:line="240" w:lineRule="auto"/>
              <w:jc w:val="center"/>
              <w:rPr>
                <w:rFonts w:eastAsiaTheme="minorEastAsia"/>
                <w:b w:val="0"/>
                <w:bCs/>
                <w:kern w:val="0"/>
                <w:szCs w:val="21"/>
              </w:rPr>
            </w:pPr>
            <w:r>
              <w:rPr>
                <w:rFonts w:eastAsiaTheme="minorEastAsia"/>
                <w:b w:val="0"/>
                <w:bCs/>
                <w:kern w:val="0"/>
                <w:szCs w:val="21"/>
              </w:rPr>
              <w:t>/</w:t>
            </w:r>
          </w:p>
        </w:tc>
        <w:tc>
          <w:tcPr>
            <w:tcW w:w="1020" w:type="dxa"/>
            <w:tcBorders>
              <w:tl2br w:val="nil"/>
              <w:tr2bl w:val="nil"/>
            </w:tcBorders>
            <w:vAlign w:val="center"/>
          </w:tcPr>
          <w:p w14:paraId="41F6A209">
            <w:pPr>
              <w:adjustRightInd w:val="0"/>
              <w:snapToGrid w:val="0"/>
              <w:spacing w:line="240" w:lineRule="auto"/>
              <w:jc w:val="center"/>
              <w:rPr>
                <w:rFonts w:hint="default" w:eastAsiaTheme="minorEastAsia"/>
                <w:b w:val="0"/>
                <w:bCs/>
                <w:kern w:val="0"/>
                <w:szCs w:val="21"/>
                <w:lang w:val="en-US" w:eastAsia="zh-CN"/>
              </w:rPr>
            </w:pPr>
            <w:r>
              <w:rPr>
                <w:rFonts w:hint="eastAsia" w:eastAsiaTheme="minorEastAsia"/>
                <w:b w:val="0"/>
                <w:bCs/>
                <w:kern w:val="0"/>
                <w:szCs w:val="21"/>
                <w:lang w:val="en-US" w:eastAsia="zh-CN"/>
              </w:rPr>
              <w:t>东湖圩镇</w:t>
            </w:r>
          </w:p>
        </w:tc>
        <w:tc>
          <w:tcPr>
            <w:tcW w:w="3084" w:type="dxa"/>
            <w:tcBorders>
              <w:tl2br w:val="nil"/>
              <w:tr2bl w:val="nil"/>
            </w:tcBorders>
            <w:vAlign w:val="center"/>
          </w:tcPr>
          <w:p w14:paraId="3700A6DD">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国家层面农产品主产区</w:t>
            </w:r>
          </w:p>
        </w:tc>
        <w:tc>
          <w:tcPr>
            <w:tcW w:w="2409" w:type="dxa"/>
            <w:tcBorders>
              <w:tl2br w:val="nil"/>
              <w:tr2bl w:val="nil"/>
            </w:tcBorders>
            <w:vAlign w:val="center"/>
          </w:tcPr>
          <w:p w14:paraId="46C7DEB4">
            <w:pPr>
              <w:widowControl/>
              <w:adjustRightInd w:val="0"/>
              <w:snapToGrid w:val="0"/>
              <w:spacing w:line="240" w:lineRule="auto"/>
              <w:rPr>
                <w:rFonts w:eastAsiaTheme="minorEastAsia"/>
                <w:b w:val="0"/>
                <w:bCs/>
                <w:kern w:val="0"/>
                <w:szCs w:val="21"/>
              </w:rPr>
            </w:pPr>
            <w:r>
              <w:rPr>
                <w:rFonts w:hint="eastAsia"/>
                <w:b w:val="0"/>
                <w:bCs/>
                <w:kern w:val="0"/>
                <w:szCs w:val="21"/>
              </w:rPr>
              <w:t>矿产资源开采</w:t>
            </w:r>
            <w:r>
              <w:rPr>
                <w:rFonts w:hint="eastAsia" w:eastAsiaTheme="minorEastAsia"/>
                <w:b w:val="0"/>
                <w:bCs/>
                <w:kern w:val="0"/>
                <w:szCs w:val="21"/>
              </w:rPr>
              <w:t>、建材、</w:t>
            </w:r>
            <w:r>
              <w:rPr>
                <w:rFonts w:hint="eastAsia" w:eastAsiaTheme="minorEastAsia"/>
                <w:b w:val="0"/>
                <w:bCs/>
                <w:kern w:val="0"/>
                <w:szCs w:val="21"/>
                <w:lang w:val="en-US" w:eastAsia="zh-CN"/>
              </w:rPr>
              <w:t>食品加工</w:t>
            </w:r>
            <w:r>
              <w:rPr>
                <w:rFonts w:hint="eastAsia" w:eastAsiaTheme="minorEastAsia"/>
                <w:b w:val="0"/>
                <w:bCs/>
                <w:kern w:val="0"/>
                <w:szCs w:val="21"/>
              </w:rPr>
              <w:t>、</w:t>
            </w:r>
            <w:r>
              <w:rPr>
                <w:rFonts w:hint="eastAsia" w:eastAsiaTheme="minorEastAsia"/>
                <w:b w:val="0"/>
                <w:bCs/>
                <w:kern w:val="0"/>
                <w:szCs w:val="21"/>
                <w:lang w:val="en-US" w:eastAsia="zh-CN"/>
              </w:rPr>
              <w:t>竹木加工、物流、生态旅游、畜禽养殖等</w:t>
            </w:r>
            <w:r>
              <w:rPr>
                <w:rFonts w:hint="eastAsia" w:eastAsiaTheme="minorEastAsia"/>
                <w:b w:val="0"/>
                <w:bCs/>
                <w:kern w:val="0"/>
                <w:szCs w:val="21"/>
              </w:rPr>
              <w:t>。</w:t>
            </w:r>
          </w:p>
        </w:tc>
        <w:tc>
          <w:tcPr>
            <w:tcW w:w="2735" w:type="dxa"/>
            <w:gridSpan w:val="2"/>
            <w:tcBorders>
              <w:tl2br w:val="nil"/>
              <w:tr2bl w:val="nil"/>
            </w:tcBorders>
            <w:vAlign w:val="center"/>
          </w:tcPr>
          <w:p w14:paraId="519A6A85">
            <w:pPr>
              <w:widowControl/>
              <w:adjustRightInd w:val="0"/>
              <w:snapToGrid w:val="0"/>
              <w:spacing w:line="240" w:lineRule="auto"/>
              <w:rPr>
                <w:rFonts w:eastAsiaTheme="minorEastAsia"/>
                <w:b w:val="0"/>
                <w:bCs/>
                <w:kern w:val="0"/>
                <w:szCs w:val="21"/>
              </w:rPr>
            </w:pPr>
            <w:r>
              <w:rPr>
                <w:rFonts w:hint="eastAsia" w:eastAsiaTheme="minorEastAsia"/>
                <w:b w:val="0"/>
                <w:bCs/>
                <w:kern w:val="0"/>
                <w:szCs w:val="21"/>
                <w:lang w:val="en-US" w:eastAsia="zh-CN"/>
              </w:rPr>
              <w:t>采矿沉陷，养殖废水污染，垃圾收集处理系统不完备，煤矿、采石扬尘、废水等，垃圾焚烧</w:t>
            </w:r>
            <w:r>
              <w:rPr>
                <w:rFonts w:hint="eastAsia" w:eastAsiaTheme="minorEastAsia"/>
                <w:b w:val="0"/>
                <w:bCs/>
                <w:kern w:val="0"/>
                <w:szCs w:val="21"/>
              </w:rPr>
              <w:t>。</w:t>
            </w:r>
          </w:p>
        </w:tc>
      </w:tr>
      <w:tr w14:paraId="033278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35456BC5">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主要属性</w:t>
            </w:r>
          </w:p>
        </w:tc>
        <w:tc>
          <w:tcPr>
            <w:tcW w:w="13353" w:type="dxa"/>
            <w:gridSpan w:val="11"/>
            <w:tcBorders>
              <w:tl2br w:val="nil"/>
              <w:tr2bl w:val="nil"/>
            </w:tcBorders>
            <w:vAlign w:val="center"/>
          </w:tcPr>
          <w:p w14:paraId="1DD3F653">
            <w:pPr>
              <w:adjustRightInd w:val="0"/>
              <w:snapToGrid w:val="0"/>
              <w:spacing w:line="240" w:lineRule="auto"/>
              <w:jc w:val="left"/>
              <w:rPr>
                <w:rFonts w:hint="eastAsia" w:ascii="宋体" w:hAnsi="宋体" w:eastAsia="宋体" w:cs="宋体"/>
                <w:b w:val="0"/>
                <w:bCs/>
                <w:kern w:val="0"/>
                <w:szCs w:val="21"/>
                <w:lang w:val="en-US" w:eastAsia="zh-CN"/>
              </w:rPr>
            </w:pPr>
            <w:r>
              <w:rPr>
                <w:rFonts w:hint="eastAsia" w:ascii="宋体" w:hAnsi="宋体" w:cs="宋体"/>
                <w:b w:val="0"/>
                <w:bCs/>
                <w:kern w:val="0"/>
                <w:szCs w:val="21"/>
                <w:lang w:val="en-US" w:eastAsia="zh-CN"/>
              </w:rPr>
              <w:t>东湖圩镇：</w:t>
            </w:r>
          </w:p>
          <w:p w14:paraId="62B27B18">
            <w:pPr>
              <w:adjustRightInd w:val="0"/>
              <w:snapToGrid w:val="0"/>
              <w:spacing w:line="240" w:lineRule="auto"/>
              <w:jc w:val="left"/>
              <w:rPr>
                <w:rFonts w:eastAsiaTheme="minorEastAsia"/>
                <w:b w:val="0"/>
                <w:bCs/>
                <w:kern w:val="0"/>
                <w:szCs w:val="21"/>
              </w:rPr>
            </w:pPr>
            <w:r>
              <w:rPr>
                <w:rFonts w:hint="eastAsia" w:ascii="宋体" w:hAnsi="宋体" w:cs="宋体"/>
                <w:b w:val="0"/>
                <w:bCs/>
                <w:kern w:val="0"/>
                <w:szCs w:val="21"/>
              </w:rPr>
              <w:t>▉</w:t>
            </w:r>
            <w:r>
              <w:rPr>
                <w:rFonts w:hint="eastAsia" w:eastAsiaTheme="minorEastAsia"/>
                <w:b w:val="0"/>
                <w:bCs/>
                <w:kern w:val="0"/>
                <w:szCs w:val="21"/>
              </w:rPr>
              <w:t>红线</w:t>
            </w:r>
            <w:r>
              <w:rPr>
                <w:rFonts w:eastAsiaTheme="minorEastAsia"/>
                <w:b w:val="0"/>
                <w:bCs/>
                <w:kern w:val="0"/>
                <w:szCs w:val="21"/>
              </w:rPr>
              <w:t>/</w:t>
            </w:r>
            <w:r>
              <w:rPr>
                <w:rFonts w:hint="eastAsia" w:eastAsiaTheme="minorEastAsia"/>
                <w:b w:val="0"/>
                <w:bCs/>
                <w:kern w:val="0"/>
                <w:szCs w:val="21"/>
              </w:rPr>
              <w:t>一般生态空间</w:t>
            </w:r>
            <w:r>
              <w:rPr>
                <w:rFonts w:eastAsiaTheme="minorEastAsia"/>
                <w:b w:val="0"/>
                <w:bCs/>
                <w:kern w:val="0"/>
                <w:szCs w:val="21"/>
              </w:rPr>
              <w:t>——</w:t>
            </w:r>
            <w:r>
              <w:rPr>
                <w:rFonts w:hint="eastAsia" w:eastAsiaTheme="minorEastAsia"/>
                <w:b w:val="0"/>
                <w:bCs/>
                <w:kern w:val="0"/>
                <w:szCs w:val="21"/>
              </w:rPr>
              <w:t>风公益林</w:t>
            </w:r>
            <w:r>
              <w:rPr>
                <w:rFonts w:eastAsiaTheme="minorEastAsia"/>
                <w:b w:val="0"/>
                <w:bCs/>
                <w:kern w:val="0"/>
                <w:szCs w:val="21"/>
              </w:rPr>
              <w:t>/</w:t>
            </w:r>
            <w:r>
              <w:rPr>
                <w:rFonts w:hint="eastAsia" w:eastAsiaTheme="minorEastAsia"/>
                <w:b w:val="0"/>
                <w:bCs/>
                <w:kern w:val="0"/>
                <w:szCs w:val="21"/>
                <w:lang w:val="en-US" w:eastAsia="zh-CN"/>
              </w:rPr>
              <w:t>森林</w:t>
            </w:r>
            <w:r>
              <w:rPr>
                <w:rFonts w:hint="eastAsia" w:eastAsiaTheme="minorEastAsia"/>
                <w:b w:val="0"/>
                <w:bCs/>
                <w:kern w:val="0"/>
                <w:szCs w:val="21"/>
              </w:rPr>
              <w:t>公园</w:t>
            </w:r>
            <w:r>
              <w:rPr>
                <w:rFonts w:eastAsiaTheme="minorEastAsia"/>
                <w:b w:val="0"/>
                <w:bCs/>
                <w:kern w:val="0"/>
                <w:szCs w:val="21"/>
              </w:rPr>
              <w:t>/</w:t>
            </w:r>
            <w:r>
              <w:rPr>
                <w:rFonts w:hint="eastAsia" w:eastAsiaTheme="minorEastAsia"/>
                <w:b w:val="0"/>
                <w:bCs/>
                <w:kern w:val="0"/>
                <w:szCs w:val="21"/>
              </w:rPr>
              <w:t>水土保持功能重要区</w:t>
            </w:r>
            <w:r>
              <w:rPr>
                <w:rFonts w:eastAsiaTheme="minorEastAsia"/>
                <w:b w:val="0"/>
                <w:bCs/>
                <w:kern w:val="0"/>
                <w:szCs w:val="21"/>
              </w:rPr>
              <w:t>/</w:t>
            </w:r>
            <w:r>
              <w:rPr>
                <w:rFonts w:hint="eastAsia" w:eastAsiaTheme="minorEastAsia"/>
                <w:b w:val="0"/>
                <w:bCs/>
                <w:kern w:val="0"/>
                <w:szCs w:val="21"/>
              </w:rPr>
              <w:t>水源涵养重要区</w:t>
            </w:r>
          </w:p>
          <w:p w14:paraId="02DA98A1">
            <w:pPr>
              <w:adjustRightInd w:val="0"/>
              <w:snapToGrid w:val="0"/>
              <w:spacing w:line="240" w:lineRule="auto"/>
              <w:jc w:val="left"/>
              <w:rPr>
                <w:rFonts w:eastAsiaTheme="minorEastAsia"/>
                <w:b w:val="0"/>
                <w:bCs/>
                <w:kern w:val="0"/>
                <w:szCs w:val="21"/>
              </w:rPr>
            </w:pPr>
            <w:r>
              <w:rPr>
                <w:rFonts w:hint="eastAsia" w:ascii="宋体" w:hAnsi="宋体" w:cs="宋体"/>
                <w:b w:val="0"/>
                <w:bCs/>
                <w:kern w:val="0"/>
                <w:szCs w:val="21"/>
              </w:rPr>
              <w:t>▉</w:t>
            </w:r>
            <w:r>
              <w:rPr>
                <w:rFonts w:hint="eastAsia" w:eastAsiaTheme="minorEastAsia"/>
                <w:b w:val="0"/>
                <w:bCs/>
                <w:kern w:val="0"/>
                <w:szCs w:val="21"/>
              </w:rPr>
              <w:t>农用地优先保护区</w:t>
            </w:r>
            <w:r>
              <w:rPr>
                <w:rFonts w:eastAsiaTheme="minorEastAsia"/>
                <w:b w:val="0"/>
                <w:bCs/>
                <w:kern w:val="0"/>
                <w:szCs w:val="21"/>
              </w:rPr>
              <w:t>/</w:t>
            </w:r>
            <w:r>
              <w:rPr>
                <w:rFonts w:hint="eastAsia" w:eastAsiaTheme="minorEastAsia"/>
                <w:b w:val="0"/>
                <w:bCs/>
                <w:kern w:val="0"/>
                <w:szCs w:val="21"/>
              </w:rPr>
              <w:t>其他土壤重点管控区</w:t>
            </w:r>
            <w:r>
              <w:rPr>
                <w:rFonts w:eastAsiaTheme="minorEastAsia"/>
                <w:b w:val="0"/>
                <w:bCs/>
                <w:kern w:val="0"/>
                <w:szCs w:val="21"/>
              </w:rPr>
              <w:t>——</w:t>
            </w:r>
            <w:r>
              <w:rPr>
                <w:rFonts w:hint="eastAsia" w:eastAsiaTheme="minorEastAsia"/>
                <w:b w:val="0"/>
                <w:bCs/>
                <w:kern w:val="0"/>
                <w:szCs w:val="21"/>
              </w:rPr>
              <w:t>部省级采矿权</w:t>
            </w:r>
            <w:r>
              <w:rPr>
                <w:rFonts w:eastAsiaTheme="minorEastAsia"/>
                <w:b w:val="0"/>
                <w:bCs/>
                <w:kern w:val="0"/>
                <w:szCs w:val="21"/>
              </w:rPr>
              <w:t>/</w:t>
            </w:r>
            <w:r>
              <w:rPr>
                <w:rFonts w:hint="eastAsia" w:eastAsiaTheme="minorEastAsia"/>
                <w:b w:val="0"/>
                <w:bCs/>
                <w:kern w:val="0"/>
                <w:szCs w:val="21"/>
              </w:rPr>
              <w:t>市县级采矿权</w:t>
            </w:r>
            <w:r>
              <w:rPr>
                <w:rFonts w:eastAsiaTheme="minorEastAsia"/>
                <w:b w:val="0"/>
                <w:bCs/>
                <w:kern w:val="0"/>
                <w:szCs w:val="21"/>
              </w:rPr>
              <w:t>/</w:t>
            </w:r>
            <w:r>
              <w:rPr>
                <w:rFonts w:hint="eastAsia" w:eastAsiaTheme="minorEastAsia"/>
                <w:b w:val="0"/>
                <w:bCs/>
                <w:kern w:val="0"/>
                <w:szCs w:val="21"/>
              </w:rPr>
              <w:t>部省级探矿权</w:t>
            </w:r>
          </w:p>
        </w:tc>
      </w:tr>
      <w:tr w14:paraId="604E0B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799672A9">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管控维度</w:t>
            </w:r>
          </w:p>
        </w:tc>
        <w:tc>
          <w:tcPr>
            <w:tcW w:w="8209" w:type="dxa"/>
            <w:gridSpan w:val="8"/>
            <w:tcBorders>
              <w:tl2br w:val="nil"/>
              <w:tr2bl w:val="nil"/>
            </w:tcBorders>
            <w:vAlign w:val="center"/>
          </w:tcPr>
          <w:p w14:paraId="01510D65">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管控要求</w:t>
            </w:r>
          </w:p>
        </w:tc>
        <w:tc>
          <w:tcPr>
            <w:tcW w:w="3730" w:type="dxa"/>
            <w:gridSpan w:val="2"/>
            <w:tcBorders>
              <w:tl2br w:val="nil"/>
              <w:tr2bl w:val="nil"/>
            </w:tcBorders>
            <w:vAlign w:val="center"/>
          </w:tcPr>
          <w:p w14:paraId="12C86479">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项目情况</w:t>
            </w:r>
          </w:p>
        </w:tc>
        <w:tc>
          <w:tcPr>
            <w:tcW w:w="1414" w:type="dxa"/>
            <w:tcBorders>
              <w:tl2br w:val="nil"/>
              <w:tr2bl w:val="nil"/>
            </w:tcBorders>
            <w:vAlign w:val="center"/>
          </w:tcPr>
          <w:p w14:paraId="55828FA0">
            <w:pPr>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符合性分析</w:t>
            </w:r>
          </w:p>
        </w:tc>
      </w:tr>
      <w:tr w14:paraId="1B621E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021ACAE8">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空间布局约束</w:t>
            </w:r>
          </w:p>
        </w:tc>
        <w:tc>
          <w:tcPr>
            <w:tcW w:w="8209" w:type="dxa"/>
            <w:gridSpan w:val="8"/>
            <w:tcBorders>
              <w:tl2br w:val="nil"/>
              <w:tr2bl w:val="nil"/>
            </w:tcBorders>
            <w:vAlign w:val="center"/>
          </w:tcPr>
          <w:p w14:paraId="4360D9CE">
            <w:pPr>
              <w:adjustRightInd w:val="0"/>
              <w:spacing w:line="240" w:lineRule="auto"/>
              <w:rPr>
                <w:rFonts w:eastAsiaTheme="minorEastAsia"/>
                <w:b w:val="0"/>
                <w:bCs/>
                <w:kern w:val="0"/>
                <w:szCs w:val="21"/>
              </w:rPr>
            </w:pPr>
            <w:r>
              <w:rPr>
                <w:rFonts w:hint="eastAsia" w:eastAsiaTheme="minorEastAsia"/>
                <w:b w:val="0"/>
                <w:bCs/>
                <w:kern w:val="0"/>
                <w:szCs w:val="21"/>
              </w:rPr>
              <w:t>（</w:t>
            </w:r>
            <w:r>
              <w:rPr>
                <w:rFonts w:eastAsiaTheme="minorEastAsia"/>
                <w:b w:val="0"/>
                <w:bCs/>
                <w:kern w:val="0"/>
                <w:szCs w:val="21"/>
              </w:rPr>
              <w:t>1.1</w:t>
            </w:r>
            <w:r>
              <w:rPr>
                <w:rFonts w:hint="eastAsia" w:eastAsiaTheme="minorEastAsia"/>
                <w:b w:val="0"/>
                <w:bCs/>
                <w:kern w:val="0"/>
                <w:szCs w:val="21"/>
              </w:rPr>
              <w:t>）</w:t>
            </w:r>
            <w:r>
              <w:rPr>
                <w:rFonts w:hint="eastAsia" w:eastAsiaTheme="minorEastAsia"/>
                <w:b w:val="0"/>
                <w:bCs/>
                <w:kern w:val="0"/>
                <w:szCs w:val="21"/>
                <w:lang w:val="en-US" w:eastAsia="zh-CN"/>
              </w:rPr>
              <w:t>禁止新建钢铁、焦化等行业的高污染项目</w:t>
            </w:r>
            <w:r>
              <w:rPr>
                <w:rFonts w:hint="eastAsia" w:eastAsiaTheme="minorEastAsia"/>
                <w:b w:val="0"/>
                <w:bCs/>
                <w:kern w:val="0"/>
                <w:szCs w:val="21"/>
              </w:rPr>
              <w:t>。</w:t>
            </w:r>
          </w:p>
          <w:p w14:paraId="14033C71">
            <w:pPr>
              <w:adjustRightInd w:val="0"/>
              <w:spacing w:line="240" w:lineRule="auto"/>
              <w:rPr>
                <w:rFonts w:hint="eastAsia" w:eastAsiaTheme="minorEastAsia"/>
                <w:b w:val="0"/>
                <w:bCs/>
                <w:kern w:val="0"/>
                <w:szCs w:val="21"/>
              </w:rPr>
            </w:pPr>
            <w:r>
              <w:rPr>
                <w:rFonts w:hint="eastAsia" w:eastAsiaTheme="minorEastAsia"/>
                <w:b w:val="0"/>
                <w:bCs/>
                <w:kern w:val="0"/>
                <w:szCs w:val="21"/>
              </w:rPr>
              <w:t>（</w:t>
            </w:r>
            <w:r>
              <w:rPr>
                <w:rFonts w:eastAsiaTheme="minorEastAsia"/>
                <w:b w:val="0"/>
                <w:bCs/>
                <w:kern w:val="0"/>
                <w:szCs w:val="21"/>
              </w:rPr>
              <w:t>1.2</w:t>
            </w:r>
            <w:r>
              <w:rPr>
                <w:rFonts w:hint="eastAsia" w:eastAsiaTheme="minorEastAsia"/>
                <w:b w:val="0"/>
                <w:bCs/>
                <w:kern w:val="0"/>
                <w:szCs w:val="21"/>
              </w:rPr>
              <w:t>）区域养殖业按划定的禁养区、限养区、适养区实施分类管理。</w:t>
            </w:r>
          </w:p>
          <w:p w14:paraId="4AA84543">
            <w:pPr>
              <w:adjustRightInd w:val="0"/>
              <w:spacing w:line="240" w:lineRule="auto"/>
              <w:rPr>
                <w:rFonts w:hint="default" w:eastAsiaTheme="minorEastAsia"/>
                <w:b w:val="0"/>
                <w:bCs/>
                <w:kern w:val="0"/>
                <w:szCs w:val="21"/>
                <w:lang w:val="en-US" w:eastAsia="zh-CN"/>
              </w:rPr>
            </w:pPr>
            <w:r>
              <w:rPr>
                <w:rFonts w:hint="eastAsia" w:eastAsiaTheme="minorEastAsia"/>
                <w:b w:val="0"/>
                <w:bCs/>
                <w:kern w:val="0"/>
                <w:szCs w:val="21"/>
                <w:lang w:eastAsia="zh-CN"/>
              </w:rPr>
              <w:t>（</w:t>
            </w:r>
            <w:r>
              <w:rPr>
                <w:rFonts w:hint="eastAsia" w:eastAsiaTheme="minorEastAsia"/>
                <w:b w:val="0"/>
                <w:bCs/>
                <w:kern w:val="0"/>
                <w:szCs w:val="21"/>
                <w:lang w:val="en-US" w:eastAsia="zh-CN"/>
              </w:rPr>
              <w:t>1.3</w:t>
            </w:r>
            <w:r>
              <w:rPr>
                <w:rFonts w:hint="eastAsia" w:eastAsiaTheme="minorEastAsia"/>
                <w:b w:val="0"/>
                <w:bCs/>
                <w:kern w:val="0"/>
                <w:szCs w:val="21"/>
                <w:lang w:eastAsia="zh-CN"/>
              </w:rPr>
              <w:t>）</w:t>
            </w:r>
            <w:r>
              <w:rPr>
                <w:rFonts w:hint="eastAsia" w:eastAsiaTheme="minorEastAsia"/>
                <w:b w:val="0"/>
                <w:bCs/>
                <w:kern w:val="0"/>
                <w:szCs w:val="21"/>
                <w:lang w:val="en-US" w:eastAsia="zh-CN"/>
              </w:rPr>
              <w:t>水产种质资源保护区按《水产种质资源保护区管理暂行办法》（2016年修正本）要求管理。</w:t>
            </w:r>
          </w:p>
        </w:tc>
        <w:tc>
          <w:tcPr>
            <w:tcW w:w="3730" w:type="dxa"/>
            <w:gridSpan w:val="2"/>
            <w:tcBorders>
              <w:tl2br w:val="nil"/>
              <w:tr2bl w:val="nil"/>
            </w:tcBorders>
            <w:vAlign w:val="center"/>
          </w:tcPr>
          <w:p w14:paraId="388BC06D">
            <w:pPr>
              <w:adjustRightInd w:val="0"/>
              <w:spacing w:line="240" w:lineRule="auto"/>
              <w:jc w:val="left"/>
              <w:rPr>
                <w:rFonts w:eastAsiaTheme="minorEastAsia"/>
                <w:b w:val="0"/>
                <w:bCs/>
                <w:szCs w:val="21"/>
              </w:rPr>
            </w:pPr>
            <w:r>
              <w:rPr>
                <w:rFonts w:hint="eastAsia"/>
                <w:b w:val="0"/>
                <w:bCs/>
                <w:kern w:val="0"/>
                <w:szCs w:val="21"/>
              </w:rPr>
              <w:t>本项目为风电项目，不属于上述行业</w:t>
            </w:r>
            <w:r>
              <w:rPr>
                <w:rFonts w:hint="eastAsia"/>
                <w:b w:val="0"/>
                <w:bCs/>
                <w:kern w:val="0"/>
                <w:szCs w:val="21"/>
                <w:lang w:eastAsia="zh-CN"/>
              </w:rPr>
              <w:t>，</w:t>
            </w:r>
            <w:r>
              <w:rPr>
                <w:rFonts w:hint="eastAsia"/>
                <w:b w:val="0"/>
                <w:bCs/>
                <w:kern w:val="0"/>
                <w:szCs w:val="21"/>
                <w:lang w:val="en-US" w:eastAsia="zh-CN"/>
              </w:rPr>
              <w:t>也不涉及水产种质资源保护区</w:t>
            </w:r>
            <w:r>
              <w:rPr>
                <w:rFonts w:hint="eastAsia"/>
                <w:b w:val="0"/>
                <w:bCs/>
                <w:kern w:val="0"/>
                <w:szCs w:val="21"/>
              </w:rPr>
              <w:t>。</w:t>
            </w:r>
          </w:p>
        </w:tc>
        <w:tc>
          <w:tcPr>
            <w:tcW w:w="1414" w:type="dxa"/>
            <w:tcBorders>
              <w:tl2br w:val="nil"/>
              <w:tr2bl w:val="nil"/>
            </w:tcBorders>
            <w:vAlign w:val="center"/>
          </w:tcPr>
          <w:p w14:paraId="5E2A308B">
            <w:pPr>
              <w:tabs>
                <w:tab w:val="left" w:pos="1021"/>
              </w:tabs>
              <w:adjustRightInd w:val="0"/>
              <w:snapToGrid w:val="0"/>
              <w:spacing w:line="240" w:lineRule="auto"/>
              <w:jc w:val="center"/>
              <w:rPr>
                <w:rFonts w:eastAsiaTheme="minorEastAsia"/>
                <w:b w:val="0"/>
                <w:bCs/>
                <w:kern w:val="0"/>
                <w:szCs w:val="21"/>
              </w:rPr>
            </w:pPr>
            <w:r>
              <w:rPr>
                <w:rFonts w:hint="eastAsia"/>
                <w:b w:val="0"/>
                <w:bCs/>
                <w:kern w:val="0"/>
                <w:szCs w:val="21"/>
              </w:rPr>
              <w:t>符合</w:t>
            </w:r>
          </w:p>
        </w:tc>
      </w:tr>
      <w:tr w14:paraId="4CD47B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20ADA61D">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污染物排放管控</w:t>
            </w:r>
          </w:p>
        </w:tc>
        <w:tc>
          <w:tcPr>
            <w:tcW w:w="8209" w:type="dxa"/>
            <w:gridSpan w:val="8"/>
            <w:tcBorders>
              <w:tl2br w:val="nil"/>
              <w:tr2bl w:val="nil"/>
            </w:tcBorders>
            <w:vAlign w:val="center"/>
          </w:tcPr>
          <w:p w14:paraId="59EFB29B">
            <w:pPr>
              <w:adjustRightInd w:val="0"/>
              <w:spacing w:line="240" w:lineRule="auto"/>
              <w:rPr>
                <w:rFonts w:hint="eastAsia" w:eastAsiaTheme="minorEastAsia"/>
                <w:b w:val="0"/>
                <w:bCs/>
                <w:kern w:val="0"/>
                <w:szCs w:val="21"/>
                <w:lang w:val="en-US" w:eastAsia="zh-CN"/>
              </w:rPr>
            </w:pPr>
            <w:r>
              <w:rPr>
                <w:rFonts w:hint="eastAsia" w:eastAsiaTheme="minorEastAsia"/>
                <w:b w:val="0"/>
                <w:bCs/>
                <w:kern w:val="0"/>
                <w:szCs w:val="21"/>
              </w:rPr>
              <w:t>（</w:t>
            </w:r>
            <w:r>
              <w:rPr>
                <w:rFonts w:eastAsiaTheme="minorEastAsia"/>
                <w:b w:val="0"/>
                <w:bCs/>
                <w:kern w:val="0"/>
                <w:szCs w:val="21"/>
              </w:rPr>
              <w:t>2.1</w:t>
            </w:r>
            <w:r>
              <w:rPr>
                <w:rFonts w:hint="eastAsia" w:eastAsiaTheme="minorEastAsia"/>
                <w:b w:val="0"/>
                <w:bCs/>
                <w:kern w:val="0"/>
                <w:szCs w:val="21"/>
              </w:rPr>
              <w:t>）</w:t>
            </w:r>
            <w:r>
              <w:rPr>
                <w:rFonts w:hint="eastAsia" w:eastAsiaTheme="minorEastAsia"/>
                <w:b w:val="0"/>
                <w:bCs/>
                <w:kern w:val="0"/>
                <w:szCs w:val="21"/>
                <w:lang w:val="en-US" w:eastAsia="zh-CN"/>
              </w:rPr>
              <w:t>加强工业水污染防治、加快污水管网及处理设施建设、强化饮用水源保护、黑臭水体治理等为重点，开展水污染防治计划，全力保障饮用水安全和改善水环境质量。</w:t>
            </w:r>
          </w:p>
          <w:p w14:paraId="3F0D00A3">
            <w:pPr>
              <w:adjustRightInd w:val="0"/>
              <w:spacing w:line="240" w:lineRule="auto"/>
              <w:rPr>
                <w:rFonts w:hint="default" w:eastAsiaTheme="minorEastAsia"/>
                <w:b w:val="0"/>
                <w:bCs/>
                <w:kern w:val="0"/>
                <w:szCs w:val="21"/>
                <w:lang w:val="en-US" w:eastAsia="zh-CN"/>
              </w:rPr>
            </w:pPr>
            <w:r>
              <w:rPr>
                <w:rFonts w:hint="eastAsia" w:eastAsiaTheme="minorEastAsia"/>
                <w:b w:val="0"/>
                <w:bCs/>
                <w:kern w:val="0"/>
                <w:szCs w:val="21"/>
                <w:lang w:val="en-US" w:eastAsia="zh-CN"/>
              </w:rPr>
              <w:t>（2.2）加强城区燃煤锅炉整治，全面实施大气污染物特别排放限值；渣土、建材、垃圾运输车辆必须全封闭运输，施工场地全封闭围挡作业；禁止城区露天焚烧垃圾、露天烧烤等行为，禁止焚烧秸秆。</w:t>
            </w:r>
          </w:p>
          <w:p w14:paraId="6B19DD15">
            <w:pPr>
              <w:adjustRightInd w:val="0"/>
              <w:spacing w:line="240" w:lineRule="auto"/>
              <w:rPr>
                <w:rFonts w:eastAsiaTheme="minorEastAsia"/>
                <w:b w:val="0"/>
                <w:bCs/>
                <w:kern w:val="0"/>
                <w:szCs w:val="21"/>
              </w:rPr>
            </w:pPr>
            <w:r>
              <w:rPr>
                <w:rFonts w:hint="eastAsia" w:eastAsiaTheme="minorEastAsia"/>
                <w:b w:val="0"/>
                <w:bCs/>
                <w:kern w:val="0"/>
                <w:szCs w:val="21"/>
              </w:rPr>
              <w:t>（</w:t>
            </w:r>
            <w:r>
              <w:rPr>
                <w:rFonts w:eastAsiaTheme="minorEastAsia"/>
                <w:b w:val="0"/>
                <w:bCs/>
                <w:kern w:val="0"/>
                <w:szCs w:val="21"/>
              </w:rPr>
              <w:t>2.</w:t>
            </w:r>
            <w:r>
              <w:rPr>
                <w:rFonts w:hint="eastAsia" w:eastAsiaTheme="minorEastAsia"/>
                <w:b w:val="0"/>
                <w:bCs/>
                <w:kern w:val="0"/>
                <w:szCs w:val="21"/>
                <w:lang w:val="en-US" w:eastAsia="zh-CN"/>
              </w:rPr>
              <w:t>3</w:t>
            </w:r>
            <w:r>
              <w:rPr>
                <w:rFonts w:hint="eastAsia" w:eastAsiaTheme="minorEastAsia"/>
                <w:b w:val="0"/>
                <w:bCs/>
                <w:kern w:val="0"/>
                <w:szCs w:val="21"/>
              </w:rPr>
              <w:t>）以“减量化、无害化、资源化”为重点，加快推进垃圾分类收集减量和资源综合利用，提升危险废物安全处置能力，推进一般工业固废综合利用。</w:t>
            </w:r>
          </w:p>
        </w:tc>
        <w:tc>
          <w:tcPr>
            <w:tcW w:w="3730" w:type="dxa"/>
            <w:gridSpan w:val="2"/>
            <w:tcBorders>
              <w:tl2br w:val="nil"/>
              <w:tr2bl w:val="nil"/>
            </w:tcBorders>
            <w:vAlign w:val="center"/>
          </w:tcPr>
          <w:p w14:paraId="2C49A79D">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pPr>
            <w:r>
              <w:rPr>
                <w:rFonts w:hint="eastAsia"/>
              </w:rPr>
              <w:t>（1）</w:t>
            </w:r>
            <w:r>
              <w:t>运行期</w:t>
            </w:r>
            <w:r>
              <w:rPr>
                <w:rFonts w:hint="eastAsia"/>
              </w:rPr>
              <w:t>升压站</w:t>
            </w:r>
            <w:r>
              <w:t>生活污水</w:t>
            </w:r>
            <w:r>
              <w:rPr>
                <w:rFonts w:hint="eastAsia"/>
              </w:rPr>
              <w:t>经</w:t>
            </w:r>
            <w:r>
              <w:t>一体化污水处理设备处理后</w:t>
            </w:r>
            <w:r>
              <w:rPr>
                <w:rFonts w:hint="eastAsia"/>
              </w:rPr>
              <w:t>回</w:t>
            </w:r>
            <w:r>
              <w:t>用于</w:t>
            </w:r>
            <w:r>
              <w:rPr>
                <w:rFonts w:hint="eastAsia"/>
              </w:rPr>
              <w:t>站</w:t>
            </w:r>
            <w:r>
              <w:t>区绿化，不外排</w:t>
            </w:r>
            <w:r>
              <w:rPr>
                <w:rFonts w:hint="eastAsia"/>
                <w:lang w:eastAsia="zh-CN"/>
              </w:rPr>
              <w:t>，</w:t>
            </w:r>
            <w:r>
              <w:rPr>
                <w:rFonts w:hint="eastAsia"/>
                <w:lang w:val="en-US" w:eastAsia="zh-CN"/>
              </w:rPr>
              <w:t>对周边水环境影响较小</w:t>
            </w:r>
            <w:r>
              <w:rPr>
                <w:rFonts w:hint="eastAsia"/>
              </w:rPr>
              <w:t>。</w:t>
            </w:r>
          </w:p>
          <w:p w14:paraId="433DD8E2">
            <w:pPr>
              <w:keepNext w:val="0"/>
              <w:keepLines w:val="0"/>
              <w:pageBreakBefore w:val="0"/>
              <w:tabs>
                <w:tab w:val="left" w:pos="1021"/>
              </w:tabs>
              <w:kinsoku/>
              <w:wordWrap/>
              <w:overflowPunct/>
              <w:topLinePunct w:val="0"/>
              <w:autoSpaceDE/>
              <w:autoSpaceDN/>
              <w:bidi w:val="0"/>
              <w:adjustRightInd w:val="0"/>
              <w:snapToGrid w:val="0"/>
              <w:spacing w:line="240" w:lineRule="auto"/>
              <w:ind w:left="102" w:leftChars="48" w:right="149" w:rightChars="71" w:hanging="1"/>
              <w:jc w:val="left"/>
              <w:textAlignment w:val="auto"/>
            </w:pPr>
            <w:r>
              <w:rPr>
                <w:rFonts w:hint="eastAsia"/>
              </w:rPr>
              <w:t>（2）本项目</w:t>
            </w:r>
            <w:r>
              <w:t>营运期无废气产生</w:t>
            </w:r>
            <w:r>
              <w:rPr>
                <w:rFonts w:hint="eastAsia"/>
              </w:rPr>
              <w:t>。施工期运输车辆材料覆盖，车辆冲洗干净后上路，施工道路扬尘采取洒水抑尘，及时清理道路遗撒物。</w:t>
            </w:r>
          </w:p>
          <w:p w14:paraId="56BB652D">
            <w:pPr>
              <w:tabs>
                <w:tab w:val="left" w:pos="1021"/>
              </w:tabs>
              <w:adjustRightInd w:val="0"/>
              <w:snapToGrid w:val="0"/>
              <w:spacing w:line="240" w:lineRule="auto"/>
              <w:ind w:left="102" w:leftChars="48" w:right="149" w:rightChars="71" w:hanging="1"/>
              <w:jc w:val="left"/>
              <w:rPr>
                <w:rFonts w:eastAsiaTheme="minorEastAsia"/>
                <w:b w:val="0"/>
                <w:bCs/>
                <w:kern w:val="0"/>
                <w:szCs w:val="21"/>
              </w:rPr>
            </w:pPr>
            <w:r>
              <w:rPr>
                <w:rFonts w:hint="eastAsia"/>
              </w:rPr>
              <w:t>（3）本项目升压站生活垃圾定点收集，</w:t>
            </w:r>
            <w:r>
              <w:rPr>
                <w:rFonts w:hint="eastAsia"/>
                <w:lang w:val="en-US" w:eastAsia="zh-CN"/>
              </w:rPr>
              <w:t>交环卫部门处置；</w:t>
            </w:r>
            <w:r>
              <w:rPr>
                <w:rFonts w:hint="eastAsia"/>
                <w:color w:val="FF0000"/>
                <w:lang w:val="en-US" w:eastAsia="zh-CN"/>
              </w:rPr>
              <w:t>废机油、废液压油和废铅酸蓄电池暂存在升压站的危废暂存间内，定期交有资质单位处置</w:t>
            </w:r>
            <w:r>
              <w:rPr>
                <w:rFonts w:hint="eastAsia"/>
                <w:color w:val="FF0000"/>
              </w:rPr>
              <w:t>。</w:t>
            </w:r>
          </w:p>
        </w:tc>
        <w:tc>
          <w:tcPr>
            <w:tcW w:w="1414" w:type="dxa"/>
            <w:tcBorders>
              <w:tl2br w:val="nil"/>
              <w:tr2bl w:val="nil"/>
            </w:tcBorders>
            <w:vAlign w:val="center"/>
          </w:tcPr>
          <w:p w14:paraId="2EB0A35F">
            <w:pPr>
              <w:widowControl/>
              <w:spacing w:line="240" w:lineRule="auto"/>
              <w:jc w:val="center"/>
              <w:rPr>
                <w:rFonts w:eastAsiaTheme="minorEastAsia"/>
                <w:b w:val="0"/>
                <w:bCs/>
                <w:kern w:val="0"/>
                <w:szCs w:val="21"/>
              </w:rPr>
            </w:pPr>
            <w:r>
              <w:rPr>
                <w:rFonts w:hint="eastAsia"/>
                <w:b w:val="0"/>
                <w:bCs/>
                <w:kern w:val="0"/>
                <w:szCs w:val="21"/>
              </w:rPr>
              <w:t>符合</w:t>
            </w:r>
          </w:p>
        </w:tc>
      </w:tr>
      <w:tr w14:paraId="726253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38CE6319">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环境风险防控</w:t>
            </w:r>
          </w:p>
        </w:tc>
        <w:tc>
          <w:tcPr>
            <w:tcW w:w="8209" w:type="dxa"/>
            <w:gridSpan w:val="8"/>
            <w:tcBorders>
              <w:tl2br w:val="nil"/>
              <w:tr2bl w:val="nil"/>
            </w:tcBorders>
            <w:vAlign w:val="center"/>
          </w:tcPr>
          <w:p w14:paraId="767DC4E7">
            <w:pPr>
              <w:adjustRightInd w:val="0"/>
              <w:spacing w:line="240" w:lineRule="auto"/>
              <w:rPr>
                <w:rFonts w:hint="eastAsia" w:eastAsiaTheme="minorEastAsia"/>
                <w:b w:val="0"/>
                <w:bCs/>
                <w:kern w:val="0"/>
                <w:szCs w:val="21"/>
              </w:rPr>
            </w:pPr>
            <w:r>
              <w:rPr>
                <w:rFonts w:hint="eastAsia" w:eastAsiaTheme="minorEastAsia"/>
                <w:b w:val="0"/>
                <w:bCs/>
                <w:kern w:val="0"/>
                <w:szCs w:val="21"/>
              </w:rPr>
              <w:t>（3.1）推动项目、区域、流域尺度环境风险评价和环境应急预案编制。定期开展环境污染隐患排查和计划执法，加强政府、企业环境风险应急演练管理。</w:t>
            </w:r>
          </w:p>
          <w:p w14:paraId="503D2854">
            <w:pPr>
              <w:adjustRightInd w:val="0"/>
              <w:spacing w:line="240" w:lineRule="auto"/>
              <w:rPr>
                <w:rFonts w:eastAsiaTheme="minorEastAsia"/>
                <w:b w:val="0"/>
                <w:bCs/>
                <w:kern w:val="0"/>
                <w:szCs w:val="21"/>
              </w:rPr>
            </w:pPr>
            <w:r>
              <w:rPr>
                <w:rFonts w:hint="eastAsia" w:eastAsiaTheme="minorEastAsia"/>
                <w:b w:val="0"/>
                <w:bCs/>
                <w:kern w:val="0"/>
                <w:szCs w:val="21"/>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3730" w:type="dxa"/>
            <w:gridSpan w:val="2"/>
            <w:tcBorders>
              <w:tl2br w:val="nil"/>
              <w:tr2bl w:val="nil"/>
            </w:tcBorders>
            <w:vAlign w:val="center"/>
          </w:tcPr>
          <w:p w14:paraId="6DAA6A3F">
            <w:pPr>
              <w:adjustRightInd w:val="0"/>
              <w:spacing w:line="240" w:lineRule="auto"/>
              <w:jc w:val="left"/>
              <w:rPr>
                <w:rFonts w:eastAsiaTheme="minorEastAsia"/>
                <w:b w:val="0"/>
                <w:bCs/>
                <w:kern w:val="0"/>
                <w:szCs w:val="21"/>
              </w:rPr>
            </w:pPr>
            <w:r>
              <w:t>本</w:t>
            </w:r>
            <w:r>
              <w:rPr>
                <w:rFonts w:hint="eastAsia"/>
                <w:lang w:val="en-US" w:eastAsia="zh-CN"/>
              </w:rPr>
              <w:t>项目</w:t>
            </w:r>
            <w:r>
              <w:t>环境风险主要为施工期弃渣场垮塌和营运期变压器油泄漏。</w:t>
            </w:r>
            <w:r>
              <w:rPr>
                <w:rFonts w:hint="eastAsia"/>
              </w:rPr>
              <w:t>通过采取环境风险防范和应急措施，可使环境风险影响降到最小</w:t>
            </w:r>
            <w:r>
              <w:t>。</w:t>
            </w:r>
          </w:p>
        </w:tc>
        <w:tc>
          <w:tcPr>
            <w:tcW w:w="1414" w:type="dxa"/>
            <w:tcBorders>
              <w:tl2br w:val="nil"/>
              <w:tr2bl w:val="nil"/>
            </w:tcBorders>
            <w:vAlign w:val="center"/>
          </w:tcPr>
          <w:p w14:paraId="4FE9DB1B">
            <w:pPr>
              <w:widowControl/>
              <w:spacing w:line="240" w:lineRule="auto"/>
              <w:jc w:val="center"/>
              <w:rPr>
                <w:rFonts w:eastAsiaTheme="minorEastAsia"/>
                <w:b w:val="0"/>
                <w:bCs/>
                <w:kern w:val="0"/>
                <w:szCs w:val="21"/>
              </w:rPr>
            </w:pPr>
            <w:r>
              <w:rPr>
                <w:rFonts w:hint="eastAsia"/>
                <w:b w:val="0"/>
                <w:bCs/>
                <w:kern w:val="0"/>
                <w:szCs w:val="21"/>
              </w:rPr>
              <w:t>符合</w:t>
            </w:r>
          </w:p>
        </w:tc>
      </w:tr>
      <w:tr w14:paraId="7445AA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987" w:type="dxa"/>
            <w:tcBorders>
              <w:tl2br w:val="nil"/>
              <w:tr2bl w:val="nil"/>
            </w:tcBorders>
            <w:vAlign w:val="center"/>
          </w:tcPr>
          <w:p w14:paraId="14FED479">
            <w:pPr>
              <w:widowControl/>
              <w:adjustRightInd w:val="0"/>
              <w:snapToGrid w:val="0"/>
              <w:spacing w:line="240" w:lineRule="auto"/>
              <w:jc w:val="center"/>
              <w:rPr>
                <w:rFonts w:eastAsiaTheme="minorEastAsia"/>
                <w:b w:val="0"/>
                <w:bCs/>
                <w:kern w:val="0"/>
                <w:szCs w:val="21"/>
              </w:rPr>
            </w:pPr>
            <w:r>
              <w:rPr>
                <w:rFonts w:hint="eastAsia" w:eastAsiaTheme="minorEastAsia"/>
                <w:b w:val="0"/>
                <w:bCs/>
                <w:kern w:val="0"/>
                <w:szCs w:val="21"/>
              </w:rPr>
              <w:t>资源开发效率要求</w:t>
            </w:r>
          </w:p>
        </w:tc>
        <w:tc>
          <w:tcPr>
            <w:tcW w:w="8209" w:type="dxa"/>
            <w:gridSpan w:val="8"/>
            <w:tcBorders>
              <w:tl2br w:val="nil"/>
              <w:tr2bl w:val="nil"/>
            </w:tcBorders>
            <w:vAlign w:val="center"/>
          </w:tcPr>
          <w:p w14:paraId="31FDAAD9">
            <w:pPr>
              <w:adjustRightInd w:val="0"/>
              <w:spacing w:line="240" w:lineRule="auto"/>
              <w:rPr>
                <w:rFonts w:hint="eastAsia" w:eastAsiaTheme="minorEastAsia"/>
                <w:b w:val="0"/>
                <w:bCs/>
                <w:szCs w:val="21"/>
              </w:rPr>
            </w:pPr>
            <w:r>
              <w:rPr>
                <w:rFonts w:hint="eastAsia" w:eastAsiaTheme="minorEastAsia"/>
                <w:b w:val="0"/>
                <w:bCs/>
                <w:szCs w:val="21"/>
              </w:rPr>
              <w:t>（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w:t>
            </w:r>
          </w:p>
          <w:p w14:paraId="3EDEC9B3">
            <w:pPr>
              <w:adjustRightInd w:val="0"/>
              <w:spacing w:line="240" w:lineRule="auto"/>
              <w:rPr>
                <w:rFonts w:eastAsiaTheme="minorEastAsia"/>
                <w:b w:val="0"/>
                <w:bCs/>
                <w:kern w:val="0"/>
                <w:szCs w:val="21"/>
              </w:rPr>
            </w:pPr>
            <w:r>
              <w:rPr>
                <w:rFonts w:hint="eastAsia" w:eastAsiaTheme="minorEastAsia"/>
                <w:b w:val="0"/>
                <w:bCs/>
                <w:szCs w:val="21"/>
              </w:rPr>
              <w:t>（4.2）水资源：大力推进农业、工业、城镇节水，全面推进节水型社会建设。</w:t>
            </w:r>
          </w:p>
        </w:tc>
        <w:tc>
          <w:tcPr>
            <w:tcW w:w="3730" w:type="dxa"/>
            <w:gridSpan w:val="2"/>
            <w:tcBorders>
              <w:tl2br w:val="nil"/>
              <w:tr2bl w:val="nil"/>
            </w:tcBorders>
            <w:vAlign w:val="center"/>
          </w:tcPr>
          <w:p w14:paraId="74084CDD">
            <w:pPr>
              <w:tabs>
                <w:tab w:val="left" w:pos="1021"/>
              </w:tabs>
              <w:adjustRightInd w:val="0"/>
              <w:snapToGrid w:val="0"/>
              <w:spacing w:line="240" w:lineRule="auto"/>
              <w:ind w:left="102" w:leftChars="48" w:right="149" w:rightChars="71" w:hanging="1"/>
              <w:jc w:val="left"/>
              <w:rPr>
                <w:b w:val="0"/>
                <w:bCs/>
              </w:rPr>
            </w:pPr>
            <w:r>
              <w:rPr>
                <w:rFonts w:hint="eastAsia"/>
                <w:b w:val="0"/>
                <w:bCs/>
              </w:rPr>
              <w:t>（1）本项目本身为利用清洁能源发电。</w:t>
            </w:r>
          </w:p>
          <w:p w14:paraId="365BCB8E">
            <w:pPr>
              <w:adjustRightInd w:val="0"/>
              <w:spacing w:line="240" w:lineRule="auto"/>
              <w:jc w:val="left"/>
              <w:rPr>
                <w:rFonts w:eastAsiaTheme="minorEastAsia"/>
                <w:b w:val="0"/>
                <w:bCs/>
                <w:kern w:val="0"/>
                <w:szCs w:val="21"/>
              </w:rPr>
            </w:pPr>
            <w:r>
              <w:rPr>
                <w:rFonts w:hint="eastAsia"/>
                <w:b w:val="0"/>
                <w:bCs/>
              </w:rPr>
              <w:t>（2）本项目运行期</w:t>
            </w:r>
            <w:r>
              <w:rPr>
                <w:b w:val="0"/>
                <w:bCs/>
              </w:rPr>
              <w:t>采用少人值守模式，</w:t>
            </w:r>
            <w:r>
              <w:rPr>
                <w:rFonts w:hint="eastAsia"/>
                <w:b w:val="0"/>
                <w:bCs/>
              </w:rPr>
              <w:t>采用节水设备。</w:t>
            </w:r>
          </w:p>
        </w:tc>
        <w:tc>
          <w:tcPr>
            <w:tcW w:w="1414" w:type="dxa"/>
            <w:tcBorders>
              <w:tl2br w:val="nil"/>
              <w:tr2bl w:val="nil"/>
            </w:tcBorders>
            <w:vAlign w:val="center"/>
          </w:tcPr>
          <w:p w14:paraId="25EBEE17">
            <w:pPr>
              <w:widowControl/>
              <w:spacing w:line="240" w:lineRule="auto"/>
              <w:jc w:val="center"/>
              <w:rPr>
                <w:rFonts w:eastAsiaTheme="minorEastAsia"/>
                <w:b w:val="0"/>
                <w:bCs/>
                <w:kern w:val="0"/>
                <w:szCs w:val="21"/>
              </w:rPr>
            </w:pPr>
            <w:r>
              <w:rPr>
                <w:rFonts w:hint="eastAsia"/>
                <w:b w:val="0"/>
                <w:bCs/>
              </w:rPr>
              <w:t>符合</w:t>
            </w:r>
          </w:p>
        </w:tc>
      </w:tr>
    </w:tbl>
    <w:p w14:paraId="7B3D2A5B">
      <w:pPr>
        <w:pStyle w:val="2"/>
      </w:pPr>
    </w:p>
    <w:p w14:paraId="2DE7D686">
      <w:pPr>
        <w:pStyle w:val="2"/>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14:paraId="11220FB1">
      <w:pPr>
        <w:pStyle w:val="3"/>
        <w:numPr>
          <w:ilvl w:val="0"/>
          <w:numId w:val="0"/>
        </w:numPr>
      </w:pPr>
      <w:bookmarkStart w:id="9" w:name="_Toc6022"/>
      <w:bookmarkStart w:id="10" w:name="_Toc30393"/>
      <w:r>
        <w:rPr>
          <w:rFonts w:hint="eastAsia"/>
        </w:rPr>
        <w:t>二、建设内容</w:t>
      </w:r>
      <w:bookmarkEnd w:id="9"/>
      <w:bookmarkEnd w:id="10"/>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831"/>
      </w:tblGrid>
      <w:tr w14:paraId="6FEE47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4F0E249F">
            <w:pPr>
              <w:jc w:val="center"/>
              <w:rPr>
                <w:b/>
                <w:bCs/>
                <w:sz w:val="24"/>
                <w:szCs w:val="32"/>
                <w:u w:val="none"/>
              </w:rPr>
            </w:pPr>
            <w:r>
              <w:rPr>
                <w:rFonts w:hint="eastAsia"/>
                <w:b/>
                <w:bCs/>
                <w:sz w:val="24"/>
                <w:szCs w:val="32"/>
                <w:u w:val="none"/>
              </w:rPr>
              <w:t>地理位置</w:t>
            </w:r>
          </w:p>
        </w:tc>
        <w:tc>
          <w:tcPr>
            <w:tcW w:w="8835" w:type="dxa"/>
            <w:vAlign w:val="center"/>
          </w:tcPr>
          <w:p w14:paraId="28412C5C">
            <w:pPr>
              <w:spacing w:line="360" w:lineRule="auto"/>
              <w:ind w:firstLine="480" w:firstLineChars="200"/>
              <w:rPr>
                <w:rFonts w:hint="default" w:eastAsia="宋体"/>
                <w:sz w:val="24"/>
                <w:szCs w:val="32"/>
                <w:u w:val="none"/>
                <w:lang w:val="en-US" w:eastAsia="zh-CN"/>
              </w:rPr>
            </w:pPr>
            <w:r>
              <w:rPr>
                <w:rFonts w:hint="default" w:ascii="Times New Roman" w:hAnsi="Times New Roman" w:cs="Times New Roman"/>
                <w:color w:val="FF0000"/>
                <w:sz w:val="24"/>
                <w:szCs w:val="24"/>
                <w:u w:val="none"/>
              </w:rPr>
              <w:t>本项目位于</w:t>
            </w:r>
            <w:r>
              <w:rPr>
                <w:rFonts w:hint="default" w:ascii="Times New Roman" w:hAnsi="Times New Roman" w:cs="Times New Roman"/>
                <w:color w:val="FF0000"/>
                <w:sz w:val="24"/>
                <w:szCs w:val="24"/>
                <w:u w:val="none"/>
                <w:lang w:eastAsia="zh-CN"/>
              </w:rPr>
              <w:t>湖南省衡阳市</w:t>
            </w:r>
            <w:r>
              <w:rPr>
                <w:rFonts w:hint="default" w:ascii="Times New Roman" w:hAnsi="Times New Roman" w:cs="Times New Roman"/>
                <w:color w:val="FF0000"/>
                <w:sz w:val="24"/>
                <w:szCs w:val="24"/>
                <w:u w:val="none"/>
                <w:lang w:val="en-US" w:eastAsia="zh-CN"/>
              </w:rPr>
              <w:t>耒阳市</w:t>
            </w:r>
            <w:r>
              <w:rPr>
                <w:rFonts w:hint="eastAsia" w:ascii="宋体" w:hAnsi="宋体" w:cs="宋体"/>
                <w:color w:val="FF0000"/>
                <w:sz w:val="24"/>
                <w:szCs w:val="24"/>
                <w:lang w:val="en-US" w:eastAsia="zh-CN"/>
              </w:rPr>
              <w:t>导子镇、</w:t>
            </w:r>
            <w:r>
              <w:rPr>
                <w:rFonts w:hint="eastAsia" w:ascii="Times New Roman" w:hAnsi="Times New Roman" w:eastAsia="宋体" w:cs="Times New Roman"/>
                <w:color w:val="FF0000"/>
                <w:sz w:val="24"/>
                <w:szCs w:val="24"/>
                <w:u w:val="none"/>
                <w:lang w:val="en-US" w:eastAsia="zh-CN"/>
              </w:rPr>
              <w:t>东湖圩镇</w:t>
            </w:r>
            <w:r>
              <w:rPr>
                <w:rFonts w:hint="default" w:ascii="Times New Roman" w:hAnsi="Times New Roman" w:cs="Times New Roman"/>
                <w:color w:val="FF0000"/>
                <w:sz w:val="24"/>
                <w:szCs w:val="24"/>
                <w:u w:val="none"/>
              </w:rPr>
              <w:t>境内</w:t>
            </w:r>
            <w:r>
              <w:rPr>
                <w:rFonts w:hint="default" w:ascii="Times New Roman" w:hAnsi="Times New Roman" w:cs="Times New Roman"/>
                <w:color w:val="FF0000"/>
                <w:sz w:val="24"/>
                <w:szCs w:val="24"/>
                <w:u w:val="none"/>
                <w:lang w:eastAsia="zh-CN"/>
              </w:rPr>
              <w:t>，</w:t>
            </w:r>
            <w:r>
              <w:rPr>
                <w:rFonts w:hint="default" w:ascii="Times New Roman" w:hAnsi="Times New Roman" w:cs="Times New Roman"/>
                <w:color w:val="FF0000"/>
                <w:sz w:val="24"/>
                <w:szCs w:val="24"/>
                <w:u w:val="none"/>
                <w:lang w:val="en-US" w:eastAsia="zh-CN"/>
              </w:rPr>
              <w:t>地理坐标为东经113°3′12″~东经113°9′27″，北纬26°25′41″~北纬26°31′7″</w:t>
            </w:r>
            <w:r>
              <w:rPr>
                <w:rFonts w:hint="eastAsia" w:cs="Times New Roman"/>
                <w:color w:val="FF0000"/>
                <w:sz w:val="24"/>
                <w:szCs w:val="24"/>
                <w:u w:val="none"/>
                <w:lang w:val="en-US" w:eastAsia="zh-CN"/>
              </w:rPr>
              <w:t>。</w:t>
            </w:r>
          </w:p>
        </w:tc>
      </w:tr>
      <w:tr w14:paraId="3215EE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767A05D2">
            <w:pPr>
              <w:jc w:val="center"/>
              <w:rPr>
                <w:b/>
                <w:bCs/>
                <w:sz w:val="24"/>
                <w:szCs w:val="32"/>
                <w:u w:val="none"/>
              </w:rPr>
            </w:pPr>
            <w:r>
              <w:rPr>
                <w:rFonts w:hint="eastAsia"/>
                <w:b/>
                <w:bCs/>
                <w:sz w:val="24"/>
                <w:szCs w:val="32"/>
                <w:u w:val="none"/>
              </w:rPr>
              <w:t>项目组成及规模</w:t>
            </w:r>
          </w:p>
        </w:tc>
        <w:tc>
          <w:tcPr>
            <w:tcW w:w="8835" w:type="dxa"/>
          </w:tcPr>
          <w:p w14:paraId="1DB8E1D1">
            <w:pPr>
              <w:spacing w:line="408" w:lineRule="auto"/>
              <w:jc w:val="left"/>
              <w:rPr>
                <w:b/>
                <w:bCs/>
                <w:sz w:val="24"/>
                <w:u w:val="none"/>
              </w:rPr>
            </w:pPr>
            <w:r>
              <w:rPr>
                <w:b/>
                <w:bCs/>
                <w:sz w:val="24"/>
                <w:u w:val="none"/>
              </w:rPr>
              <w:t>1</w:t>
            </w:r>
            <w:r>
              <w:rPr>
                <w:rFonts w:hint="eastAsia"/>
                <w:b/>
                <w:bCs/>
                <w:sz w:val="24"/>
                <w:u w:val="none"/>
                <w:lang w:eastAsia="zh-CN"/>
              </w:rPr>
              <w:t>、</w:t>
            </w:r>
            <w:r>
              <w:rPr>
                <w:rFonts w:hint="eastAsia"/>
                <w:b/>
                <w:bCs/>
                <w:sz w:val="24"/>
                <w:u w:val="none"/>
              </w:rPr>
              <w:t>项目由来</w:t>
            </w:r>
          </w:p>
          <w:p w14:paraId="5C8FD7C8">
            <w:pPr>
              <w:spacing w:line="360" w:lineRule="auto"/>
              <w:ind w:firstLine="480" w:firstLineChars="200"/>
              <w:rPr>
                <w:sz w:val="24"/>
                <w:u w:val="none"/>
              </w:rPr>
            </w:pPr>
            <w:r>
              <w:rPr>
                <w:sz w:val="24"/>
                <w:u w:val="none"/>
              </w:rPr>
              <w:t>风力发电为国家“十四五”发展规划中重点鼓励发展的新能源，是实现国家“碳达峰”、“碳中和”的重要方式。</w:t>
            </w:r>
          </w:p>
          <w:p w14:paraId="70DA1D91">
            <w:pPr>
              <w:spacing w:line="360" w:lineRule="auto"/>
              <w:ind w:firstLine="480" w:firstLineChars="200"/>
              <w:rPr>
                <w:sz w:val="24"/>
                <w:u w:val="none"/>
              </w:rPr>
            </w:pPr>
            <w:r>
              <w:rPr>
                <w:rFonts w:hint="eastAsia"/>
                <w:sz w:val="24"/>
                <w:u w:val="none"/>
              </w:rPr>
              <w:t>耒阳国电投风力发电有限公司是国家电投集团广东电力有限公司的控股子公司，于2022年1</w:t>
            </w:r>
            <w:r>
              <w:rPr>
                <w:rFonts w:hint="eastAsia"/>
                <w:sz w:val="24"/>
                <w:u w:val="none"/>
                <w:lang w:val="en-US" w:eastAsia="zh-CN"/>
              </w:rPr>
              <w:t>2</w:t>
            </w:r>
            <w:r>
              <w:rPr>
                <w:rFonts w:hint="eastAsia"/>
                <w:sz w:val="24"/>
                <w:u w:val="none"/>
              </w:rPr>
              <w:t>月2日在耒阳市场监督管理局注册成立，业务涉及气电、风电、光伏、综合智慧能源、储能及市场售电。目前，国家电投集团广东电力有限公司已投资建设全国最大海上风电基地的揭阳风电项目、全球最大的综合智慧能源在建项目—珠海综合智慧能源项目，在珠三角地区拥有300万千瓦天然气热电联产项目，近期建成及核准的电力项目装机容量已达673.27万千瓦；并联合知名企业与高校（宁德时代、华为、上海交大、天津大学等），申请了科技部国家技术创新中心。公司聚焦“2035一流战略”，定位先进能源技术开发商、清洁低碳能源供应商、能源生态系统集成商，致力于建设具有全球竞争力的世界一流清洁能源企业。</w:t>
            </w:r>
            <w:r>
              <w:rPr>
                <w:rFonts w:hint="eastAsia"/>
                <w:sz w:val="24"/>
                <w:u w:val="none"/>
                <w:lang w:val="en-US" w:eastAsia="zh-CN"/>
              </w:rPr>
              <w:t>目前，</w:t>
            </w:r>
            <w:r>
              <w:rPr>
                <w:rFonts w:hint="eastAsia"/>
                <w:sz w:val="24"/>
                <w:u w:val="none"/>
              </w:rPr>
              <w:t>耒阳国电投风力发电有限公司</w:t>
            </w:r>
            <w:r>
              <w:rPr>
                <w:rFonts w:hint="eastAsia"/>
                <w:sz w:val="24"/>
                <w:u w:val="none"/>
                <w:lang w:val="en-US" w:eastAsia="zh-CN"/>
              </w:rPr>
              <w:t>旗下暂无建成运营的风电场，也无相关环保投诉等问题。</w:t>
            </w:r>
          </w:p>
          <w:p w14:paraId="727EC15C">
            <w:pPr>
              <w:spacing w:line="360" w:lineRule="auto"/>
              <w:ind w:firstLine="480" w:firstLineChars="200"/>
              <w:rPr>
                <w:rFonts w:hint="eastAsia"/>
                <w:color w:val="FF0000"/>
                <w:sz w:val="24"/>
                <w:szCs w:val="32"/>
                <w:u w:val="none"/>
              </w:rPr>
            </w:pPr>
            <w:bookmarkStart w:id="11" w:name="_Hlk119056907"/>
            <w:r>
              <w:rPr>
                <w:rFonts w:hint="eastAsia" w:cs="Times New Roman"/>
                <w:color w:val="FF0000"/>
                <w:sz w:val="24"/>
                <w:u w:val="none"/>
                <w:lang w:val="en-US" w:eastAsia="zh-CN"/>
              </w:rPr>
              <w:t>导子东湖</w:t>
            </w:r>
            <w:r>
              <w:rPr>
                <w:rFonts w:hint="default" w:ascii="Times New Roman" w:hAnsi="Times New Roman" w:cs="Times New Roman"/>
                <w:color w:val="FF0000"/>
                <w:sz w:val="24"/>
                <w:u w:val="none"/>
              </w:rPr>
              <w:t>风电场</w:t>
            </w:r>
            <w:bookmarkStart w:id="12" w:name="_Hlk119058889"/>
            <w:r>
              <w:rPr>
                <w:rFonts w:hint="eastAsia" w:cs="Times New Roman"/>
                <w:color w:val="FF0000"/>
                <w:sz w:val="24"/>
                <w:u w:val="none"/>
                <w:lang w:val="en-US" w:eastAsia="zh-CN"/>
              </w:rPr>
              <w:t>项目</w:t>
            </w:r>
            <w:r>
              <w:rPr>
                <w:rFonts w:hint="default" w:ascii="Times New Roman" w:hAnsi="Times New Roman" w:cs="Times New Roman"/>
                <w:color w:val="FF0000"/>
                <w:sz w:val="24"/>
                <w:u w:val="none"/>
              </w:rPr>
              <w:t>位于</w:t>
            </w:r>
            <w:r>
              <w:rPr>
                <w:rFonts w:hint="default" w:ascii="Times New Roman" w:hAnsi="Times New Roman" w:cs="Times New Roman"/>
                <w:color w:val="FF0000"/>
                <w:sz w:val="24"/>
                <w:u w:val="none"/>
                <w:lang w:eastAsia="zh-CN"/>
              </w:rPr>
              <w:t>湖南省衡阳市耒阳市</w:t>
            </w:r>
            <w:r>
              <w:rPr>
                <w:rFonts w:hint="eastAsia" w:cs="Times New Roman"/>
                <w:color w:val="FF0000"/>
                <w:sz w:val="24"/>
                <w:u w:val="none"/>
                <w:lang w:eastAsia="zh-CN"/>
              </w:rPr>
              <w:t>导子镇</w:t>
            </w:r>
            <w:r>
              <w:rPr>
                <w:rFonts w:hint="eastAsia" w:ascii="Times New Roman" w:hAnsi="Times New Roman" w:eastAsia="宋体" w:cs="Times New Roman"/>
                <w:color w:val="FF0000"/>
                <w:sz w:val="24"/>
                <w:szCs w:val="24"/>
                <w:u w:val="none"/>
                <w:lang w:val="en-US" w:eastAsia="zh-CN"/>
              </w:rPr>
              <w:t>董溪村、</w:t>
            </w:r>
            <w:r>
              <w:rPr>
                <w:rFonts w:hint="eastAsia" w:cs="Times New Roman"/>
                <w:color w:val="FF0000"/>
                <w:sz w:val="24"/>
                <w:szCs w:val="24"/>
                <w:u w:val="none"/>
                <w:lang w:val="en-US" w:eastAsia="zh-CN"/>
              </w:rPr>
              <w:t>坳山村</w:t>
            </w:r>
            <w:r>
              <w:rPr>
                <w:rFonts w:hint="eastAsia" w:ascii="Times New Roman" w:hAnsi="Times New Roman" w:eastAsia="宋体" w:cs="Times New Roman"/>
                <w:color w:val="FF0000"/>
                <w:sz w:val="24"/>
                <w:szCs w:val="24"/>
                <w:u w:val="none"/>
                <w:lang w:val="en-US" w:eastAsia="zh-CN"/>
              </w:rPr>
              <w:t>、柳扶村、紫江村，东湖圩镇桥</w:t>
            </w:r>
            <w:r>
              <w:rPr>
                <w:rFonts w:hint="eastAsia" w:cs="Times New Roman"/>
                <w:color w:val="FF0000"/>
                <w:sz w:val="24"/>
                <w:szCs w:val="24"/>
                <w:u w:val="none"/>
                <w:lang w:val="en-US" w:eastAsia="zh-CN"/>
              </w:rPr>
              <w:t>桥</w:t>
            </w:r>
            <w:r>
              <w:rPr>
                <w:rFonts w:hint="eastAsia" w:ascii="Times New Roman" w:hAnsi="Times New Roman" w:eastAsia="宋体" w:cs="Times New Roman"/>
                <w:color w:val="FF0000"/>
                <w:sz w:val="24"/>
                <w:szCs w:val="24"/>
                <w:u w:val="none"/>
                <w:lang w:val="en-US" w:eastAsia="zh-CN"/>
              </w:rPr>
              <w:t>村、枫林村、</w:t>
            </w:r>
            <w:r>
              <w:rPr>
                <w:rFonts w:hint="eastAsia" w:cs="Times New Roman"/>
                <w:color w:val="FF0000"/>
                <w:sz w:val="24"/>
                <w:szCs w:val="24"/>
                <w:u w:val="none"/>
                <w:lang w:val="en-US" w:eastAsia="zh-CN"/>
              </w:rPr>
              <w:t>上石羔村</w:t>
            </w:r>
            <w:r>
              <w:rPr>
                <w:rFonts w:hint="eastAsia" w:ascii="Times New Roman" w:hAnsi="Times New Roman" w:eastAsia="宋体" w:cs="Times New Roman"/>
                <w:color w:val="FF0000"/>
                <w:sz w:val="24"/>
                <w:szCs w:val="24"/>
                <w:u w:val="none"/>
                <w:lang w:val="en-US" w:eastAsia="zh-CN"/>
              </w:rPr>
              <w:t>、</w:t>
            </w:r>
            <w:r>
              <w:rPr>
                <w:rFonts w:hint="eastAsia" w:cs="Times New Roman"/>
                <w:color w:val="FF0000"/>
                <w:sz w:val="24"/>
                <w:szCs w:val="24"/>
                <w:u w:val="none"/>
                <w:lang w:val="en-US" w:eastAsia="zh-CN"/>
              </w:rPr>
              <w:t>小山村、</w:t>
            </w:r>
            <w:r>
              <w:rPr>
                <w:rFonts w:hint="eastAsia" w:ascii="Times New Roman" w:hAnsi="Times New Roman" w:eastAsia="宋体" w:cs="Times New Roman"/>
                <w:color w:val="FF0000"/>
                <w:sz w:val="24"/>
                <w:szCs w:val="24"/>
                <w:u w:val="none"/>
                <w:lang w:val="en-US" w:eastAsia="zh-CN"/>
              </w:rPr>
              <w:t>泉山村</w:t>
            </w:r>
            <w:r>
              <w:rPr>
                <w:rFonts w:hint="default" w:ascii="Times New Roman" w:hAnsi="Times New Roman" w:cs="Times New Roman"/>
                <w:color w:val="FF0000"/>
                <w:sz w:val="24"/>
                <w:szCs w:val="24"/>
                <w:u w:val="none"/>
                <w:lang w:val="en-US" w:eastAsia="zh-CN"/>
              </w:rPr>
              <w:t>等</w:t>
            </w:r>
            <w:r>
              <w:rPr>
                <w:rFonts w:hint="default" w:ascii="Times New Roman" w:hAnsi="Times New Roman" w:cs="Times New Roman"/>
                <w:color w:val="FF0000"/>
                <w:sz w:val="24"/>
                <w:szCs w:val="24"/>
                <w:u w:val="none"/>
              </w:rPr>
              <w:t>境内</w:t>
            </w:r>
            <w:r>
              <w:rPr>
                <w:rFonts w:hint="default" w:ascii="Times New Roman" w:hAnsi="Times New Roman" w:cs="Times New Roman"/>
                <w:color w:val="FF0000"/>
                <w:sz w:val="24"/>
                <w:u w:val="none"/>
              </w:rPr>
              <w:t>，地理坐标介于</w:t>
            </w:r>
            <w:r>
              <w:rPr>
                <w:rFonts w:hint="default" w:ascii="Times New Roman" w:hAnsi="Times New Roman" w:cs="Times New Roman"/>
                <w:color w:val="FF0000"/>
                <w:sz w:val="24"/>
                <w:u w:val="none"/>
                <w:lang w:val="en-US" w:eastAsia="zh-CN"/>
              </w:rPr>
              <w:t>东经113°3′12″~东经113°9′27″，北纬26°25′41″~北纬26°31′7″</w:t>
            </w:r>
            <w:bookmarkEnd w:id="11"/>
            <w:bookmarkEnd w:id="12"/>
            <w:r>
              <w:rPr>
                <w:rFonts w:hint="default" w:ascii="Times New Roman" w:hAnsi="Times New Roman" w:cs="Times New Roman"/>
                <w:color w:val="FF0000"/>
                <w:sz w:val="24"/>
                <w:u w:val="none"/>
              </w:rPr>
              <w:t>，海拔高度约</w:t>
            </w:r>
            <w:r>
              <w:rPr>
                <w:rFonts w:hint="default" w:ascii="Times New Roman" w:hAnsi="Times New Roman" w:cs="Times New Roman"/>
                <w:color w:val="FF0000"/>
                <w:sz w:val="24"/>
                <w:u w:val="none"/>
                <w:lang w:val="en-US" w:eastAsia="zh-CN"/>
              </w:rPr>
              <w:t>450</w:t>
            </w:r>
            <w:r>
              <w:rPr>
                <w:rFonts w:hint="default" w:ascii="Times New Roman" w:hAnsi="Times New Roman" w:cs="Times New Roman"/>
                <w:color w:val="FF0000"/>
                <w:sz w:val="24"/>
                <w:u w:val="none"/>
              </w:rPr>
              <w:t>m～</w:t>
            </w:r>
            <w:r>
              <w:rPr>
                <w:rFonts w:hint="default" w:ascii="Times New Roman" w:hAnsi="Times New Roman" w:cs="Times New Roman"/>
                <w:color w:val="FF0000"/>
                <w:sz w:val="24"/>
                <w:u w:val="none"/>
                <w:lang w:val="en-US" w:eastAsia="zh-CN"/>
              </w:rPr>
              <w:t>65</w:t>
            </w:r>
            <w:r>
              <w:rPr>
                <w:rFonts w:hint="default" w:ascii="Times New Roman" w:hAnsi="Times New Roman" w:cs="Times New Roman"/>
                <w:color w:val="FF0000"/>
                <w:sz w:val="24"/>
                <w:u w:val="none"/>
              </w:rPr>
              <w:t>0m。</w:t>
            </w:r>
            <w:bookmarkStart w:id="13" w:name="_Hlk119058901"/>
            <w:r>
              <w:rPr>
                <w:rFonts w:hint="eastAsia"/>
                <w:color w:val="FF0000"/>
                <w:sz w:val="24"/>
                <w:szCs w:val="32"/>
                <w:u w:val="none"/>
              </w:rPr>
              <w:t>拟安装</w:t>
            </w:r>
            <w:r>
              <w:rPr>
                <w:rFonts w:hint="eastAsia"/>
                <w:color w:val="FF0000"/>
                <w:sz w:val="24"/>
                <w:szCs w:val="32"/>
                <w:u w:val="none"/>
                <w:lang w:val="en-US" w:eastAsia="zh-CN"/>
              </w:rPr>
              <w:t>16</w:t>
            </w:r>
            <w:r>
              <w:rPr>
                <w:rFonts w:hint="eastAsia"/>
                <w:color w:val="FF0000"/>
                <w:sz w:val="24"/>
                <w:szCs w:val="32"/>
                <w:u w:val="none"/>
              </w:rPr>
              <w:t>台</w:t>
            </w:r>
            <w:r>
              <w:rPr>
                <w:rFonts w:hint="eastAsia"/>
                <w:color w:val="FF0000"/>
                <w:sz w:val="24"/>
                <w:szCs w:val="32"/>
                <w:u w:val="none"/>
                <w:lang w:val="en-US" w:eastAsia="zh-CN"/>
              </w:rPr>
              <w:t>单机容量5MW的WTG5.0-200型风机，轮毂高度115米，</w:t>
            </w:r>
            <w:r>
              <w:rPr>
                <w:rFonts w:hint="eastAsia"/>
                <w:color w:val="FF0000"/>
                <w:sz w:val="24"/>
                <w:szCs w:val="32"/>
                <w:u w:val="none"/>
              </w:rPr>
              <w:t>总装机容量为</w:t>
            </w:r>
            <w:r>
              <w:rPr>
                <w:rFonts w:hint="eastAsia"/>
                <w:color w:val="FF0000"/>
                <w:sz w:val="24"/>
                <w:szCs w:val="32"/>
                <w:u w:val="none"/>
                <w:lang w:val="en-US" w:eastAsia="zh-CN"/>
              </w:rPr>
              <w:t>8</w:t>
            </w:r>
            <w:r>
              <w:rPr>
                <w:rFonts w:hint="eastAsia"/>
                <w:color w:val="FF0000"/>
                <w:sz w:val="24"/>
                <w:szCs w:val="32"/>
                <w:u w:val="none"/>
              </w:rPr>
              <w:t>0MW，预计</w:t>
            </w:r>
            <w:r>
              <w:rPr>
                <w:rFonts w:hint="eastAsia"/>
                <w:color w:val="FF0000"/>
                <w:sz w:val="24"/>
                <w:szCs w:val="32"/>
                <w:u w:val="none"/>
                <w:lang w:val="en-US" w:eastAsia="zh-CN"/>
              </w:rPr>
              <w:t>年理论发电量为210.31GW.h，</w:t>
            </w:r>
            <w:r>
              <w:rPr>
                <w:rFonts w:hint="eastAsia"/>
                <w:color w:val="FF0000"/>
                <w:sz w:val="24"/>
                <w:szCs w:val="32"/>
                <w:u w:val="none"/>
              </w:rPr>
              <w:t>年上网电量为152.64GW</w:t>
            </w:r>
            <w:r>
              <w:rPr>
                <w:rFonts w:hint="eastAsia"/>
                <w:color w:val="FF0000"/>
                <w:sz w:val="24"/>
                <w:szCs w:val="32"/>
                <w:u w:val="none"/>
                <w:lang w:val="en-US" w:eastAsia="zh-CN"/>
              </w:rPr>
              <w:t>.</w:t>
            </w:r>
            <w:r>
              <w:rPr>
                <w:rFonts w:hint="eastAsia"/>
                <w:color w:val="FF0000"/>
                <w:sz w:val="24"/>
                <w:szCs w:val="32"/>
                <w:u w:val="none"/>
              </w:rPr>
              <w:t>h，年等效满负荷小时数为1908h，容量系数为0.218；</w:t>
            </w:r>
            <w:r>
              <w:rPr>
                <w:color w:val="FF0000"/>
                <w:sz w:val="24"/>
                <w:u w:val="none"/>
              </w:rPr>
              <w:t>拟</w:t>
            </w:r>
            <w:bookmarkEnd w:id="13"/>
            <w:r>
              <w:rPr>
                <w:rFonts w:hint="eastAsia"/>
                <w:color w:val="FF0000"/>
                <w:sz w:val="24"/>
                <w:szCs w:val="32"/>
                <w:u w:val="none"/>
              </w:rPr>
              <w:t>新建一座220kV升压站，</w:t>
            </w:r>
            <w:r>
              <w:rPr>
                <w:rFonts w:hint="eastAsia"/>
                <w:color w:val="FF0000"/>
                <w:sz w:val="24"/>
                <w:szCs w:val="32"/>
                <w:u w:val="none"/>
                <w:lang w:val="en-US" w:eastAsia="zh-CN"/>
              </w:rPr>
              <w:t>各</w:t>
            </w:r>
            <w:r>
              <w:rPr>
                <w:rFonts w:hint="eastAsia"/>
                <w:color w:val="FF0000"/>
                <w:sz w:val="24"/>
                <w:szCs w:val="32"/>
                <w:u w:val="none"/>
              </w:rPr>
              <w:t>风机以35kV集电线路接入升压站。</w:t>
            </w:r>
          </w:p>
          <w:p w14:paraId="20B72F23">
            <w:pPr>
              <w:spacing w:line="360" w:lineRule="auto"/>
              <w:ind w:firstLine="480" w:firstLineChars="200"/>
              <w:rPr>
                <w:rFonts w:hint="default"/>
                <w:sz w:val="24"/>
                <w:szCs w:val="32"/>
                <w:u w:val="none"/>
                <w:lang w:val="en-US" w:eastAsia="zh-CN"/>
              </w:rPr>
            </w:pPr>
            <w:r>
              <w:rPr>
                <w:rFonts w:hint="eastAsia"/>
                <w:sz w:val="24"/>
                <w:szCs w:val="32"/>
                <w:u w:val="none"/>
                <w:lang w:val="en-US" w:eastAsia="zh-CN"/>
              </w:rPr>
              <w:t>项目前期已办理的手续具体如下：</w:t>
            </w:r>
          </w:p>
          <w:p w14:paraId="1498EE1C">
            <w:pPr>
              <w:numPr>
                <w:ilvl w:val="0"/>
                <w:numId w:val="4"/>
              </w:numPr>
              <w:spacing w:line="360" w:lineRule="auto"/>
              <w:ind w:firstLine="480" w:firstLineChars="200"/>
              <w:rPr>
                <w:rFonts w:hint="eastAsia"/>
                <w:sz w:val="24"/>
                <w:u w:val="none"/>
                <w:lang w:eastAsia="zh-CN"/>
              </w:rPr>
            </w:pPr>
            <w:r>
              <w:rPr>
                <w:rFonts w:hint="eastAsia"/>
                <w:sz w:val="24"/>
                <w:szCs w:val="32"/>
                <w:u w:val="none"/>
                <w:lang w:val="en-US" w:eastAsia="zh-CN"/>
              </w:rPr>
              <w:t>与地方政府的开发协议：2022年9月，</w:t>
            </w:r>
            <w:r>
              <w:rPr>
                <w:rFonts w:hint="eastAsia"/>
                <w:sz w:val="24"/>
                <w:u w:val="none"/>
              </w:rPr>
              <w:t>国家电投集团广东电力有限公司</w:t>
            </w:r>
            <w:r>
              <w:rPr>
                <w:rFonts w:hint="eastAsia"/>
                <w:sz w:val="24"/>
                <w:u w:val="none"/>
                <w:lang w:eastAsia="zh-CN"/>
              </w:rPr>
              <w:t>（</w:t>
            </w:r>
            <w:r>
              <w:rPr>
                <w:rFonts w:hint="eastAsia"/>
                <w:sz w:val="24"/>
                <w:u w:val="none"/>
              </w:rPr>
              <w:t>耒阳国电投风力发电有限公司的</w:t>
            </w:r>
            <w:r>
              <w:rPr>
                <w:rFonts w:hint="eastAsia"/>
                <w:sz w:val="24"/>
                <w:u w:val="none"/>
                <w:lang w:val="en-US" w:eastAsia="zh-CN"/>
              </w:rPr>
              <w:t>母</w:t>
            </w:r>
            <w:r>
              <w:rPr>
                <w:rFonts w:hint="eastAsia"/>
                <w:sz w:val="24"/>
                <w:u w:val="none"/>
              </w:rPr>
              <w:t>公司</w:t>
            </w:r>
            <w:r>
              <w:rPr>
                <w:rFonts w:hint="eastAsia"/>
                <w:sz w:val="24"/>
                <w:u w:val="none"/>
                <w:lang w:eastAsia="zh-CN"/>
              </w:rPr>
              <w:t>）</w:t>
            </w:r>
            <w:r>
              <w:rPr>
                <w:rFonts w:hint="eastAsia"/>
                <w:sz w:val="24"/>
                <w:u w:val="none"/>
                <w:lang w:val="en-US" w:eastAsia="zh-CN"/>
              </w:rPr>
              <w:t>与耒阳市人民政府签订风电项目开发协议（见附件3），明确项目选址于耒阳市导子镇和东湖圩镇等区域，总装机容量为80MW。</w:t>
            </w:r>
          </w:p>
          <w:p w14:paraId="2E321FBE">
            <w:pPr>
              <w:numPr>
                <w:ilvl w:val="0"/>
                <w:numId w:val="0"/>
              </w:numPr>
              <w:spacing w:line="360" w:lineRule="auto"/>
              <w:ind w:firstLine="480" w:firstLineChars="200"/>
              <w:rPr>
                <w:rFonts w:hint="default"/>
                <w:sz w:val="24"/>
                <w:szCs w:val="32"/>
                <w:u w:val="none"/>
                <w:lang w:val="en-US" w:eastAsia="zh-CN"/>
              </w:rPr>
            </w:pPr>
            <w:r>
              <w:rPr>
                <w:rFonts w:hint="eastAsia"/>
                <w:sz w:val="24"/>
                <w:szCs w:val="32"/>
                <w:u w:val="none"/>
                <w:lang w:val="en-US" w:eastAsia="zh-CN"/>
              </w:rPr>
              <w:t>（2）项目核准：2023年5月11日，湖南省发展和改革委员会出具《关于核准耒阳市导子东湖风电场项目的批复》（湘发改许[2023]38号，见附件4），同意建设耒阳市导子东湖风电场项目，项目单位为耒阳国电投风力发电有限公司，装机容量80MW。</w:t>
            </w:r>
          </w:p>
          <w:p w14:paraId="68F61F4C">
            <w:pPr>
              <w:numPr>
                <w:ilvl w:val="0"/>
                <w:numId w:val="0"/>
              </w:numPr>
              <w:spacing w:line="360" w:lineRule="auto"/>
              <w:ind w:firstLine="480" w:firstLineChars="200"/>
              <w:rPr>
                <w:rFonts w:hint="eastAsia"/>
                <w:sz w:val="24"/>
                <w:szCs w:val="32"/>
                <w:u w:val="none"/>
                <w:lang w:val="en-US" w:eastAsia="zh-CN"/>
              </w:rPr>
            </w:pPr>
            <w:r>
              <w:rPr>
                <w:rFonts w:hint="eastAsia"/>
                <w:sz w:val="24"/>
                <w:szCs w:val="32"/>
                <w:u w:val="none"/>
                <w:lang w:val="en-US" w:eastAsia="zh-CN"/>
              </w:rPr>
              <w:t>（3）用地：2022年11月21日，衡阳市自然资源和规划局出具《关于耒阳市导子东湖风电场项目用地预审与选址初审意见的报告》（衡资源规划报[2022]15号，见附件5），明确项目用地全部为农用地，不涉及耕地和永久基本农田；2023年2月1日，湖南省自然资源厅出具《建设项目用地预审与选址意见书》（用字第430000202300012号，见附件6），明确项目拟用地面积2.1616公顷，全部为农用地，不涉及耕地和永久基本农田，项目建设符合国土空间用途管制要求。</w:t>
            </w:r>
          </w:p>
          <w:p w14:paraId="37A9E72E">
            <w:pPr>
              <w:spacing w:line="360" w:lineRule="auto"/>
              <w:ind w:firstLine="480" w:firstLineChars="200"/>
              <w:rPr>
                <w:rFonts w:hint="default"/>
                <w:color w:val="FF0000"/>
                <w:sz w:val="24"/>
                <w:szCs w:val="32"/>
                <w:u w:val="none"/>
                <w:lang w:val="en-US" w:eastAsia="zh-CN"/>
              </w:rPr>
            </w:pPr>
            <w:r>
              <w:rPr>
                <w:rFonts w:hint="eastAsia"/>
                <w:sz w:val="24"/>
                <w:szCs w:val="32"/>
                <w:u w:val="none"/>
                <w:lang w:val="en-US" w:eastAsia="zh-CN"/>
              </w:rPr>
              <w:t>（4）林业：2022年4月2日，耒阳市林业局出具《关于耒阳市导子东湖风电场项目选址意见》（见附件7），明确项目选址不占用公益林、天然林及自然保护林；</w:t>
            </w:r>
            <w:r>
              <w:rPr>
                <w:rFonts w:hint="eastAsia"/>
                <w:color w:val="FF0000"/>
                <w:sz w:val="24"/>
                <w:szCs w:val="32"/>
                <w:u w:val="none"/>
                <w:lang w:val="en-US" w:eastAsia="zh-CN"/>
              </w:rPr>
              <w:t>2023年6月29日至7月1日，《耒阳市导子东湖风电场项目使用林地可行性研究报告》通过专家评审（专家评审意见见附件16），专家意见明确项目区没有古树名木，没有国家和省级重点保护的野生植物及生境，没有国家和省级重点保护的野生动物及栖息地，项目建设对当地植被群落、生物多样性等影响较小，项目建成后恢复必要的林业生产条件和进行植被恢复困难不大；2023年12月30日，湖南省林业局出具《使用林地审核同意书》（湘林地许准[2023]3865号，见附件22），同意项目使用林地。</w:t>
            </w:r>
          </w:p>
          <w:p w14:paraId="696FEC94">
            <w:pPr>
              <w:spacing w:line="360" w:lineRule="auto"/>
              <w:ind w:firstLine="480" w:firstLineChars="200"/>
              <w:rPr>
                <w:rFonts w:hint="default"/>
                <w:sz w:val="24"/>
                <w:szCs w:val="32"/>
                <w:u w:val="none"/>
                <w:lang w:val="en-US" w:eastAsia="zh-CN"/>
              </w:rPr>
            </w:pPr>
            <w:r>
              <w:rPr>
                <w:rFonts w:hint="eastAsia"/>
                <w:sz w:val="24"/>
                <w:szCs w:val="32"/>
                <w:u w:val="none"/>
                <w:lang w:val="en-US" w:eastAsia="zh-CN"/>
              </w:rPr>
              <w:t>（5）环保：2022年4月1日，衡阳市生态环境局耒阳分局出具《关于耒阳市导子东湖风电场项目自然保护区选址的查询意见》（见附件8），明确项目选址未涉及自然保护区及水源保护区。</w:t>
            </w:r>
          </w:p>
          <w:p w14:paraId="4584383C">
            <w:pPr>
              <w:spacing w:line="360" w:lineRule="auto"/>
              <w:ind w:firstLine="480" w:firstLineChars="200"/>
              <w:rPr>
                <w:rFonts w:hint="default"/>
                <w:sz w:val="24"/>
                <w:szCs w:val="32"/>
                <w:u w:val="none"/>
                <w:lang w:val="en-US" w:eastAsia="zh-CN"/>
              </w:rPr>
            </w:pPr>
            <w:r>
              <w:rPr>
                <w:rFonts w:hint="eastAsia"/>
                <w:sz w:val="24"/>
                <w:szCs w:val="32"/>
                <w:u w:val="none"/>
                <w:lang w:val="en-US" w:eastAsia="zh-CN"/>
              </w:rPr>
              <w:t>（6）水利：2022年4月2日，耒阳市水利局出具《关于对&lt;耒阳市导子东湖风电场项目选址意见的请示&gt;的复函》（耒水函[2022]13号，见附件9），原则同意项目选址；2023年9月，湖南省水利厅出具《关于耒阳市导子东湖风电场项目水土保持方案的批复》（湘水函[2023]380号，见附件10），同意项目的水土保持方案。</w:t>
            </w:r>
          </w:p>
          <w:p w14:paraId="7375EAF7">
            <w:pPr>
              <w:spacing w:line="360" w:lineRule="auto"/>
              <w:ind w:firstLine="480" w:firstLineChars="200"/>
              <w:rPr>
                <w:rFonts w:hint="eastAsia"/>
                <w:sz w:val="24"/>
                <w:szCs w:val="32"/>
                <w:u w:val="none"/>
                <w:lang w:val="en-US" w:eastAsia="zh-CN"/>
              </w:rPr>
            </w:pPr>
            <w:r>
              <w:rPr>
                <w:rFonts w:hint="eastAsia"/>
                <w:sz w:val="24"/>
                <w:szCs w:val="32"/>
                <w:u w:val="none"/>
                <w:lang w:val="en-US" w:eastAsia="zh-CN"/>
              </w:rPr>
              <w:t>（7）其他：2022年4月1日，耒阳市文化旅游广电体育局出具《关于回复国电投实施耒阳市导子东湖风电场项目选址意见的函》（见附件11），原则同意项目规划选址；2022年4月6日，中国人民解放军湖南省耒阳市人民武装部出具《关于对&lt;关于耒阳市导子东湖风电场项目选址意见的请示&gt;的复函》（见附件12），明确项目区域不涉及军事设施保护，原则同意项目规划选址；2022年12月30日，湖南省自然资源厅出具《关于耒阳导子东湖风电场建设项目压覆重要矿产资源查询情况的说明》（见附件13），明确经外扩200米查询，项目查询范围与矿产资源总体规划规划区块、矿业权、矿产地无重叠，未压覆重要矿产资源；2023年1月2日，《耒阳市导子东湖风电场项目建设场地地质灾害性评估报告》通过专家评审（专家评审意见见附件14），确认项目建设场地适宜；</w:t>
            </w:r>
            <w:r>
              <w:rPr>
                <w:rFonts w:hint="eastAsia"/>
                <w:color w:val="FF0000"/>
                <w:sz w:val="24"/>
                <w:szCs w:val="32"/>
                <w:u w:val="none"/>
                <w:lang w:val="en-US" w:eastAsia="zh-CN"/>
              </w:rPr>
              <w:t>2023年3月30日，《耒阳市导子东湖风电场项目对鸟类影响评价专题报告》（以下全文简称鸟评报告）通过专家评审（专家评审意见附件15），确认项目区域不属于湖南省重要保护候鸟迁徙通道范围。</w:t>
            </w:r>
          </w:p>
          <w:p w14:paraId="6189CF5A">
            <w:pPr>
              <w:spacing w:line="360" w:lineRule="auto"/>
              <w:ind w:firstLine="480" w:firstLineChars="200"/>
              <w:rPr>
                <w:sz w:val="24"/>
                <w:szCs w:val="32"/>
                <w:u w:val="none"/>
              </w:rPr>
            </w:pPr>
            <w:r>
              <w:rPr>
                <w:rFonts w:hint="eastAsia"/>
                <w:sz w:val="24"/>
                <w:szCs w:val="32"/>
                <w:u w:val="none"/>
              </w:rPr>
              <w:t>根据中华人民共和国环境影响保护法和国务院《建设项目环境保护管理条例》的要求，本项目应进行环境影响评价。</w:t>
            </w:r>
            <w:r>
              <w:rPr>
                <w:rFonts w:hint="eastAsia"/>
                <w:sz w:val="24"/>
                <w:szCs w:val="32"/>
                <w:u w:val="none"/>
                <w:lang w:val="en-US" w:eastAsia="zh-CN"/>
              </w:rPr>
              <w:t>根据耒阳市各部门的选址意见、相关资料以及现场踏勘结果，项目不涉及国家公园、自然保护区、风景名胜区、世界文化和自然遗产地、饮用水水源保护区等特殊敏感区，也不涉及以居住、医疗卫生、文化教育、科研、行政办公为主要功能的区域和文物保护单位等一般敏感区，经对照</w:t>
            </w:r>
            <w:r>
              <w:rPr>
                <w:rFonts w:hint="eastAsia"/>
                <w:sz w:val="24"/>
                <w:szCs w:val="32"/>
                <w:u w:val="none"/>
              </w:rPr>
              <w:t>《建设项目环境影响评价分类管理名录》（2021年版），本项目属于“第四十一大类 电力、热力生产和供应业”、“陆上风力发电4415”</w:t>
            </w:r>
            <w:r>
              <w:rPr>
                <w:rFonts w:hint="eastAsia"/>
                <w:sz w:val="24"/>
                <w:szCs w:val="32"/>
                <w:u w:val="none"/>
                <w:lang w:val="en-US" w:eastAsia="zh-CN"/>
              </w:rPr>
              <w:t>中的</w:t>
            </w:r>
            <w:r>
              <w:rPr>
                <w:rFonts w:hint="eastAsia"/>
                <w:sz w:val="24"/>
                <w:szCs w:val="32"/>
                <w:u w:val="none"/>
              </w:rPr>
              <w:t>“其他风力发电”，应编制环境影响报告表。</w:t>
            </w:r>
            <w:r>
              <w:rPr>
                <w:rFonts w:hint="eastAsia"/>
                <w:sz w:val="24"/>
                <w:szCs w:val="32"/>
                <w:u w:val="none"/>
                <w:lang w:val="en-US" w:eastAsia="zh-CN"/>
              </w:rPr>
              <w:t>因此，</w:t>
            </w:r>
            <w:r>
              <w:rPr>
                <w:rFonts w:hint="eastAsia"/>
                <w:sz w:val="24"/>
                <w:szCs w:val="32"/>
                <w:u w:val="none"/>
                <w:lang w:eastAsia="zh-CN"/>
              </w:rPr>
              <w:t>耒阳国电投风力发电有限公司</w:t>
            </w:r>
            <w:r>
              <w:rPr>
                <w:rFonts w:hint="eastAsia"/>
                <w:sz w:val="24"/>
                <w:szCs w:val="32"/>
                <w:u w:val="none"/>
              </w:rPr>
              <w:t>委托湖南</w:t>
            </w:r>
            <w:r>
              <w:rPr>
                <w:rFonts w:hint="eastAsia"/>
                <w:sz w:val="24"/>
                <w:szCs w:val="32"/>
                <w:u w:val="none"/>
                <w:lang w:val="en-US" w:eastAsia="zh-CN"/>
              </w:rPr>
              <w:t>道和环保科技有限公司（以下简称我公司）</w:t>
            </w:r>
            <w:r>
              <w:rPr>
                <w:rFonts w:hint="eastAsia"/>
                <w:sz w:val="24"/>
                <w:szCs w:val="32"/>
                <w:u w:val="none"/>
              </w:rPr>
              <w:t>承担</w:t>
            </w:r>
            <w:r>
              <w:rPr>
                <w:rFonts w:hint="eastAsia"/>
                <w:sz w:val="24"/>
                <w:szCs w:val="32"/>
                <w:u w:val="none"/>
                <w:lang w:eastAsia="zh-CN"/>
              </w:rPr>
              <w:t>“</w:t>
            </w:r>
            <w:r>
              <w:rPr>
                <w:rFonts w:hint="eastAsia"/>
                <w:sz w:val="24"/>
                <w:szCs w:val="32"/>
                <w:u w:val="none"/>
                <w:lang w:val="en-US" w:eastAsia="zh-CN"/>
              </w:rPr>
              <w:t>耒阳市导子东湖风电场项目</w:t>
            </w:r>
            <w:r>
              <w:rPr>
                <w:rFonts w:hint="eastAsia"/>
                <w:sz w:val="24"/>
                <w:szCs w:val="32"/>
                <w:u w:val="none"/>
                <w:lang w:eastAsia="zh-CN"/>
              </w:rPr>
              <w:t>”</w:t>
            </w:r>
            <w:r>
              <w:rPr>
                <w:rFonts w:hint="eastAsia"/>
                <w:sz w:val="24"/>
                <w:szCs w:val="32"/>
                <w:u w:val="none"/>
              </w:rPr>
              <w:t>的环境影响评价工作（见附件1）。接受委托后，我公司工作人员通过现场踏勘调查、工程分析，根据导则、规范要求，结合工程的实际情况、区域环境质量现状及专题报告相关内容，编制了本项目环境影响报告表。</w:t>
            </w:r>
            <w:bookmarkStart w:id="14" w:name="_Toc14868"/>
            <w:bookmarkStart w:id="15" w:name="_Toc16516"/>
            <w:bookmarkStart w:id="16" w:name="_Toc1038"/>
            <w:bookmarkStart w:id="17" w:name="_Toc1136"/>
          </w:p>
          <w:bookmarkEnd w:id="14"/>
          <w:bookmarkEnd w:id="15"/>
          <w:bookmarkEnd w:id="16"/>
          <w:bookmarkEnd w:id="17"/>
          <w:p w14:paraId="7060AFBB">
            <w:pPr>
              <w:spacing w:line="408" w:lineRule="auto"/>
              <w:jc w:val="left"/>
              <w:rPr>
                <w:b/>
                <w:bCs/>
                <w:sz w:val="24"/>
                <w:u w:val="none"/>
              </w:rPr>
            </w:pPr>
            <w:r>
              <w:rPr>
                <w:b/>
                <w:bCs/>
                <w:sz w:val="24"/>
                <w:u w:val="none"/>
              </w:rPr>
              <w:t>2</w:t>
            </w:r>
            <w:r>
              <w:rPr>
                <w:rFonts w:hint="eastAsia"/>
                <w:b/>
                <w:bCs/>
                <w:sz w:val="24"/>
                <w:u w:val="none"/>
                <w:lang w:eastAsia="zh-CN"/>
              </w:rPr>
              <w:t>、</w:t>
            </w:r>
            <w:r>
              <w:rPr>
                <w:rFonts w:hint="eastAsia"/>
                <w:b/>
                <w:bCs/>
                <w:sz w:val="24"/>
                <w:u w:val="none"/>
              </w:rPr>
              <w:t>建设内容及规模</w:t>
            </w:r>
          </w:p>
          <w:p w14:paraId="53E1561C">
            <w:pPr>
              <w:spacing w:line="360" w:lineRule="auto"/>
              <w:ind w:firstLine="482" w:firstLineChars="200"/>
              <w:outlineLvl w:val="2"/>
              <w:rPr>
                <w:b/>
                <w:sz w:val="24"/>
                <w:u w:val="none"/>
              </w:rPr>
            </w:pPr>
            <w:r>
              <w:rPr>
                <w:rFonts w:hint="eastAsia"/>
                <w:b/>
                <w:sz w:val="24"/>
                <w:u w:val="none"/>
                <w:lang w:eastAsia="zh-CN"/>
              </w:rPr>
              <w:t>（</w:t>
            </w:r>
            <w:r>
              <w:rPr>
                <w:rFonts w:hint="eastAsia"/>
                <w:b/>
                <w:sz w:val="24"/>
                <w:u w:val="none"/>
                <w:lang w:val="en-US" w:eastAsia="zh-CN"/>
              </w:rPr>
              <w:t>1</w:t>
            </w:r>
            <w:r>
              <w:rPr>
                <w:rFonts w:hint="eastAsia"/>
                <w:b/>
                <w:sz w:val="24"/>
                <w:u w:val="none"/>
                <w:lang w:eastAsia="zh-CN"/>
              </w:rPr>
              <w:t>）</w:t>
            </w:r>
            <w:r>
              <w:rPr>
                <w:rFonts w:hint="eastAsia"/>
                <w:b/>
                <w:sz w:val="24"/>
                <w:u w:val="none"/>
              </w:rPr>
              <w:t>项目基本情况</w:t>
            </w:r>
          </w:p>
          <w:p w14:paraId="1F4346F6">
            <w:pPr>
              <w:spacing w:line="360" w:lineRule="auto"/>
              <w:ind w:firstLine="480" w:firstLineChars="200"/>
              <w:rPr>
                <w:rFonts w:hint="eastAsia"/>
                <w:sz w:val="24"/>
                <w:szCs w:val="32"/>
                <w:u w:val="none"/>
                <w:lang w:eastAsia="zh-CN"/>
              </w:rPr>
            </w:pPr>
            <w:r>
              <w:rPr>
                <w:rFonts w:hint="eastAsia"/>
                <w:sz w:val="24"/>
                <w:szCs w:val="32"/>
                <w:u w:val="none"/>
              </w:rPr>
              <w:t>项目名称：</w:t>
            </w:r>
            <w:r>
              <w:rPr>
                <w:rFonts w:hint="eastAsia"/>
                <w:sz w:val="24"/>
                <w:szCs w:val="32"/>
                <w:u w:val="none"/>
                <w:lang w:eastAsia="zh-CN"/>
              </w:rPr>
              <w:t>耒阳市导子东湖风电场项目</w:t>
            </w:r>
          </w:p>
          <w:p w14:paraId="4A4A19C7">
            <w:pPr>
              <w:spacing w:line="360" w:lineRule="auto"/>
              <w:ind w:firstLine="480" w:firstLineChars="200"/>
              <w:rPr>
                <w:rFonts w:hint="eastAsia"/>
                <w:sz w:val="24"/>
                <w:szCs w:val="32"/>
                <w:u w:val="none"/>
              </w:rPr>
            </w:pPr>
            <w:r>
              <w:rPr>
                <w:rFonts w:hint="eastAsia"/>
                <w:sz w:val="24"/>
                <w:szCs w:val="32"/>
                <w:u w:val="none"/>
              </w:rPr>
              <w:t>建设性质：新建</w:t>
            </w:r>
          </w:p>
          <w:p w14:paraId="345F3D80">
            <w:pPr>
              <w:spacing w:line="360" w:lineRule="auto"/>
              <w:ind w:firstLine="480" w:firstLineChars="200"/>
              <w:rPr>
                <w:rFonts w:hint="eastAsia"/>
                <w:sz w:val="24"/>
                <w:szCs w:val="32"/>
                <w:u w:val="none"/>
                <w:lang w:eastAsia="zh-CN"/>
              </w:rPr>
            </w:pPr>
            <w:r>
              <w:rPr>
                <w:rFonts w:hint="eastAsia"/>
                <w:sz w:val="24"/>
                <w:szCs w:val="32"/>
                <w:u w:val="none"/>
              </w:rPr>
              <w:t>建设单位：</w:t>
            </w:r>
            <w:r>
              <w:rPr>
                <w:rFonts w:hint="eastAsia"/>
                <w:sz w:val="24"/>
                <w:szCs w:val="32"/>
                <w:u w:val="none"/>
                <w:lang w:eastAsia="zh-CN"/>
              </w:rPr>
              <w:t>耒阳国电投风力发电有限公司</w:t>
            </w:r>
          </w:p>
          <w:p w14:paraId="46FB8B38">
            <w:pPr>
              <w:spacing w:line="360" w:lineRule="auto"/>
              <w:ind w:firstLine="480" w:firstLineChars="200"/>
              <w:rPr>
                <w:rFonts w:hint="default"/>
                <w:sz w:val="24"/>
                <w:szCs w:val="32"/>
                <w:u w:val="none"/>
                <w:lang w:val="en-US" w:eastAsia="zh-CN"/>
              </w:rPr>
            </w:pPr>
            <w:r>
              <w:rPr>
                <w:rFonts w:hint="eastAsia"/>
                <w:sz w:val="24"/>
                <w:szCs w:val="32"/>
                <w:u w:val="none"/>
              </w:rPr>
              <w:t>建设地点：</w:t>
            </w:r>
            <w:bookmarkStart w:id="18" w:name="_Hlk108450843"/>
            <w:r>
              <w:rPr>
                <w:rFonts w:hint="eastAsia"/>
                <w:sz w:val="24"/>
                <w:szCs w:val="32"/>
                <w:u w:val="none"/>
              </w:rPr>
              <w:t>衡阳市</w:t>
            </w:r>
            <w:bookmarkEnd w:id="18"/>
            <w:r>
              <w:rPr>
                <w:rFonts w:hint="eastAsia"/>
                <w:sz w:val="24"/>
                <w:szCs w:val="32"/>
                <w:u w:val="none"/>
                <w:lang w:eastAsia="zh-CN"/>
              </w:rPr>
              <w:t>耒阳市导子镇、</w:t>
            </w:r>
            <w:r>
              <w:rPr>
                <w:rFonts w:hint="eastAsia"/>
                <w:sz w:val="24"/>
                <w:szCs w:val="32"/>
                <w:u w:val="none"/>
                <w:lang w:val="en-US" w:eastAsia="zh-CN"/>
              </w:rPr>
              <w:t>东湖圩镇</w:t>
            </w:r>
          </w:p>
          <w:p w14:paraId="7DA09A2A">
            <w:pPr>
              <w:spacing w:line="360" w:lineRule="auto"/>
              <w:ind w:firstLine="480" w:firstLineChars="200"/>
              <w:rPr>
                <w:rFonts w:hint="eastAsia"/>
                <w:sz w:val="24"/>
                <w:szCs w:val="32"/>
                <w:u w:val="none"/>
              </w:rPr>
            </w:pPr>
            <w:r>
              <w:rPr>
                <w:rFonts w:hint="eastAsia"/>
                <w:sz w:val="24"/>
                <w:szCs w:val="32"/>
                <w:u w:val="none"/>
              </w:rPr>
              <w:t>建设规模：本项目拟安装</w:t>
            </w:r>
            <w:r>
              <w:rPr>
                <w:rFonts w:hint="eastAsia"/>
                <w:color w:val="FF0000"/>
                <w:sz w:val="24"/>
                <w:szCs w:val="32"/>
                <w:u w:val="none"/>
                <w:lang w:val="en-US" w:eastAsia="zh-CN"/>
              </w:rPr>
              <w:t>16</w:t>
            </w:r>
            <w:r>
              <w:rPr>
                <w:rFonts w:hint="eastAsia"/>
                <w:color w:val="FF0000"/>
                <w:sz w:val="24"/>
                <w:szCs w:val="32"/>
                <w:u w:val="none"/>
              </w:rPr>
              <w:t>台</w:t>
            </w:r>
            <w:r>
              <w:rPr>
                <w:rFonts w:hint="eastAsia"/>
                <w:sz w:val="24"/>
                <w:szCs w:val="32"/>
                <w:u w:val="none"/>
                <w:lang w:val="en-US" w:eastAsia="zh-CN"/>
              </w:rPr>
              <w:t>单机容量5MW的WTG5.0-200型风机，轮毂高度115米，</w:t>
            </w:r>
            <w:r>
              <w:rPr>
                <w:rFonts w:hint="eastAsia"/>
                <w:sz w:val="24"/>
                <w:szCs w:val="32"/>
                <w:u w:val="none"/>
              </w:rPr>
              <w:t>总装机容量为</w:t>
            </w:r>
            <w:r>
              <w:rPr>
                <w:rFonts w:hint="eastAsia"/>
                <w:sz w:val="24"/>
                <w:szCs w:val="32"/>
                <w:u w:val="none"/>
                <w:lang w:val="en-US" w:eastAsia="zh-CN"/>
              </w:rPr>
              <w:t>8</w:t>
            </w:r>
            <w:r>
              <w:rPr>
                <w:rFonts w:hint="eastAsia"/>
                <w:sz w:val="24"/>
                <w:szCs w:val="32"/>
                <w:u w:val="none"/>
              </w:rPr>
              <w:t>0MW，预计</w:t>
            </w:r>
            <w:r>
              <w:rPr>
                <w:rFonts w:hint="eastAsia"/>
                <w:sz w:val="24"/>
                <w:szCs w:val="32"/>
                <w:u w:val="none"/>
                <w:lang w:val="en-US" w:eastAsia="zh-CN"/>
              </w:rPr>
              <w:t>年理论发电量为210.31GW.h，</w:t>
            </w:r>
            <w:r>
              <w:rPr>
                <w:rFonts w:hint="eastAsia"/>
                <w:sz w:val="24"/>
                <w:szCs w:val="32"/>
                <w:u w:val="none"/>
              </w:rPr>
              <w:t>年上网电量为</w:t>
            </w:r>
            <w:r>
              <w:rPr>
                <w:rFonts w:hint="eastAsia"/>
                <w:color w:val="auto"/>
                <w:sz w:val="24"/>
                <w:szCs w:val="32"/>
                <w:u w:val="none"/>
              </w:rPr>
              <w:t>152.64GW</w:t>
            </w:r>
            <w:r>
              <w:rPr>
                <w:rFonts w:hint="eastAsia"/>
                <w:color w:val="auto"/>
                <w:sz w:val="24"/>
                <w:szCs w:val="32"/>
                <w:u w:val="none"/>
                <w:lang w:val="en-US" w:eastAsia="zh-CN"/>
              </w:rPr>
              <w:t>.</w:t>
            </w:r>
            <w:r>
              <w:rPr>
                <w:rFonts w:hint="eastAsia"/>
                <w:color w:val="auto"/>
                <w:sz w:val="24"/>
                <w:szCs w:val="32"/>
                <w:u w:val="none"/>
              </w:rPr>
              <w:t>h</w:t>
            </w:r>
            <w:r>
              <w:rPr>
                <w:rFonts w:hint="eastAsia"/>
                <w:sz w:val="24"/>
                <w:szCs w:val="32"/>
                <w:u w:val="none"/>
              </w:rPr>
              <w:t>，年等效满负荷小时数为1908h，容量系数为0.218；</w:t>
            </w:r>
            <w:r>
              <w:rPr>
                <w:sz w:val="24"/>
                <w:u w:val="none"/>
              </w:rPr>
              <w:t>拟</w:t>
            </w:r>
            <w:r>
              <w:rPr>
                <w:rFonts w:hint="eastAsia"/>
                <w:sz w:val="24"/>
                <w:szCs w:val="32"/>
                <w:u w:val="none"/>
              </w:rPr>
              <w:t>新建一座220kV升压站，风机以35kV集电线路接入220kV升压站，再经升压变升压至220kV</w:t>
            </w:r>
            <w:r>
              <w:rPr>
                <w:rFonts w:hint="eastAsia"/>
                <w:sz w:val="24"/>
                <w:szCs w:val="32"/>
                <w:u w:val="none"/>
                <w:lang w:eastAsia="zh-CN"/>
              </w:rPr>
              <w:t>，</w:t>
            </w:r>
            <w:r>
              <w:rPr>
                <w:rFonts w:hint="eastAsia"/>
                <w:sz w:val="24"/>
                <w:szCs w:val="32"/>
                <w:u w:val="none"/>
                <w:lang w:val="en-US" w:eastAsia="zh-CN"/>
              </w:rPr>
              <w:t>最终送出线路</w:t>
            </w:r>
            <w:r>
              <w:rPr>
                <w:rFonts w:hint="eastAsia"/>
                <w:sz w:val="24"/>
                <w:szCs w:val="32"/>
                <w:u w:val="none"/>
              </w:rPr>
              <w:t>以接入系统报告审查意见为准。</w:t>
            </w:r>
          </w:p>
          <w:p w14:paraId="663DA596">
            <w:pPr>
              <w:autoSpaceDE w:val="0"/>
              <w:spacing w:line="360" w:lineRule="auto"/>
              <w:ind w:firstLine="480" w:firstLineChars="200"/>
              <w:rPr>
                <w:rFonts w:hAnsi="宋体"/>
                <w:sz w:val="24"/>
                <w:u w:val="none"/>
              </w:rPr>
            </w:pPr>
            <w:r>
              <w:rPr>
                <w:rFonts w:hAnsi="宋体"/>
                <w:sz w:val="24"/>
                <w:u w:val="none"/>
              </w:rPr>
              <w:t>总投资</w:t>
            </w:r>
            <w:r>
              <w:rPr>
                <w:rFonts w:hint="eastAsia" w:hAnsi="宋体"/>
                <w:sz w:val="24"/>
                <w:u w:val="none"/>
              </w:rPr>
              <w:t>：本项目总投资</w:t>
            </w:r>
            <w:r>
              <w:rPr>
                <w:rFonts w:hint="eastAsia" w:hAnsi="宋体"/>
                <w:sz w:val="24"/>
                <w:u w:val="none"/>
                <w:lang w:val="en-US" w:eastAsia="zh-CN"/>
              </w:rPr>
              <w:t>58084.67</w:t>
            </w:r>
            <w:r>
              <w:rPr>
                <w:rFonts w:hint="eastAsia" w:hAnsi="宋体"/>
                <w:sz w:val="24"/>
                <w:u w:val="none"/>
              </w:rPr>
              <w:t>万元（静态）。</w:t>
            </w:r>
          </w:p>
          <w:p w14:paraId="5FD6F751">
            <w:pPr>
              <w:autoSpaceDE w:val="0"/>
              <w:spacing w:line="360" w:lineRule="auto"/>
              <w:ind w:firstLine="480" w:firstLineChars="200"/>
              <w:rPr>
                <w:rFonts w:hAnsi="宋体"/>
                <w:sz w:val="24"/>
                <w:u w:val="none"/>
              </w:rPr>
            </w:pPr>
            <w:r>
              <w:rPr>
                <w:rFonts w:hint="eastAsia" w:hAnsi="宋体"/>
                <w:sz w:val="24"/>
                <w:u w:val="none"/>
              </w:rPr>
              <w:t>劳动定员：升压站日常运维人员为2人，检修时人员最多为1</w:t>
            </w:r>
            <w:r>
              <w:rPr>
                <w:rFonts w:hAnsi="宋体"/>
                <w:sz w:val="24"/>
                <w:u w:val="none"/>
              </w:rPr>
              <w:t>0</w:t>
            </w:r>
            <w:r>
              <w:rPr>
                <w:rFonts w:hint="eastAsia" w:hAnsi="宋体"/>
                <w:sz w:val="24"/>
                <w:u w:val="none"/>
              </w:rPr>
              <w:t>人。</w:t>
            </w:r>
          </w:p>
          <w:p w14:paraId="769A9057">
            <w:pPr>
              <w:spacing w:line="360" w:lineRule="auto"/>
              <w:ind w:firstLine="482" w:firstLineChars="200"/>
              <w:outlineLvl w:val="2"/>
              <w:rPr>
                <w:b/>
                <w:sz w:val="24"/>
                <w:u w:val="none"/>
              </w:rPr>
            </w:pPr>
            <w:r>
              <w:rPr>
                <w:rFonts w:hint="eastAsia"/>
                <w:b/>
                <w:sz w:val="24"/>
                <w:u w:val="none"/>
                <w:lang w:eastAsia="zh-CN"/>
              </w:rPr>
              <w:t>（</w:t>
            </w:r>
            <w:r>
              <w:rPr>
                <w:rFonts w:hint="eastAsia"/>
                <w:b/>
                <w:sz w:val="24"/>
                <w:u w:val="none"/>
                <w:lang w:val="en-US" w:eastAsia="zh-CN"/>
              </w:rPr>
              <w:t>2</w:t>
            </w:r>
            <w:r>
              <w:rPr>
                <w:rFonts w:hint="eastAsia"/>
                <w:b/>
                <w:sz w:val="24"/>
                <w:u w:val="none"/>
                <w:lang w:eastAsia="zh-CN"/>
              </w:rPr>
              <w:t>）</w:t>
            </w:r>
            <w:r>
              <w:rPr>
                <w:rFonts w:hint="eastAsia"/>
                <w:b/>
                <w:sz w:val="24"/>
                <w:u w:val="none"/>
              </w:rPr>
              <w:t>项目工程等级</w:t>
            </w:r>
          </w:p>
          <w:p w14:paraId="189321F3">
            <w:pPr>
              <w:autoSpaceDE w:val="0"/>
              <w:spacing w:line="360" w:lineRule="auto"/>
              <w:ind w:firstLine="480" w:firstLineChars="200"/>
              <w:rPr>
                <w:rFonts w:hint="eastAsia" w:hAnsi="宋体"/>
                <w:sz w:val="24"/>
                <w:u w:val="none"/>
              </w:rPr>
            </w:pPr>
            <w:r>
              <w:rPr>
                <w:rFonts w:hAnsi="宋体"/>
                <w:sz w:val="24"/>
                <w:u w:val="none"/>
              </w:rPr>
              <w:t>根据《风电场工程等级划分及设计安全标准》</w:t>
            </w:r>
            <w:r>
              <w:rPr>
                <w:rFonts w:hint="eastAsia" w:hAnsi="宋体"/>
                <w:sz w:val="24"/>
                <w:u w:val="none"/>
                <w:lang w:eastAsia="zh-CN"/>
              </w:rPr>
              <w:t>（</w:t>
            </w:r>
            <w:r>
              <w:rPr>
                <w:rFonts w:hAnsi="宋体"/>
                <w:sz w:val="24"/>
                <w:u w:val="none"/>
              </w:rPr>
              <w:t>NB/T10101-2018</w:t>
            </w:r>
            <w:r>
              <w:rPr>
                <w:rFonts w:hint="eastAsia" w:hAnsi="宋体"/>
                <w:sz w:val="24"/>
                <w:u w:val="none"/>
                <w:lang w:eastAsia="zh-CN"/>
              </w:rPr>
              <w:t>）</w:t>
            </w:r>
            <w:r>
              <w:rPr>
                <w:rFonts w:hAnsi="宋体"/>
                <w:sz w:val="24"/>
                <w:u w:val="none"/>
              </w:rPr>
              <w:t>、《</w:t>
            </w:r>
            <w:r>
              <w:rPr>
                <w:rFonts w:hint="eastAsia" w:hAnsi="宋体"/>
                <w:sz w:val="24"/>
                <w:u w:val="none"/>
              </w:rPr>
              <w:t>陆上风电场工程风电机组基础设计规范</w:t>
            </w:r>
            <w:r>
              <w:rPr>
                <w:rFonts w:hAnsi="宋体"/>
                <w:sz w:val="24"/>
                <w:u w:val="none"/>
              </w:rPr>
              <w:t>》</w:t>
            </w:r>
            <w:r>
              <w:rPr>
                <w:rFonts w:hint="eastAsia" w:hAnsi="宋体"/>
                <w:sz w:val="24"/>
                <w:u w:val="none"/>
                <w:lang w:eastAsia="zh-CN"/>
              </w:rPr>
              <w:t>（</w:t>
            </w:r>
            <w:r>
              <w:rPr>
                <w:rFonts w:hAnsi="宋体"/>
                <w:sz w:val="24"/>
                <w:u w:val="none"/>
              </w:rPr>
              <w:t>NB/T10311-2019</w:t>
            </w:r>
            <w:r>
              <w:rPr>
                <w:rFonts w:hint="eastAsia" w:hAnsi="宋体"/>
                <w:sz w:val="24"/>
                <w:u w:val="none"/>
                <w:lang w:eastAsia="zh-CN"/>
              </w:rPr>
              <w:t>）</w:t>
            </w:r>
            <w:r>
              <w:rPr>
                <w:rFonts w:hAnsi="宋体"/>
                <w:sz w:val="24"/>
                <w:u w:val="none"/>
              </w:rPr>
              <w:t>、《建筑地基基础设计规范》</w:t>
            </w:r>
            <w:r>
              <w:rPr>
                <w:rFonts w:hint="eastAsia" w:hAnsi="宋体"/>
                <w:sz w:val="24"/>
                <w:u w:val="none"/>
                <w:lang w:eastAsia="zh-CN"/>
              </w:rPr>
              <w:t>（</w:t>
            </w:r>
            <w:r>
              <w:rPr>
                <w:rFonts w:hAnsi="宋体"/>
                <w:sz w:val="24"/>
                <w:u w:val="none"/>
              </w:rPr>
              <w:t>GB50007-2011</w:t>
            </w:r>
            <w:r>
              <w:rPr>
                <w:rFonts w:hint="eastAsia" w:hAnsi="宋体"/>
                <w:sz w:val="24"/>
                <w:u w:val="none"/>
                <w:lang w:eastAsia="zh-CN"/>
              </w:rPr>
              <w:t>）</w:t>
            </w:r>
            <w:r>
              <w:rPr>
                <w:rFonts w:hAnsi="宋体"/>
                <w:sz w:val="24"/>
                <w:u w:val="none"/>
              </w:rPr>
              <w:t>，本风电场工程规模为</w:t>
            </w:r>
            <w:r>
              <w:rPr>
                <w:rFonts w:hint="eastAsia" w:hAnsi="宋体"/>
                <w:sz w:val="24"/>
                <w:u w:val="none"/>
              </w:rPr>
              <w:t>中型</w:t>
            </w:r>
            <w:r>
              <w:rPr>
                <w:rFonts w:hAnsi="宋体"/>
                <w:sz w:val="24"/>
                <w:u w:val="none"/>
              </w:rPr>
              <w:t>；风电机组地基基础设计等级为</w:t>
            </w:r>
            <w:r>
              <w:rPr>
                <w:rFonts w:hint="eastAsia" w:hAnsi="宋体"/>
                <w:sz w:val="24"/>
                <w:u w:val="none"/>
              </w:rPr>
              <w:t>甲</w:t>
            </w:r>
            <w:r>
              <w:rPr>
                <w:rFonts w:hAnsi="宋体"/>
                <w:sz w:val="24"/>
                <w:u w:val="none"/>
              </w:rPr>
              <w:t>级，</w:t>
            </w:r>
            <w:r>
              <w:rPr>
                <w:rFonts w:hint="eastAsia" w:hAnsi="宋体"/>
                <w:sz w:val="24"/>
                <w:u w:val="none"/>
              </w:rPr>
              <w:t>结构安全等级为一级；结构性能系数1</w:t>
            </w:r>
            <w:r>
              <w:rPr>
                <w:rFonts w:hAnsi="宋体"/>
                <w:sz w:val="24"/>
                <w:u w:val="none"/>
              </w:rPr>
              <w:t>.1</w:t>
            </w:r>
            <w:r>
              <w:rPr>
                <w:rFonts w:hint="eastAsia" w:hAnsi="宋体"/>
                <w:sz w:val="24"/>
                <w:u w:val="none"/>
              </w:rPr>
              <w:t>。风电机组地基基础的抗震设防类别为丙类。结构设计基准期为50年。洪水设计标准[重现期(年)]为50年。新建220kV升压站一座，220kV升压站内新建的建构筑物级别为2级，结构安全等级为二级，结构重要性系数为1.0。</w:t>
            </w:r>
          </w:p>
          <w:p w14:paraId="7D93998F">
            <w:pPr>
              <w:spacing w:line="360" w:lineRule="auto"/>
              <w:ind w:firstLine="482" w:firstLineChars="200"/>
              <w:outlineLvl w:val="2"/>
              <w:rPr>
                <w:b/>
                <w:sz w:val="24"/>
                <w:u w:val="none"/>
              </w:rPr>
            </w:pPr>
            <w:r>
              <w:rPr>
                <w:rFonts w:hint="eastAsia"/>
                <w:b/>
                <w:sz w:val="24"/>
                <w:u w:val="none"/>
                <w:lang w:eastAsia="zh-CN"/>
              </w:rPr>
              <w:t>（</w:t>
            </w:r>
            <w:r>
              <w:rPr>
                <w:rFonts w:hint="eastAsia"/>
                <w:b/>
                <w:sz w:val="24"/>
                <w:u w:val="none"/>
                <w:lang w:val="en-US" w:eastAsia="zh-CN"/>
              </w:rPr>
              <w:t>3</w:t>
            </w:r>
            <w:r>
              <w:rPr>
                <w:rFonts w:hint="eastAsia"/>
                <w:b/>
                <w:sz w:val="24"/>
                <w:u w:val="none"/>
                <w:lang w:eastAsia="zh-CN"/>
              </w:rPr>
              <w:t>）</w:t>
            </w:r>
            <w:r>
              <w:rPr>
                <w:rFonts w:hint="eastAsia"/>
                <w:b/>
                <w:sz w:val="24"/>
                <w:u w:val="none"/>
              </w:rPr>
              <w:t>项目主要工程内容</w:t>
            </w:r>
          </w:p>
          <w:p w14:paraId="44B15BB1">
            <w:pPr>
              <w:autoSpaceDE w:val="0"/>
              <w:spacing w:line="360" w:lineRule="auto"/>
              <w:ind w:firstLine="480" w:firstLineChars="200"/>
              <w:rPr>
                <w:rFonts w:hAnsi="宋体"/>
                <w:sz w:val="24"/>
                <w:u w:val="none"/>
              </w:rPr>
            </w:pPr>
            <w:r>
              <w:rPr>
                <w:rFonts w:hAnsi="宋体"/>
                <w:sz w:val="24"/>
                <w:u w:val="none"/>
              </w:rPr>
              <w:t>本项目主要工程内容及建设规模详见表2-1所示。</w:t>
            </w:r>
          </w:p>
          <w:p w14:paraId="32D78BF1">
            <w:pPr>
              <w:pStyle w:val="62"/>
              <w:spacing w:line="240" w:lineRule="auto"/>
              <w:ind w:firstLine="0" w:firstLineChars="0"/>
              <w:jc w:val="center"/>
              <w:rPr>
                <w:rFonts w:hAnsi="宋体" w:cs="Times New Roman"/>
                <w:b/>
                <w:sz w:val="21"/>
                <w:szCs w:val="21"/>
                <w:u w:val="none"/>
              </w:rPr>
            </w:pPr>
            <w:r>
              <w:rPr>
                <w:rFonts w:hAnsi="宋体" w:cs="Times New Roman"/>
                <w:b/>
                <w:color w:val="FF0000"/>
                <w:sz w:val="21"/>
                <w:szCs w:val="21"/>
                <w:u w:val="none"/>
              </w:rPr>
              <w:t>表</w:t>
            </w:r>
            <w:r>
              <w:rPr>
                <w:rFonts w:hint="eastAsia" w:hAnsi="宋体" w:cs="Times New Roman"/>
                <w:b/>
                <w:color w:val="FF0000"/>
                <w:sz w:val="21"/>
                <w:szCs w:val="21"/>
                <w:u w:val="none"/>
              </w:rPr>
              <w:t>2</w:t>
            </w:r>
            <w:r>
              <w:rPr>
                <w:rFonts w:hAnsi="宋体" w:cs="Times New Roman"/>
                <w:b/>
                <w:color w:val="FF0000"/>
                <w:sz w:val="21"/>
                <w:szCs w:val="21"/>
                <w:u w:val="none"/>
              </w:rPr>
              <w:t>-1</w:t>
            </w:r>
            <w:r>
              <w:rPr>
                <w:rFonts w:hint="eastAsia" w:hAnsi="宋体" w:cs="Times New Roman"/>
                <w:b/>
                <w:color w:val="FF0000"/>
                <w:sz w:val="21"/>
                <w:szCs w:val="21"/>
                <w:u w:val="none"/>
                <w:lang w:val="en-US" w:eastAsia="zh-CN"/>
              </w:rPr>
              <w:t xml:space="preserve">  </w:t>
            </w:r>
            <w:r>
              <w:rPr>
                <w:rFonts w:hAnsi="宋体" w:cs="Times New Roman"/>
                <w:b/>
                <w:color w:val="FF0000"/>
                <w:sz w:val="21"/>
                <w:szCs w:val="21"/>
                <w:u w:val="none"/>
              </w:rPr>
              <w:t>项目主要工程内容组成一览表</w:t>
            </w:r>
          </w:p>
          <w:tbl>
            <w:tblPr>
              <w:tblStyle w:val="32"/>
              <w:tblW w:w="5000"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093"/>
              <w:gridCol w:w="5076"/>
              <w:gridCol w:w="1713"/>
            </w:tblGrid>
            <w:tr w14:paraId="4750A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blHeader/>
              </w:trPr>
              <w:tc>
                <w:tcPr>
                  <w:tcW w:w="425" w:type="pct"/>
                  <w:tcBorders>
                    <w:tl2br w:val="nil"/>
                    <w:tr2bl w:val="nil"/>
                  </w:tcBorders>
                  <w:vAlign w:val="center"/>
                </w:tcPr>
                <w:p w14:paraId="256E580E">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类型</w:t>
                  </w:r>
                </w:p>
              </w:tc>
              <w:tc>
                <w:tcPr>
                  <w:tcW w:w="634" w:type="pct"/>
                  <w:tcBorders>
                    <w:tl2br w:val="nil"/>
                    <w:tr2bl w:val="nil"/>
                  </w:tcBorders>
                  <w:vAlign w:val="center"/>
                </w:tcPr>
                <w:p w14:paraId="2843FEC0">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工程内容</w:t>
                  </w:r>
                </w:p>
              </w:tc>
              <w:tc>
                <w:tcPr>
                  <w:tcW w:w="2945" w:type="pct"/>
                  <w:tcBorders>
                    <w:tl2br w:val="nil"/>
                    <w:tr2bl w:val="nil"/>
                  </w:tcBorders>
                  <w:vAlign w:val="center"/>
                </w:tcPr>
                <w:p w14:paraId="52ECBEB7">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工程规模</w:t>
                  </w:r>
                </w:p>
              </w:tc>
              <w:tc>
                <w:tcPr>
                  <w:tcW w:w="994" w:type="pct"/>
                  <w:tcBorders>
                    <w:tl2br w:val="nil"/>
                    <w:tr2bl w:val="nil"/>
                  </w:tcBorders>
                  <w:vAlign w:val="center"/>
                </w:tcPr>
                <w:p w14:paraId="519380C8">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备注</w:t>
                  </w:r>
                </w:p>
              </w:tc>
            </w:tr>
            <w:tr w14:paraId="65232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2F3361D8">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主体工程</w:t>
                  </w:r>
                </w:p>
              </w:tc>
              <w:tc>
                <w:tcPr>
                  <w:tcW w:w="634" w:type="pct"/>
                  <w:tcBorders>
                    <w:tl2br w:val="nil"/>
                    <w:tr2bl w:val="nil"/>
                  </w:tcBorders>
                  <w:vAlign w:val="center"/>
                </w:tcPr>
                <w:p w14:paraId="1CA6509A">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Ansi="宋体"/>
                      <w:color w:val="FF0000"/>
                      <w:sz w:val="18"/>
                      <w:szCs w:val="18"/>
                      <w:u w:val="none"/>
                    </w:rPr>
                    <w:t>风电机组工程</w:t>
                  </w:r>
                </w:p>
              </w:tc>
              <w:tc>
                <w:tcPr>
                  <w:tcW w:w="2945" w:type="pct"/>
                  <w:tcBorders>
                    <w:tl2br w:val="nil"/>
                    <w:tr2bl w:val="nil"/>
                  </w:tcBorders>
                  <w:vAlign w:val="center"/>
                </w:tcPr>
                <w:p w14:paraId="4F78491D">
                  <w:pPr>
                    <w:keepNext w:val="0"/>
                    <w:keepLines w:val="0"/>
                    <w:pageBreakBefore w:val="0"/>
                    <w:widowControl w:val="0"/>
                    <w:kinsoku/>
                    <w:wordWrap/>
                    <w:overflowPunct/>
                    <w:topLinePunct w:val="0"/>
                    <w:bidi w:val="0"/>
                    <w:adjustRightInd/>
                    <w:snapToGrid/>
                    <w:jc w:val="both"/>
                    <w:textAlignment w:val="auto"/>
                    <w:rPr>
                      <w:rFonts w:hint="default" w:eastAsia="宋体"/>
                      <w:color w:val="FF0000"/>
                      <w:sz w:val="18"/>
                      <w:szCs w:val="18"/>
                      <w:u w:val="none"/>
                      <w:lang w:val="en-US" w:eastAsia="zh-CN"/>
                    </w:rPr>
                  </w:pPr>
                  <w:r>
                    <w:rPr>
                      <w:rFonts w:hAnsi="宋体"/>
                      <w:color w:val="FF0000"/>
                      <w:sz w:val="18"/>
                      <w:szCs w:val="18"/>
                      <w:u w:val="none"/>
                    </w:rPr>
                    <w:t>本风电场</w:t>
                  </w:r>
                  <w:r>
                    <w:rPr>
                      <w:rFonts w:hint="eastAsia" w:hAnsi="宋体"/>
                      <w:color w:val="FF0000"/>
                      <w:sz w:val="18"/>
                      <w:szCs w:val="18"/>
                      <w:u w:val="none"/>
                    </w:rPr>
                    <w:t>装设</w:t>
                  </w:r>
                  <w:r>
                    <w:rPr>
                      <w:rFonts w:hint="eastAsia" w:eastAsiaTheme="minorEastAsia"/>
                      <w:color w:val="FF0000"/>
                      <w:kern w:val="0"/>
                      <w:sz w:val="18"/>
                      <w:szCs w:val="18"/>
                      <w:u w:val="none"/>
                    </w:rPr>
                    <w:t>1</w:t>
                  </w:r>
                  <w:r>
                    <w:rPr>
                      <w:rFonts w:hint="eastAsia" w:eastAsiaTheme="minorEastAsia"/>
                      <w:color w:val="FF0000"/>
                      <w:kern w:val="0"/>
                      <w:sz w:val="18"/>
                      <w:szCs w:val="18"/>
                      <w:u w:val="none"/>
                      <w:lang w:val="en-US" w:eastAsia="zh-CN"/>
                    </w:rPr>
                    <w:t>6</w:t>
                  </w:r>
                  <w:r>
                    <w:rPr>
                      <w:rFonts w:hint="eastAsia" w:eastAsiaTheme="minorEastAsia"/>
                      <w:color w:val="FF0000"/>
                      <w:kern w:val="0"/>
                      <w:sz w:val="18"/>
                      <w:szCs w:val="18"/>
                      <w:u w:val="none"/>
                    </w:rPr>
                    <w:t>台</w:t>
                  </w:r>
                  <w:r>
                    <w:rPr>
                      <w:rFonts w:hAnsi="宋体"/>
                      <w:color w:val="FF0000"/>
                      <w:sz w:val="18"/>
                      <w:szCs w:val="18"/>
                      <w:u w:val="none"/>
                    </w:rPr>
                    <w:t>单机容量5MW的风电机组</w:t>
                  </w:r>
                  <w:r>
                    <w:rPr>
                      <w:rFonts w:hint="eastAsia" w:hAnsi="宋体"/>
                      <w:color w:val="FF0000"/>
                      <w:sz w:val="18"/>
                      <w:szCs w:val="18"/>
                      <w:u w:val="none"/>
                    </w:rPr>
                    <w:t>共</w:t>
                  </w:r>
                  <w:r>
                    <w:rPr>
                      <w:rFonts w:hint="eastAsia" w:hAnsi="宋体"/>
                      <w:color w:val="FF0000"/>
                      <w:sz w:val="18"/>
                      <w:szCs w:val="18"/>
                      <w:u w:val="none"/>
                      <w:lang w:val="en-US" w:eastAsia="zh-CN"/>
                    </w:rPr>
                    <w:t>8</w:t>
                  </w:r>
                  <w:r>
                    <w:rPr>
                      <w:rFonts w:hAnsi="宋体"/>
                      <w:color w:val="FF0000"/>
                      <w:sz w:val="18"/>
                      <w:szCs w:val="18"/>
                      <w:u w:val="none"/>
                    </w:rPr>
                    <w:t>0</w:t>
                  </w:r>
                  <w:r>
                    <w:rPr>
                      <w:rFonts w:hint="eastAsia" w:hAnsi="宋体"/>
                      <w:color w:val="FF0000"/>
                      <w:sz w:val="18"/>
                      <w:szCs w:val="18"/>
                      <w:u w:val="none"/>
                    </w:rPr>
                    <w:t>M</w:t>
                  </w:r>
                  <w:r>
                    <w:rPr>
                      <w:rFonts w:hAnsi="宋体"/>
                      <w:color w:val="FF0000"/>
                      <w:sz w:val="18"/>
                      <w:szCs w:val="18"/>
                      <w:u w:val="none"/>
                    </w:rPr>
                    <w:t>W，</w:t>
                  </w:r>
                  <w:r>
                    <w:rPr>
                      <w:rFonts w:hint="eastAsia" w:hAnsi="宋体"/>
                      <w:color w:val="FF0000"/>
                      <w:sz w:val="18"/>
                      <w:szCs w:val="18"/>
                      <w:u w:val="none"/>
                      <w:lang w:val="en-US" w:eastAsia="zh-CN"/>
                    </w:rPr>
                    <w:t>总占地面积0.32hm</w:t>
                  </w:r>
                  <w:r>
                    <w:rPr>
                      <w:rFonts w:hint="eastAsia" w:hAnsi="宋体"/>
                      <w:color w:val="FF0000"/>
                      <w:sz w:val="18"/>
                      <w:szCs w:val="18"/>
                      <w:u w:val="none"/>
                      <w:vertAlign w:val="superscript"/>
                      <w:lang w:val="en-US" w:eastAsia="zh-CN"/>
                    </w:rPr>
                    <w:t>2</w:t>
                  </w:r>
                  <w:r>
                    <w:rPr>
                      <w:rFonts w:hint="eastAsia" w:hAnsi="宋体"/>
                      <w:color w:val="FF0000"/>
                      <w:sz w:val="18"/>
                      <w:szCs w:val="18"/>
                      <w:u w:val="none"/>
                      <w:lang w:val="en-US" w:eastAsia="zh-CN"/>
                    </w:rPr>
                    <w:t>，</w:t>
                  </w:r>
                  <w:r>
                    <w:rPr>
                      <w:rFonts w:hAnsi="宋体"/>
                      <w:color w:val="FF0000"/>
                      <w:sz w:val="18"/>
                      <w:szCs w:val="18"/>
                      <w:u w:val="none"/>
                    </w:rPr>
                    <w:t>采用一机一变</w:t>
                  </w:r>
                  <w:r>
                    <w:rPr>
                      <w:rFonts w:hint="eastAsia" w:hAnsi="宋体"/>
                      <w:color w:val="FF0000"/>
                      <w:sz w:val="18"/>
                      <w:szCs w:val="18"/>
                      <w:u w:val="none"/>
                    </w:rPr>
                    <w:t>，</w:t>
                  </w:r>
                  <w:r>
                    <w:rPr>
                      <w:rFonts w:hAnsi="宋体"/>
                      <w:color w:val="FF0000"/>
                      <w:sz w:val="18"/>
                      <w:szCs w:val="18"/>
                      <w:u w:val="none"/>
                    </w:rPr>
                    <w:t>每台风机配置一台35kV箱式</w:t>
                  </w:r>
                  <w:r>
                    <w:rPr>
                      <w:rFonts w:hint="eastAsia" w:hAnsi="宋体"/>
                      <w:color w:val="FF0000"/>
                      <w:sz w:val="18"/>
                      <w:szCs w:val="18"/>
                      <w:u w:val="none"/>
                    </w:rPr>
                    <w:t>变压器</w:t>
                  </w:r>
                  <w:r>
                    <w:rPr>
                      <w:rFonts w:hint="eastAsia" w:hAnsi="宋体"/>
                      <w:color w:val="FF0000"/>
                      <w:sz w:val="18"/>
                      <w:szCs w:val="18"/>
                      <w:u w:val="none"/>
                      <w:lang w:eastAsia="zh-CN"/>
                    </w:rPr>
                    <w:t>。</w:t>
                  </w:r>
                  <w:r>
                    <w:rPr>
                      <w:rFonts w:hint="eastAsia" w:hAnsi="宋体"/>
                      <w:color w:val="FF0000"/>
                      <w:sz w:val="18"/>
                      <w:szCs w:val="18"/>
                      <w:u w:val="none"/>
                      <w:lang w:val="en-US" w:eastAsia="zh-CN"/>
                    </w:rPr>
                    <w:t>考虑到项目后期存在的征地协调等因素，项目设置了2个备用机位，当主选机位不能实施时，可启用备选机位，以确保项目落地实施</w:t>
                  </w:r>
                </w:p>
              </w:tc>
              <w:tc>
                <w:tcPr>
                  <w:tcW w:w="994" w:type="pct"/>
                  <w:tcBorders>
                    <w:tl2br w:val="nil"/>
                    <w:tr2bl w:val="nil"/>
                  </w:tcBorders>
                  <w:vAlign w:val="center"/>
                </w:tcPr>
                <w:p w14:paraId="3226626E">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int="eastAsia"/>
                      <w:color w:val="FF0000"/>
                      <w:sz w:val="18"/>
                      <w:szCs w:val="18"/>
                      <w:u w:val="none"/>
                    </w:rPr>
                    <w:t>箱式变电站采用油浸式三相双卷升压变压器</w:t>
                  </w:r>
                </w:p>
              </w:tc>
            </w:tr>
            <w:tr w14:paraId="480C5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1FA1A2FB">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17BB8C3A">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int="eastAsia"/>
                      <w:sz w:val="18"/>
                      <w:szCs w:val="18"/>
                      <w:u w:val="none"/>
                      <w:lang w:val="en-US" w:eastAsia="zh-CN"/>
                    </w:rPr>
                    <w:t>22</w:t>
                  </w:r>
                  <w:r>
                    <w:rPr>
                      <w:sz w:val="18"/>
                      <w:szCs w:val="18"/>
                      <w:u w:val="none"/>
                    </w:rPr>
                    <w:t>0kV</w:t>
                  </w:r>
                  <w:r>
                    <w:rPr>
                      <w:rFonts w:hAnsi="宋体"/>
                      <w:sz w:val="18"/>
                      <w:szCs w:val="18"/>
                      <w:u w:val="none"/>
                    </w:rPr>
                    <w:t>升压站工程</w:t>
                  </w:r>
                </w:p>
              </w:tc>
              <w:tc>
                <w:tcPr>
                  <w:tcW w:w="2945" w:type="pct"/>
                  <w:tcBorders>
                    <w:tl2br w:val="nil"/>
                    <w:tr2bl w:val="nil"/>
                  </w:tcBorders>
                  <w:vAlign w:val="center"/>
                </w:tcPr>
                <w:p w14:paraId="3F375E0A">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sz w:val="18"/>
                      <w:szCs w:val="18"/>
                      <w:u w:val="none"/>
                    </w:rPr>
                    <w:t>本项目建设1座升压站，</w:t>
                  </w:r>
                  <w:r>
                    <w:rPr>
                      <w:rFonts w:hint="eastAsia" w:hAnsi="宋体"/>
                      <w:sz w:val="18"/>
                      <w:szCs w:val="18"/>
                      <w:u w:val="none"/>
                      <w:lang w:val="en-US" w:eastAsia="zh-CN"/>
                    </w:rPr>
                    <w:t>总占地面积0.93hm</w:t>
                  </w:r>
                  <w:r>
                    <w:rPr>
                      <w:rFonts w:hint="eastAsia" w:hAnsi="宋体"/>
                      <w:sz w:val="18"/>
                      <w:szCs w:val="18"/>
                      <w:u w:val="none"/>
                      <w:vertAlign w:val="superscript"/>
                      <w:lang w:val="en-US" w:eastAsia="zh-CN"/>
                    </w:rPr>
                    <w:t>2</w:t>
                  </w:r>
                  <w:r>
                    <w:rPr>
                      <w:rFonts w:hint="eastAsia" w:hAnsi="宋体"/>
                      <w:sz w:val="18"/>
                      <w:szCs w:val="18"/>
                      <w:u w:val="none"/>
                      <w:lang w:val="en-US" w:eastAsia="zh-CN"/>
                    </w:rPr>
                    <w:t>，总建筑面积3275m</w:t>
                  </w:r>
                  <w:r>
                    <w:rPr>
                      <w:rFonts w:hint="eastAsia" w:hAnsi="宋体"/>
                      <w:sz w:val="18"/>
                      <w:szCs w:val="18"/>
                      <w:u w:val="none"/>
                      <w:vertAlign w:val="superscript"/>
                      <w:lang w:val="en-US" w:eastAsia="zh-CN"/>
                    </w:rPr>
                    <w:t>2</w:t>
                  </w:r>
                  <w:r>
                    <w:rPr>
                      <w:rFonts w:hint="eastAsia" w:hAnsi="宋体"/>
                      <w:sz w:val="18"/>
                      <w:szCs w:val="18"/>
                      <w:u w:val="none"/>
                      <w:lang w:val="en-US" w:eastAsia="zh-CN"/>
                    </w:rPr>
                    <w:t>，主变压器采用室外布置，主变高压侧采用架空导线连接，主变低压侧采用母排与35kV配电装置连接，</w:t>
                  </w:r>
                  <w:r>
                    <w:rPr>
                      <w:rFonts w:hint="eastAsia" w:hAnsi="宋体"/>
                      <w:sz w:val="18"/>
                      <w:szCs w:val="18"/>
                      <w:u w:val="none"/>
                    </w:rPr>
                    <w:t>设置1台</w:t>
                  </w:r>
                  <w:r>
                    <w:rPr>
                      <w:rFonts w:hint="eastAsia" w:hAnsi="宋体"/>
                      <w:sz w:val="18"/>
                      <w:szCs w:val="18"/>
                      <w:u w:val="none"/>
                      <w:lang w:val="en-US" w:eastAsia="zh-CN"/>
                    </w:rPr>
                    <w:t>SZ18-180000/220</w:t>
                  </w:r>
                  <w:r>
                    <w:rPr>
                      <w:rFonts w:hint="eastAsia" w:hAnsi="宋体"/>
                      <w:sz w:val="18"/>
                      <w:szCs w:val="18"/>
                      <w:u w:val="none"/>
                    </w:rPr>
                    <w:t>、容量</w:t>
                  </w:r>
                  <w:r>
                    <w:rPr>
                      <w:rFonts w:hint="eastAsia" w:hAnsi="宋体"/>
                      <w:sz w:val="18"/>
                      <w:szCs w:val="18"/>
                      <w:u w:val="none"/>
                      <w:lang w:val="en-US" w:eastAsia="zh-CN"/>
                    </w:rPr>
                    <w:t>180</w:t>
                  </w:r>
                  <w:r>
                    <w:rPr>
                      <w:rFonts w:hint="eastAsia" w:hAnsi="宋体"/>
                      <w:sz w:val="18"/>
                      <w:szCs w:val="18"/>
                      <w:u w:val="none"/>
                    </w:rPr>
                    <w:t>MVA的主变压器</w:t>
                  </w:r>
                  <w:r>
                    <w:rPr>
                      <w:rFonts w:hint="eastAsia" w:hAnsi="宋体"/>
                      <w:sz w:val="18"/>
                      <w:szCs w:val="18"/>
                      <w:u w:val="none"/>
                      <w:lang w:eastAsia="zh-CN"/>
                    </w:rPr>
                    <w:t>（</w:t>
                  </w:r>
                  <w:r>
                    <w:rPr>
                      <w:rFonts w:hint="eastAsia" w:hAnsi="宋体"/>
                      <w:sz w:val="18"/>
                      <w:szCs w:val="18"/>
                      <w:u w:val="none"/>
                      <w:lang w:val="en-US" w:eastAsia="zh-CN"/>
                    </w:rPr>
                    <w:t>预留2#主变压器的建设用地</w:t>
                  </w:r>
                  <w:r>
                    <w:rPr>
                      <w:rFonts w:hint="eastAsia" w:hAnsi="宋体"/>
                      <w:sz w:val="18"/>
                      <w:szCs w:val="18"/>
                      <w:u w:val="none"/>
                      <w:lang w:eastAsia="zh-CN"/>
                    </w:rPr>
                    <w:t>）</w:t>
                  </w:r>
                  <w:r>
                    <w:rPr>
                      <w:rFonts w:hint="eastAsia" w:hAnsi="宋体"/>
                      <w:sz w:val="18"/>
                      <w:szCs w:val="18"/>
                      <w:u w:val="none"/>
                    </w:rPr>
                    <w:t>。</w:t>
                  </w:r>
                  <w:r>
                    <w:rPr>
                      <w:rFonts w:hAnsi="宋体"/>
                      <w:sz w:val="18"/>
                      <w:szCs w:val="18"/>
                      <w:u w:val="none"/>
                    </w:rPr>
                    <w:t>站内</w:t>
                  </w:r>
                  <w:r>
                    <w:rPr>
                      <w:rFonts w:hint="eastAsia" w:hAnsi="宋体"/>
                      <w:sz w:val="18"/>
                      <w:szCs w:val="18"/>
                      <w:u w:val="none"/>
                    </w:rPr>
                    <w:t>主要建构筑物有</w:t>
                  </w:r>
                  <w:bookmarkStart w:id="19" w:name="_Hlk108451053"/>
                  <w:r>
                    <w:rPr>
                      <w:rFonts w:hint="eastAsia" w:hAnsi="宋体"/>
                      <w:sz w:val="18"/>
                      <w:szCs w:val="18"/>
                      <w:u w:val="none"/>
                      <w:lang w:val="en-US" w:eastAsia="zh-CN"/>
                    </w:rPr>
                    <w:t>综合楼、配电楼、控制楼以及附属用房，配套建设了</w:t>
                  </w:r>
                  <w:r>
                    <w:rPr>
                      <w:rFonts w:hint="eastAsia" w:hAnsi="宋体"/>
                      <w:sz w:val="18"/>
                      <w:szCs w:val="18"/>
                      <w:u w:val="none"/>
                    </w:rPr>
                    <w:t>无功补偿装置</w:t>
                  </w:r>
                  <w:r>
                    <w:rPr>
                      <w:rFonts w:hint="eastAsia" w:hAnsi="宋体"/>
                      <w:sz w:val="18"/>
                      <w:szCs w:val="18"/>
                      <w:u w:val="none"/>
                      <w:lang w:eastAsia="zh-CN"/>
                    </w:rPr>
                    <w:t>（</w:t>
                  </w:r>
                  <w:r>
                    <w:rPr>
                      <w:rFonts w:hint="eastAsia" w:hAnsi="宋体"/>
                      <w:sz w:val="18"/>
                      <w:szCs w:val="18"/>
                      <w:u w:val="none"/>
                      <w:lang w:val="en-US" w:eastAsia="zh-CN"/>
                    </w:rPr>
                    <w:t>SVG+FC</w:t>
                  </w:r>
                  <w:r>
                    <w:rPr>
                      <w:rFonts w:hint="eastAsia" w:hAnsi="宋体"/>
                      <w:sz w:val="18"/>
                      <w:szCs w:val="18"/>
                      <w:u w:val="none"/>
                      <w:lang w:eastAsia="zh-CN"/>
                    </w:rPr>
                    <w:t>）</w:t>
                  </w:r>
                  <w:r>
                    <w:rPr>
                      <w:rFonts w:hint="eastAsia" w:hAnsi="宋体"/>
                      <w:sz w:val="18"/>
                      <w:szCs w:val="18"/>
                      <w:u w:val="none"/>
                    </w:rPr>
                    <w:t>、主变事故油池（</w:t>
                  </w:r>
                  <w:r>
                    <w:rPr>
                      <w:rFonts w:hAnsi="宋体"/>
                      <w:sz w:val="18"/>
                      <w:szCs w:val="18"/>
                      <w:u w:val="none"/>
                    </w:rPr>
                    <w:t>30</w:t>
                  </w:r>
                  <w:r>
                    <w:rPr>
                      <w:rFonts w:hint="eastAsia" w:hAnsi="宋体"/>
                      <w:sz w:val="18"/>
                      <w:szCs w:val="18"/>
                      <w:u w:val="none"/>
                    </w:rPr>
                    <w:t>m</w:t>
                  </w:r>
                  <w:r>
                    <w:rPr>
                      <w:rFonts w:hAnsi="宋体"/>
                      <w:sz w:val="18"/>
                      <w:szCs w:val="18"/>
                      <w:u w:val="none"/>
                      <w:vertAlign w:val="superscript"/>
                    </w:rPr>
                    <w:t>3</w:t>
                  </w:r>
                  <w:r>
                    <w:rPr>
                      <w:rFonts w:hint="eastAsia" w:hAnsi="宋体"/>
                      <w:sz w:val="18"/>
                      <w:szCs w:val="18"/>
                      <w:u w:val="none"/>
                    </w:rPr>
                    <w:t>）、独立避雷针、一体化污水处理装置等</w:t>
                  </w:r>
                  <w:bookmarkEnd w:id="19"/>
                </w:p>
              </w:tc>
              <w:tc>
                <w:tcPr>
                  <w:tcW w:w="994" w:type="pct"/>
                  <w:tcBorders>
                    <w:tl2br w:val="nil"/>
                    <w:tr2bl w:val="nil"/>
                  </w:tcBorders>
                  <w:vAlign w:val="center"/>
                </w:tcPr>
                <w:p w14:paraId="18200C97">
                  <w:pPr>
                    <w:keepNext w:val="0"/>
                    <w:keepLines w:val="0"/>
                    <w:pageBreakBefore w:val="0"/>
                    <w:widowControl w:val="0"/>
                    <w:kinsoku/>
                    <w:wordWrap/>
                    <w:overflowPunct/>
                    <w:topLinePunct w:val="0"/>
                    <w:bidi w:val="0"/>
                    <w:adjustRightInd/>
                    <w:snapToGrid/>
                    <w:jc w:val="center"/>
                    <w:textAlignment w:val="auto"/>
                    <w:rPr>
                      <w:rFonts w:hint="default" w:eastAsia="宋体"/>
                      <w:sz w:val="18"/>
                      <w:szCs w:val="18"/>
                      <w:u w:val="none"/>
                      <w:lang w:val="en-US" w:eastAsia="zh-CN"/>
                    </w:rPr>
                  </w:pPr>
                  <w:r>
                    <w:rPr>
                      <w:rFonts w:hint="eastAsia"/>
                      <w:sz w:val="18"/>
                      <w:szCs w:val="18"/>
                      <w:u w:val="none"/>
                      <w:lang w:val="en-US" w:eastAsia="zh-CN"/>
                    </w:rPr>
                    <w:t>拟建的耒阳市水东江街道光伏发电项目80MW也接入本升压站，该光伏发电项目另行环评，不包括本次环评之内</w:t>
                  </w:r>
                </w:p>
              </w:tc>
            </w:tr>
            <w:tr w14:paraId="04DB8D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7177E3AD">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332A0A66">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Ansi="宋体"/>
                      <w:color w:val="FF0000"/>
                      <w:sz w:val="18"/>
                      <w:szCs w:val="18"/>
                      <w:u w:val="none"/>
                    </w:rPr>
                    <w:t>集电线路工程</w:t>
                  </w:r>
                </w:p>
              </w:tc>
              <w:tc>
                <w:tcPr>
                  <w:tcW w:w="2945" w:type="pct"/>
                  <w:tcBorders>
                    <w:tl2br w:val="nil"/>
                    <w:tr2bl w:val="nil"/>
                  </w:tcBorders>
                  <w:vAlign w:val="center"/>
                </w:tcPr>
                <w:p w14:paraId="6C94E26A">
                  <w:pPr>
                    <w:keepNext w:val="0"/>
                    <w:keepLines w:val="0"/>
                    <w:pageBreakBefore w:val="0"/>
                    <w:widowControl w:val="0"/>
                    <w:kinsoku/>
                    <w:wordWrap/>
                    <w:overflowPunct/>
                    <w:topLinePunct w:val="0"/>
                    <w:bidi w:val="0"/>
                    <w:adjustRightInd/>
                    <w:snapToGrid/>
                    <w:jc w:val="both"/>
                    <w:textAlignment w:val="auto"/>
                    <w:rPr>
                      <w:color w:val="FF0000"/>
                      <w:sz w:val="18"/>
                      <w:szCs w:val="18"/>
                      <w:u w:val="none"/>
                    </w:rPr>
                  </w:pPr>
                  <w:r>
                    <w:rPr>
                      <w:rFonts w:hint="eastAsia"/>
                      <w:color w:val="FF0000"/>
                      <w:sz w:val="18"/>
                      <w:szCs w:val="18"/>
                      <w:u w:val="none"/>
                    </w:rPr>
                    <w:t>集电线路采用35kV全电缆直埋敷设方式，电缆沿风电场场内道路内侧敷设，集电线路直埋电缆长度为</w:t>
                  </w:r>
                  <w:r>
                    <w:rPr>
                      <w:rFonts w:hint="eastAsia"/>
                      <w:color w:val="FF0000"/>
                      <w:sz w:val="18"/>
                      <w:szCs w:val="18"/>
                      <w:u w:val="none"/>
                      <w:lang w:val="en-US" w:eastAsia="zh-CN"/>
                    </w:rPr>
                    <w:t>31.1</w:t>
                  </w:r>
                  <w:r>
                    <w:rPr>
                      <w:rFonts w:hint="eastAsia"/>
                      <w:color w:val="FF0000"/>
                      <w:sz w:val="18"/>
                      <w:szCs w:val="18"/>
                      <w:u w:val="none"/>
                    </w:rPr>
                    <w:t>km</w:t>
                  </w:r>
                </w:p>
              </w:tc>
              <w:tc>
                <w:tcPr>
                  <w:tcW w:w="994" w:type="pct"/>
                  <w:tcBorders>
                    <w:tl2br w:val="nil"/>
                    <w:tr2bl w:val="nil"/>
                  </w:tcBorders>
                  <w:vAlign w:val="center"/>
                </w:tcPr>
                <w:p w14:paraId="1AE7C6CD">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6EC4BC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tcBorders>
                    <w:tl2br w:val="nil"/>
                    <w:tr2bl w:val="nil"/>
                  </w:tcBorders>
                  <w:vAlign w:val="center"/>
                </w:tcPr>
                <w:p w14:paraId="2092A733">
                  <w:pPr>
                    <w:keepNext w:val="0"/>
                    <w:keepLines w:val="0"/>
                    <w:pageBreakBefore w:val="0"/>
                    <w:widowControl w:val="0"/>
                    <w:kinsoku/>
                    <w:wordWrap/>
                    <w:overflowPunct/>
                    <w:topLinePunct w:val="0"/>
                    <w:bidi w:val="0"/>
                    <w:adjustRightInd/>
                    <w:snapToGrid/>
                    <w:jc w:val="center"/>
                    <w:textAlignment w:val="auto"/>
                    <w:rPr>
                      <w:sz w:val="18"/>
                      <w:szCs w:val="18"/>
                      <w:u w:val="none"/>
                    </w:rPr>
                  </w:pPr>
                  <w:r>
                    <w:rPr>
                      <w:sz w:val="18"/>
                      <w:szCs w:val="18"/>
                      <w:u w:val="none"/>
                    </w:rPr>
                    <w:t>辅助工程</w:t>
                  </w:r>
                </w:p>
              </w:tc>
              <w:tc>
                <w:tcPr>
                  <w:tcW w:w="634" w:type="pct"/>
                  <w:tcBorders>
                    <w:tl2br w:val="nil"/>
                    <w:tr2bl w:val="nil"/>
                  </w:tcBorders>
                  <w:vAlign w:val="center"/>
                </w:tcPr>
                <w:p w14:paraId="19254FAE">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r>
                    <w:rPr>
                      <w:rFonts w:hAnsi="宋体"/>
                      <w:sz w:val="18"/>
                      <w:szCs w:val="18"/>
                      <w:u w:val="none"/>
                    </w:rPr>
                    <w:t>道路工程</w:t>
                  </w:r>
                </w:p>
              </w:tc>
              <w:tc>
                <w:tcPr>
                  <w:tcW w:w="2945" w:type="pct"/>
                  <w:tcBorders>
                    <w:tl2br w:val="nil"/>
                    <w:tr2bl w:val="nil"/>
                  </w:tcBorders>
                  <w:vAlign w:val="center"/>
                </w:tcPr>
                <w:p w14:paraId="20B1B155">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color w:val="FF0000"/>
                      <w:sz w:val="18"/>
                      <w:szCs w:val="18"/>
                      <w:u w:val="none"/>
                    </w:rPr>
                    <w:t>共计</w:t>
                  </w:r>
                  <w:r>
                    <w:rPr>
                      <w:rFonts w:hint="eastAsia" w:hAnsi="宋体"/>
                      <w:color w:val="FF0000"/>
                      <w:sz w:val="18"/>
                      <w:szCs w:val="18"/>
                      <w:u w:val="none"/>
                      <w:lang w:val="en-US" w:eastAsia="zh-CN"/>
                    </w:rPr>
                    <w:t>30.75</w:t>
                  </w:r>
                  <w:r>
                    <w:rPr>
                      <w:rFonts w:hint="eastAsia" w:hAnsi="宋体"/>
                      <w:color w:val="FF0000"/>
                      <w:sz w:val="18"/>
                      <w:szCs w:val="18"/>
                      <w:u w:val="none"/>
                    </w:rPr>
                    <w:t>km，其中新建场内道路</w:t>
                  </w:r>
                  <w:r>
                    <w:rPr>
                      <w:rFonts w:hint="eastAsia" w:hAnsi="宋体"/>
                      <w:color w:val="FF0000"/>
                      <w:sz w:val="18"/>
                      <w:szCs w:val="18"/>
                      <w:u w:val="none"/>
                      <w:lang w:val="en-US" w:eastAsia="zh-CN"/>
                    </w:rPr>
                    <w:t>27.98</w:t>
                  </w:r>
                  <w:r>
                    <w:rPr>
                      <w:rFonts w:hint="eastAsia" w:hAnsi="宋体"/>
                      <w:color w:val="FF0000"/>
                      <w:sz w:val="18"/>
                      <w:szCs w:val="18"/>
                      <w:u w:val="none"/>
                    </w:rPr>
                    <w:t>km</w:t>
                  </w:r>
                  <w:r>
                    <w:rPr>
                      <w:rFonts w:hint="eastAsia" w:hAnsi="宋体"/>
                      <w:color w:val="FF0000"/>
                      <w:sz w:val="18"/>
                      <w:szCs w:val="18"/>
                      <w:u w:val="none"/>
                      <w:lang w:eastAsia="zh-CN"/>
                    </w:rPr>
                    <w:t>（</w:t>
                  </w:r>
                  <w:r>
                    <w:rPr>
                      <w:rFonts w:hint="eastAsia" w:hAnsi="宋体"/>
                      <w:color w:val="FF0000"/>
                      <w:sz w:val="18"/>
                      <w:szCs w:val="18"/>
                      <w:u w:val="none"/>
                      <w:lang w:val="en-US" w:eastAsia="zh-CN"/>
                    </w:rPr>
                    <w:t>路面宽7.5m，路基宽8.5m，路面结构采用180mm厚泥结碎石层</w:t>
                  </w:r>
                  <w:r>
                    <w:rPr>
                      <w:rFonts w:hint="eastAsia" w:hAnsi="宋体"/>
                      <w:color w:val="FF0000"/>
                      <w:sz w:val="18"/>
                      <w:szCs w:val="18"/>
                      <w:u w:val="none"/>
                      <w:lang w:eastAsia="zh-CN"/>
                    </w:rPr>
                    <w:t>）</w:t>
                  </w:r>
                  <w:r>
                    <w:rPr>
                      <w:rFonts w:hint="eastAsia" w:hAnsi="宋体"/>
                      <w:color w:val="FF0000"/>
                      <w:sz w:val="18"/>
                      <w:szCs w:val="18"/>
                      <w:u w:val="none"/>
                    </w:rPr>
                    <w:t>，改造道路2.77km</w:t>
                  </w:r>
                  <w:r>
                    <w:rPr>
                      <w:rFonts w:hint="eastAsia" w:hAnsi="宋体"/>
                      <w:color w:val="FF0000"/>
                      <w:sz w:val="18"/>
                      <w:szCs w:val="18"/>
                      <w:u w:val="none"/>
                      <w:lang w:eastAsia="zh-CN"/>
                    </w:rPr>
                    <w:t>（</w:t>
                  </w:r>
                  <w:r>
                    <w:rPr>
                      <w:rFonts w:hint="eastAsia" w:hAnsi="宋体"/>
                      <w:color w:val="FF0000"/>
                      <w:sz w:val="18"/>
                      <w:szCs w:val="18"/>
                      <w:u w:val="none"/>
                    </w:rPr>
                    <w:t>现有村道和机耕道</w:t>
                  </w:r>
                  <w:r>
                    <w:rPr>
                      <w:rFonts w:hint="eastAsia" w:hAnsi="宋体"/>
                      <w:color w:val="FF0000"/>
                      <w:sz w:val="18"/>
                      <w:szCs w:val="18"/>
                      <w:u w:val="none"/>
                      <w:lang w:eastAsia="zh-CN"/>
                    </w:rPr>
                    <w:t>，</w:t>
                  </w:r>
                  <w:r>
                    <w:rPr>
                      <w:rFonts w:hint="eastAsia" w:hAnsi="宋体"/>
                      <w:color w:val="FF0000"/>
                      <w:sz w:val="18"/>
                      <w:szCs w:val="18"/>
                      <w:u w:val="none"/>
                      <w:lang w:val="en-US" w:eastAsia="zh-CN"/>
                    </w:rPr>
                    <w:t>加宽到8.5m</w:t>
                  </w:r>
                  <w:r>
                    <w:rPr>
                      <w:rFonts w:hint="eastAsia" w:hAnsi="宋体"/>
                      <w:color w:val="FF0000"/>
                      <w:sz w:val="18"/>
                      <w:szCs w:val="18"/>
                      <w:u w:val="none"/>
                      <w:lang w:eastAsia="zh-CN"/>
                    </w:rPr>
                    <w:t>）</w:t>
                  </w:r>
                  <w:r>
                    <w:rPr>
                      <w:rFonts w:hint="eastAsia" w:hAnsi="宋体"/>
                      <w:color w:val="FF0000"/>
                      <w:sz w:val="18"/>
                      <w:szCs w:val="18"/>
                      <w:u w:val="none"/>
                    </w:rPr>
                    <w:t>，</w:t>
                  </w:r>
                  <w:r>
                    <w:rPr>
                      <w:rFonts w:hint="eastAsia" w:hAnsi="宋体"/>
                      <w:color w:val="FF0000"/>
                      <w:sz w:val="18"/>
                      <w:szCs w:val="18"/>
                      <w:u w:val="none"/>
                      <w:lang w:val="en-US" w:eastAsia="zh-CN"/>
                    </w:rPr>
                    <w:t>升压站</w:t>
                  </w:r>
                  <w:r>
                    <w:rPr>
                      <w:rFonts w:hint="eastAsia" w:hAnsi="宋体"/>
                      <w:color w:val="FF0000"/>
                      <w:sz w:val="18"/>
                      <w:szCs w:val="18"/>
                      <w:u w:val="none"/>
                    </w:rPr>
                    <w:t>进站道路200m</w:t>
                  </w:r>
                  <w:r>
                    <w:rPr>
                      <w:rFonts w:hint="eastAsia" w:hAnsi="宋体"/>
                      <w:color w:val="FF0000"/>
                      <w:sz w:val="18"/>
                      <w:szCs w:val="18"/>
                      <w:u w:val="none"/>
                      <w:lang w:eastAsia="zh-CN"/>
                    </w:rPr>
                    <w:t>（</w:t>
                  </w:r>
                  <w:r>
                    <w:rPr>
                      <w:rFonts w:hint="eastAsia" w:hAnsi="宋体"/>
                      <w:color w:val="FF0000"/>
                      <w:sz w:val="18"/>
                      <w:szCs w:val="18"/>
                      <w:u w:val="none"/>
                      <w:lang w:val="en-US" w:eastAsia="zh-CN"/>
                    </w:rPr>
                    <w:t>路面宽7.5m，路基宽8.5m，公路型混凝土道路，包含在新建场内道路内</w:t>
                  </w:r>
                  <w:r>
                    <w:rPr>
                      <w:rFonts w:hint="eastAsia" w:hAnsi="宋体"/>
                      <w:color w:val="FF0000"/>
                      <w:sz w:val="18"/>
                      <w:szCs w:val="18"/>
                      <w:u w:val="none"/>
                      <w:lang w:eastAsia="zh-CN"/>
                    </w:rPr>
                    <w:t>）。</w:t>
                  </w:r>
                  <w:r>
                    <w:rPr>
                      <w:rFonts w:hint="eastAsia" w:hAnsi="宋体"/>
                      <w:color w:val="FF0000"/>
                      <w:sz w:val="18"/>
                      <w:szCs w:val="18"/>
                      <w:u w:val="none"/>
                      <w:lang w:val="en-US" w:eastAsia="zh-CN"/>
                    </w:rPr>
                    <w:t>总占地面积25.18hm</w:t>
                  </w:r>
                  <w:r>
                    <w:rPr>
                      <w:rFonts w:hint="eastAsia" w:hAnsi="宋体"/>
                      <w:color w:val="FF0000"/>
                      <w:sz w:val="18"/>
                      <w:szCs w:val="18"/>
                      <w:u w:val="none"/>
                      <w:vertAlign w:val="superscript"/>
                      <w:lang w:val="en-US" w:eastAsia="zh-CN"/>
                    </w:rPr>
                    <w:t>2</w:t>
                  </w:r>
                </w:p>
              </w:tc>
              <w:tc>
                <w:tcPr>
                  <w:tcW w:w="994" w:type="pct"/>
                  <w:tcBorders>
                    <w:tl2br w:val="nil"/>
                    <w:tr2bl w:val="nil"/>
                  </w:tcBorders>
                  <w:vAlign w:val="center"/>
                </w:tcPr>
                <w:p w14:paraId="0BF0FD3C">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06E1F0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107F1471">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公用工程</w:t>
                  </w:r>
                </w:p>
              </w:tc>
              <w:tc>
                <w:tcPr>
                  <w:tcW w:w="634" w:type="pct"/>
                  <w:tcBorders>
                    <w:tl2br w:val="nil"/>
                    <w:tr2bl w:val="nil"/>
                  </w:tcBorders>
                  <w:vAlign w:val="center"/>
                </w:tcPr>
                <w:p w14:paraId="7DF94E87">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kern w:val="0"/>
                      <w:sz w:val="18"/>
                      <w:szCs w:val="18"/>
                      <w:u w:val="none"/>
                    </w:rPr>
                    <w:t>供电</w:t>
                  </w:r>
                </w:p>
              </w:tc>
              <w:tc>
                <w:tcPr>
                  <w:tcW w:w="2945" w:type="pct"/>
                  <w:tcBorders>
                    <w:tl2br w:val="nil"/>
                    <w:tr2bl w:val="nil"/>
                  </w:tcBorders>
                  <w:vAlign w:val="center"/>
                </w:tcPr>
                <w:p w14:paraId="2B55743F">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sz w:val="18"/>
                      <w:szCs w:val="18"/>
                      <w:u w:val="none"/>
                      <w:lang w:val="en-US" w:eastAsia="zh-CN"/>
                    </w:rPr>
                    <w:t>从当地电网接入</w:t>
                  </w:r>
                </w:p>
              </w:tc>
              <w:tc>
                <w:tcPr>
                  <w:tcW w:w="994" w:type="pct"/>
                  <w:tcBorders>
                    <w:tl2br w:val="nil"/>
                    <w:tr2bl w:val="nil"/>
                  </w:tcBorders>
                  <w:vAlign w:val="center"/>
                </w:tcPr>
                <w:p w14:paraId="0404330B">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6BDF7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1C833D57">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7B620BD8">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kern w:val="0"/>
                      <w:sz w:val="18"/>
                      <w:szCs w:val="18"/>
                      <w:u w:val="none"/>
                    </w:rPr>
                    <w:t>供水</w:t>
                  </w:r>
                </w:p>
              </w:tc>
              <w:tc>
                <w:tcPr>
                  <w:tcW w:w="2945" w:type="pct"/>
                  <w:tcBorders>
                    <w:tl2br w:val="nil"/>
                    <w:tr2bl w:val="nil"/>
                  </w:tcBorders>
                  <w:vAlign w:val="center"/>
                </w:tcPr>
                <w:p w14:paraId="2C177BB9">
                  <w:pPr>
                    <w:keepNext w:val="0"/>
                    <w:keepLines w:val="0"/>
                    <w:pageBreakBefore w:val="0"/>
                    <w:widowControl w:val="0"/>
                    <w:kinsoku/>
                    <w:wordWrap/>
                    <w:overflowPunct/>
                    <w:topLinePunct w:val="0"/>
                    <w:bidi w:val="0"/>
                    <w:adjustRightInd/>
                    <w:snapToGrid/>
                    <w:jc w:val="both"/>
                    <w:textAlignment w:val="auto"/>
                    <w:rPr>
                      <w:rFonts w:hAnsi="宋体"/>
                      <w:sz w:val="18"/>
                      <w:szCs w:val="18"/>
                      <w:u w:val="none"/>
                    </w:rPr>
                  </w:pPr>
                  <w:r>
                    <w:rPr>
                      <w:rFonts w:hint="eastAsia" w:hAnsi="宋体"/>
                      <w:sz w:val="18"/>
                      <w:szCs w:val="18"/>
                      <w:u w:val="none"/>
                    </w:rPr>
                    <w:t>从当地自来水供水系统引管供水</w:t>
                  </w:r>
                </w:p>
              </w:tc>
              <w:tc>
                <w:tcPr>
                  <w:tcW w:w="994" w:type="pct"/>
                  <w:tcBorders>
                    <w:tl2br w:val="nil"/>
                    <w:tr2bl w:val="nil"/>
                  </w:tcBorders>
                  <w:vAlign w:val="center"/>
                </w:tcPr>
                <w:p w14:paraId="15A55425">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05D871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2E6C09B4">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6E5BFE60">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kern w:val="0"/>
                      <w:sz w:val="18"/>
                      <w:szCs w:val="18"/>
                      <w:u w:val="none"/>
                    </w:rPr>
                    <w:t>排水</w:t>
                  </w:r>
                </w:p>
              </w:tc>
              <w:tc>
                <w:tcPr>
                  <w:tcW w:w="2945" w:type="pct"/>
                  <w:tcBorders>
                    <w:tl2br w:val="nil"/>
                    <w:tr2bl w:val="nil"/>
                  </w:tcBorders>
                  <w:vAlign w:val="center"/>
                </w:tcPr>
                <w:p w14:paraId="0D09EE51">
                  <w:pPr>
                    <w:keepNext w:val="0"/>
                    <w:keepLines w:val="0"/>
                    <w:pageBreakBefore w:val="0"/>
                    <w:widowControl w:val="0"/>
                    <w:kinsoku/>
                    <w:wordWrap/>
                    <w:overflowPunct/>
                    <w:topLinePunct w:val="0"/>
                    <w:bidi w:val="0"/>
                    <w:adjustRightInd/>
                    <w:snapToGrid/>
                    <w:jc w:val="both"/>
                    <w:textAlignment w:val="auto"/>
                    <w:rPr>
                      <w:rFonts w:hint="eastAsia" w:hAnsi="宋体" w:eastAsia="宋体"/>
                      <w:sz w:val="18"/>
                      <w:szCs w:val="18"/>
                      <w:u w:val="none"/>
                      <w:lang w:val="en-US" w:eastAsia="zh-CN"/>
                    </w:rPr>
                  </w:pPr>
                  <w:r>
                    <w:rPr>
                      <w:rFonts w:hAnsi="宋体"/>
                      <w:sz w:val="18"/>
                      <w:szCs w:val="18"/>
                      <w:u w:val="none"/>
                    </w:rPr>
                    <w:t>采用雨污分流，雨水通过雨水沟排至站外，生活污水经污水处理设施处理后用于升压站</w:t>
                  </w:r>
                  <w:r>
                    <w:rPr>
                      <w:rFonts w:hint="eastAsia" w:hAnsi="宋体"/>
                      <w:sz w:val="18"/>
                      <w:szCs w:val="18"/>
                      <w:u w:val="none"/>
                      <w:lang w:val="en-US" w:eastAsia="zh-CN"/>
                    </w:rPr>
                    <w:t>及</w:t>
                  </w:r>
                  <w:r>
                    <w:rPr>
                      <w:rFonts w:hint="eastAsia" w:hAnsi="宋体"/>
                      <w:sz w:val="18"/>
                      <w:szCs w:val="18"/>
                      <w:u w:val="none"/>
                    </w:rPr>
                    <w:t>周边</w:t>
                  </w:r>
                  <w:r>
                    <w:rPr>
                      <w:rFonts w:hAnsi="宋体"/>
                      <w:sz w:val="18"/>
                      <w:szCs w:val="18"/>
                      <w:u w:val="none"/>
                    </w:rPr>
                    <w:t>绿化</w:t>
                  </w:r>
                  <w:r>
                    <w:rPr>
                      <w:rFonts w:hint="eastAsia" w:hAnsi="宋体"/>
                      <w:sz w:val="18"/>
                      <w:szCs w:val="18"/>
                      <w:u w:val="none"/>
                      <w:lang w:val="en-US" w:eastAsia="zh-CN"/>
                    </w:rPr>
                    <w:t>用水</w:t>
                  </w:r>
                </w:p>
              </w:tc>
              <w:tc>
                <w:tcPr>
                  <w:tcW w:w="994" w:type="pct"/>
                  <w:tcBorders>
                    <w:tl2br w:val="nil"/>
                    <w:tr2bl w:val="nil"/>
                  </w:tcBorders>
                  <w:vAlign w:val="center"/>
                </w:tcPr>
                <w:p w14:paraId="0F148C6F">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7C64A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2F4C8755">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临时工程</w:t>
                  </w:r>
                </w:p>
              </w:tc>
              <w:tc>
                <w:tcPr>
                  <w:tcW w:w="634" w:type="pct"/>
                  <w:tcBorders>
                    <w:tl2br w:val="nil"/>
                    <w:tr2bl w:val="nil"/>
                  </w:tcBorders>
                  <w:vAlign w:val="center"/>
                </w:tcPr>
                <w:p w14:paraId="7DFC1347">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Ansi="宋体"/>
                      <w:color w:val="FF0000"/>
                      <w:sz w:val="18"/>
                      <w:szCs w:val="18"/>
                      <w:u w:val="none"/>
                    </w:rPr>
                    <w:t>弃渣场</w:t>
                  </w:r>
                </w:p>
              </w:tc>
              <w:tc>
                <w:tcPr>
                  <w:tcW w:w="2945" w:type="pct"/>
                  <w:tcBorders>
                    <w:tl2br w:val="nil"/>
                    <w:tr2bl w:val="nil"/>
                  </w:tcBorders>
                  <w:vAlign w:val="center"/>
                </w:tcPr>
                <w:p w14:paraId="10722CAC">
                  <w:pPr>
                    <w:keepNext w:val="0"/>
                    <w:keepLines w:val="0"/>
                    <w:pageBreakBefore w:val="0"/>
                    <w:widowControl w:val="0"/>
                    <w:kinsoku/>
                    <w:wordWrap/>
                    <w:overflowPunct/>
                    <w:topLinePunct w:val="0"/>
                    <w:bidi w:val="0"/>
                    <w:adjustRightInd/>
                    <w:snapToGrid/>
                    <w:textAlignment w:val="auto"/>
                    <w:rPr>
                      <w:color w:val="FF0000"/>
                      <w:sz w:val="18"/>
                      <w:szCs w:val="18"/>
                      <w:u w:val="none"/>
                    </w:rPr>
                  </w:pPr>
                  <w:r>
                    <w:rPr>
                      <w:rFonts w:hint="eastAsia" w:hAnsi="宋体"/>
                      <w:color w:val="FF0000"/>
                      <w:sz w:val="18"/>
                      <w:szCs w:val="18"/>
                      <w:u w:val="none"/>
                    </w:rPr>
                    <w:t>设置</w:t>
                  </w:r>
                  <w:r>
                    <w:rPr>
                      <w:rFonts w:hint="eastAsia" w:hAnsi="宋体"/>
                      <w:color w:val="FF0000"/>
                      <w:sz w:val="18"/>
                      <w:szCs w:val="18"/>
                      <w:u w:val="none"/>
                      <w:lang w:val="en-US" w:eastAsia="zh-CN"/>
                    </w:rPr>
                    <w:t>9</w:t>
                  </w:r>
                  <w:r>
                    <w:rPr>
                      <w:rFonts w:hint="eastAsia" w:hAnsi="宋体"/>
                      <w:color w:val="FF0000"/>
                      <w:sz w:val="18"/>
                      <w:szCs w:val="18"/>
                      <w:u w:val="none"/>
                    </w:rPr>
                    <w:t>个弃渣场，总面积约为</w:t>
                  </w:r>
                  <w:r>
                    <w:rPr>
                      <w:rFonts w:hint="eastAsia" w:hAnsi="宋体"/>
                      <w:color w:val="FF0000"/>
                      <w:sz w:val="18"/>
                      <w:szCs w:val="18"/>
                      <w:u w:val="none"/>
                      <w:lang w:val="en-US" w:eastAsia="zh-CN"/>
                    </w:rPr>
                    <w:t>5.96</w:t>
                  </w:r>
                  <w:r>
                    <w:rPr>
                      <w:rFonts w:hint="eastAsia" w:hAnsi="宋体"/>
                      <w:color w:val="FF0000"/>
                      <w:sz w:val="18"/>
                      <w:szCs w:val="18"/>
                      <w:u w:val="none"/>
                    </w:rPr>
                    <w:t>hm</w:t>
                  </w:r>
                  <w:r>
                    <w:rPr>
                      <w:rFonts w:hint="eastAsia" w:hAnsi="宋体"/>
                      <w:color w:val="FF0000"/>
                      <w:sz w:val="18"/>
                      <w:szCs w:val="18"/>
                      <w:u w:val="none"/>
                      <w:vertAlign w:val="superscript"/>
                    </w:rPr>
                    <w:t>2</w:t>
                  </w:r>
                  <w:r>
                    <w:rPr>
                      <w:rFonts w:hint="eastAsia" w:hAnsi="宋体"/>
                      <w:color w:val="FF0000"/>
                      <w:sz w:val="18"/>
                      <w:szCs w:val="18"/>
                      <w:u w:val="none"/>
                      <w:lang w:eastAsia="zh-CN"/>
                    </w:rPr>
                    <w:t>，</w:t>
                  </w:r>
                  <w:r>
                    <w:rPr>
                      <w:rFonts w:hint="eastAsia" w:hAnsi="宋体"/>
                      <w:color w:val="FF0000"/>
                      <w:sz w:val="18"/>
                      <w:szCs w:val="18"/>
                      <w:u w:val="none"/>
                      <w:lang w:val="en-US" w:eastAsia="zh-CN"/>
                    </w:rPr>
                    <w:t>主要用于堆放</w:t>
                  </w:r>
                  <w:r>
                    <w:rPr>
                      <w:rFonts w:hint="eastAsia" w:hAnsi="宋体"/>
                      <w:color w:val="FF0000"/>
                      <w:sz w:val="18"/>
                      <w:szCs w:val="18"/>
                      <w:u w:val="none"/>
                    </w:rPr>
                    <w:t>风机基础、箱变基础及道路的土石方开挖，总弃渣量约为</w:t>
                  </w:r>
                  <w:r>
                    <w:rPr>
                      <w:rFonts w:hint="eastAsia" w:hAnsi="宋体"/>
                      <w:color w:val="FF0000"/>
                      <w:sz w:val="18"/>
                      <w:szCs w:val="18"/>
                      <w:u w:val="none"/>
                      <w:lang w:val="en-US" w:eastAsia="zh-CN"/>
                    </w:rPr>
                    <w:t>45.29</w:t>
                  </w:r>
                  <w:r>
                    <w:rPr>
                      <w:rFonts w:hint="eastAsia" w:hAnsi="宋体"/>
                      <w:color w:val="FF0000"/>
                      <w:sz w:val="18"/>
                      <w:szCs w:val="18"/>
                      <w:u w:val="none"/>
                    </w:rPr>
                    <w:t>万m</w:t>
                  </w:r>
                  <w:r>
                    <w:rPr>
                      <w:rFonts w:hint="eastAsia" w:hAnsi="宋体"/>
                      <w:color w:val="FF0000"/>
                      <w:sz w:val="18"/>
                      <w:szCs w:val="18"/>
                      <w:u w:val="none"/>
                      <w:vertAlign w:val="superscript"/>
                    </w:rPr>
                    <w:t>3</w:t>
                  </w:r>
                </w:p>
              </w:tc>
              <w:tc>
                <w:tcPr>
                  <w:tcW w:w="994" w:type="pct"/>
                  <w:vMerge w:val="restart"/>
                  <w:tcBorders>
                    <w:tl2br w:val="nil"/>
                    <w:tr2bl w:val="nil"/>
                  </w:tcBorders>
                  <w:vAlign w:val="center"/>
                </w:tcPr>
                <w:p w14:paraId="53CCDA85">
                  <w:pPr>
                    <w:keepNext w:val="0"/>
                    <w:keepLines w:val="0"/>
                    <w:pageBreakBefore w:val="0"/>
                    <w:widowControl w:val="0"/>
                    <w:kinsoku/>
                    <w:wordWrap/>
                    <w:overflowPunct/>
                    <w:topLinePunct w:val="0"/>
                    <w:bidi w:val="0"/>
                    <w:adjustRightInd/>
                    <w:snapToGrid/>
                    <w:jc w:val="center"/>
                    <w:textAlignment w:val="auto"/>
                    <w:rPr>
                      <w:rFonts w:hint="default" w:eastAsia="宋体"/>
                      <w:sz w:val="18"/>
                      <w:szCs w:val="18"/>
                      <w:u w:val="none"/>
                      <w:lang w:val="en-US" w:eastAsia="zh-CN"/>
                    </w:rPr>
                  </w:pPr>
                  <w:r>
                    <w:rPr>
                      <w:rFonts w:hint="eastAsia"/>
                      <w:sz w:val="18"/>
                      <w:szCs w:val="18"/>
                      <w:u w:val="none"/>
                      <w:lang w:val="en-US" w:eastAsia="zh-CN"/>
                    </w:rPr>
                    <w:t>施工结束后立即恢复</w:t>
                  </w:r>
                </w:p>
              </w:tc>
            </w:tr>
            <w:tr w14:paraId="108CE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477D0F80">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1CB44414">
                  <w:pPr>
                    <w:keepNext w:val="0"/>
                    <w:keepLines w:val="0"/>
                    <w:pageBreakBefore w:val="0"/>
                    <w:widowControl w:val="0"/>
                    <w:kinsoku/>
                    <w:wordWrap/>
                    <w:overflowPunct/>
                    <w:topLinePunct w:val="0"/>
                    <w:bidi w:val="0"/>
                    <w:adjustRightInd/>
                    <w:snapToGrid/>
                    <w:jc w:val="center"/>
                    <w:textAlignment w:val="auto"/>
                    <w:rPr>
                      <w:color w:val="FF0000"/>
                      <w:sz w:val="18"/>
                      <w:szCs w:val="18"/>
                      <w:u w:val="none"/>
                    </w:rPr>
                  </w:pPr>
                  <w:r>
                    <w:rPr>
                      <w:rFonts w:hint="eastAsia"/>
                      <w:color w:val="FF0000"/>
                      <w:sz w:val="18"/>
                      <w:szCs w:val="18"/>
                      <w:u w:val="none"/>
                      <w:lang w:val="en-US" w:eastAsia="zh-CN"/>
                    </w:rPr>
                    <w:t>施工临建区</w:t>
                  </w:r>
                </w:p>
              </w:tc>
              <w:tc>
                <w:tcPr>
                  <w:tcW w:w="2945" w:type="pct"/>
                  <w:tcBorders>
                    <w:tl2br w:val="nil"/>
                    <w:tr2bl w:val="nil"/>
                  </w:tcBorders>
                  <w:vAlign w:val="center"/>
                </w:tcPr>
                <w:p w14:paraId="69A585E9">
                  <w:pPr>
                    <w:keepNext w:val="0"/>
                    <w:keepLines w:val="0"/>
                    <w:pageBreakBefore w:val="0"/>
                    <w:widowControl w:val="0"/>
                    <w:kinsoku/>
                    <w:wordWrap/>
                    <w:overflowPunct/>
                    <w:topLinePunct w:val="0"/>
                    <w:bidi w:val="0"/>
                    <w:adjustRightInd/>
                    <w:snapToGrid/>
                    <w:jc w:val="both"/>
                    <w:textAlignment w:val="auto"/>
                    <w:rPr>
                      <w:rFonts w:hint="eastAsia" w:eastAsia="宋体"/>
                      <w:color w:val="FF0000"/>
                      <w:sz w:val="18"/>
                      <w:szCs w:val="18"/>
                      <w:u w:val="none"/>
                      <w:lang w:val="en-US" w:eastAsia="zh-CN"/>
                    </w:rPr>
                  </w:pPr>
                  <w:r>
                    <w:rPr>
                      <w:rFonts w:hint="eastAsia" w:hAnsi="宋体"/>
                      <w:color w:val="FF0000"/>
                      <w:sz w:val="18"/>
                      <w:szCs w:val="18"/>
                      <w:u w:val="none"/>
                      <w:lang w:val="en-US" w:eastAsia="zh-CN"/>
                    </w:rPr>
                    <w:t>占地面积0.4hm</w:t>
                  </w:r>
                  <w:r>
                    <w:rPr>
                      <w:rFonts w:hint="eastAsia" w:hAnsi="宋体"/>
                      <w:color w:val="FF0000"/>
                      <w:sz w:val="18"/>
                      <w:szCs w:val="18"/>
                      <w:u w:val="none"/>
                      <w:vertAlign w:val="superscript"/>
                      <w:lang w:val="en-US" w:eastAsia="zh-CN"/>
                    </w:rPr>
                    <w:t>2</w:t>
                  </w:r>
                  <w:r>
                    <w:rPr>
                      <w:rFonts w:hint="eastAsia" w:hAnsi="宋体"/>
                      <w:color w:val="FF0000"/>
                      <w:sz w:val="18"/>
                      <w:szCs w:val="18"/>
                      <w:u w:val="none"/>
                      <w:lang w:val="en-US" w:eastAsia="zh-CN"/>
                    </w:rPr>
                    <w:t>，包括施工生活和管理区、砂石料堆场、综合仓库等，其中施工生活和管理区位于升压站附近，占地面积1000m</w:t>
                  </w:r>
                  <w:r>
                    <w:rPr>
                      <w:rFonts w:hint="eastAsia" w:hAnsi="宋体"/>
                      <w:color w:val="FF0000"/>
                      <w:sz w:val="18"/>
                      <w:szCs w:val="18"/>
                      <w:u w:val="none"/>
                      <w:vertAlign w:val="superscript"/>
                      <w:lang w:val="en-US" w:eastAsia="zh-CN"/>
                    </w:rPr>
                    <w:t>2</w:t>
                  </w:r>
                  <w:r>
                    <w:rPr>
                      <w:rFonts w:hint="eastAsia" w:hAnsi="宋体"/>
                      <w:color w:val="FF0000"/>
                      <w:sz w:val="18"/>
                      <w:szCs w:val="18"/>
                      <w:u w:val="none"/>
                      <w:lang w:val="en-US" w:eastAsia="zh-CN"/>
                    </w:rPr>
                    <w:t>，施工材料堆放区位于各风机安装平台，占地面积3000m</w:t>
                  </w:r>
                  <w:r>
                    <w:rPr>
                      <w:rFonts w:hint="eastAsia" w:hAnsi="宋体"/>
                      <w:color w:val="FF0000"/>
                      <w:sz w:val="18"/>
                      <w:szCs w:val="18"/>
                      <w:u w:val="none"/>
                      <w:vertAlign w:val="superscript"/>
                      <w:lang w:val="en-US" w:eastAsia="zh-CN"/>
                    </w:rPr>
                    <w:t>2</w:t>
                  </w:r>
                </w:p>
              </w:tc>
              <w:tc>
                <w:tcPr>
                  <w:tcW w:w="994" w:type="pct"/>
                  <w:vMerge w:val="continue"/>
                  <w:tcBorders>
                    <w:tl2br w:val="nil"/>
                    <w:tr2bl w:val="nil"/>
                  </w:tcBorders>
                  <w:vAlign w:val="center"/>
                </w:tcPr>
                <w:p w14:paraId="29F3FF3A">
                  <w:pPr>
                    <w:keepNext w:val="0"/>
                    <w:keepLines w:val="0"/>
                    <w:pageBreakBefore w:val="0"/>
                    <w:widowControl w:val="0"/>
                    <w:kinsoku/>
                    <w:wordWrap/>
                    <w:overflowPunct/>
                    <w:topLinePunct w:val="0"/>
                    <w:bidi w:val="0"/>
                    <w:adjustRightInd/>
                    <w:snapToGrid/>
                    <w:jc w:val="center"/>
                    <w:textAlignment w:val="auto"/>
                    <w:rPr>
                      <w:rFonts w:hint="default" w:eastAsia="宋体"/>
                      <w:sz w:val="18"/>
                      <w:szCs w:val="18"/>
                      <w:u w:val="none"/>
                      <w:lang w:val="en-US" w:eastAsia="zh-CN"/>
                    </w:rPr>
                  </w:pPr>
                </w:p>
              </w:tc>
            </w:tr>
            <w:tr w14:paraId="2CA17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restart"/>
                  <w:tcBorders>
                    <w:tl2br w:val="nil"/>
                    <w:tr2bl w:val="nil"/>
                  </w:tcBorders>
                  <w:vAlign w:val="center"/>
                </w:tcPr>
                <w:p w14:paraId="49C8DE34">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环保工程</w:t>
                  </w:r>
                </w:p>
              </w:tc>
              <w:tc>
                <w:tcPr>
                  <w:tcW w:w="634" w:type="pct"/>
                  <w:tcBorders>
                    <w:tl2br w:val="nil"/>
                    <w:tr2bl w:val="nil"/>
                  </w:tcBorders>
                  <w:vAlign w:val="center"/>
                </w:tcPr>
                <w:p w14:paraId="1CA74E6D">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int="eastAsia" w:hAnsi="宋体"/>
                      <w:sz w:val="18"/>
                      <w:szCs w:val="18"/>
                      <w:u w:val="none"/>
                    </w:rPr>
                    <w:t>废水</w:t>
                  </w:r>
                </w:p>
              </w:tc>
              <w:tc>
                <w:tcPr>
                  <w:tcW w:w="2945" w:type="pct"/>
                  <w:tcBorders>
                    <w:tl2br w:val="nil"/>
                    <w:tr2bl w:val="nil"/>
                  </w:tcBorders>
                  <w:vAlign w:val="center"/>
                </w:tcPr>
                <w:p w14:paraId="0B4E83E1">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施工期：生产废水经隔油、沉淀后用于车辆清洗或道路洒水抑尘，不外排；施工区设临时旱厕，粪污集中收集后定期清理，用于周边旱地、农田施肥，不外排；其他生活污水污染物含量较低，经沉淀池处理后浇灌周边林地。</w:t>
                  </w:r>
                </w:p>
                <w:p w14:paraId="5F1FE74B">
                  <w:pPr>
                    <w:keepNext w:val="0"/>
                    <w:keepLines w:val="0"/>
                    <w:pageBreakBefore w:val="0"/>
                    <w:widowControl w:val="0"/>
                    <w:kinsoku/>
                    <w:wordWrap/>
                    <w:overflowPunct/>
                    <w:topLinePunct w:val="0"/>
                    <w:bidi w:val="0"/>
                    <w:adjustRightInd/>
                    <w:snapToGrid/>
                    <w:jc w:val="left"/>
                    <w:textAlignment w:val="auto"/>
                    <w:rPr>
                      <w:sz w:val="18"/>
                      <w:szCs w:val="18"/>
                      <w:u w:val="none"/>
                    </w:rPr>
                  </w:pPr>
                  <w:r>
                    <w:rPr>
                      <w:rFonts w:hint="eastAsia" w:hAnsi="宋体"/>
                      <w:sz w:val="18"/>
                      <w:szCs w:val="18"/>
                      <w:u w:val="none"/>
                    </w:rPr>
                    <w:t>运营期：</w:t>
                  </w:r>
                  <w:r>
                    <w:rPr>
                      <w:rFonts w:hint="eastAsia" w:hAnsi="宋体"/>
                      <w:sz w:val="18"/>
                      <w:szCs w:val="18"/>
                      <w:u w:val="none"/>
                      <w:lang w:val="en-US" w:eastAsia="zh-CN"/>
                    </w:rPr>
                    <w:t>升压站</w:t>
                  </w:r>
                  <w:r>
                    <w:rPr>
                      <w:rFonts w:hint="eastAsia" w:hAnsi="宋体"/>
                      <w:sz w:val="18"/>
                      <w:szCs w:val="18"/>
                      <w:u w:val="none"/>
                    </w:rPr>
                    <w:t>生活污水经地埋式一体化污水设施处理达标后作为站内绿化用水回用，不外排。</w:t>
                  </w:r>
                </w:p>
              </w:tc>
              <w:tc>
                <w:tcPr>
                  <w:tcW w:w="994" w:type="pct"/>
                  <w:tcBorders>
                    <w:tl2br w:val="nil"/>
                    <w:tr2bl w:val="nil"/>
                  </w:tcBorders>
                  <w:vAlign w:val="center"/>
                </w:tcPr>
                <w:p w14:paraId="215575E6">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6835D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5052266E">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p>
              </w:tc>
              <w:tc>
                <w:tcPr>
                  <w:tcW w:w="634" w:type="pct"/>
                  <w:tcBorders>
                    <w:tl2br w:val="nil"/>
                    <w:tr2bl w:val="nil"/>
                  </w:tcBorders>
                  <w:vAlign w:val="center"/>
                </w:tcPr>
                <w:p w14:paraId="6E821E54">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r>
                    <w:rPr>
                      <w:rFonts w:hint="eastAsia" w:hAnsi="宋体"/>
                      <w:sz w:val="18"/>
                      <w:szCs w:val="18"/>
                      <w:u w:val="none"/>
                    </w:rPr>
                    <w:t>废气</w:t>
                  </w:r>
                </w:p>
              </w:tc>
              <w:tc>
                <w:tcPr>
                  <w:tcW w:w="2945" w:type="pct"/>
                  <w:tcBorders>
                    <w:tl2br w:val="nil"/>
                    <w:tr2bl w:val="nil"/>
                  </w:tcBorders>
                  <w:vAlign w:val="center"/>
                </w:tcPr>
                <w:p w14:paraId="2E7E3062">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施工期：运输道路及时清洁、洒水抑尘，使用帆布密封或采用罐体车运输，大风天禁止作业，临时堆场采取洒水、篷布遮挡等措施，施工场地洒水抑尘、设置围挡，临时堆料在制定地点规范堆存。</w:t>
                  </w:r>
                </w:p>
                <w:p w14:paraId="5899D9F1">
                  <w:pPr>
                    <w:keepNext w:val="0"/>
                    <w:keepLines w:val="0"/>
                    <w:pageBreakBefore w:val="0"/>
                    <w:widowControl w:val="0"/>
                    <w:kinsoku/>
                    <w:wordWrap/>
                    <w:overflowPunct/>
                    <w:topLinePunct w:val="0"/>
                    <w:bidi w:val="0"/>
                    <w:adjustRightInd/>
                    <w:snapToGrid/>
                    <w:jc w:val="left"/>
                    <w:textAlignment w:val="auto"/>
                    <w:rPr>
                      <w:rFonts w:hint="eastAsia" w:hAnsi="宋体" w:eastAsia="宋体"/>
                      <w:sz w:val="18"/>
                      <w:szCs w:val="18"/>
                      <w:u w:val="none"/>
                      <w:lang w:eastAsia="zh-CN"/>
                    </w:rPr>
                  </w:pPr>
                  <w:r>
                    <w:rPr>
                      <w:rFonts w:hint="eastAsia" w:hAnsi="宋体"/>
                      <w:sz w:val="18"/>
                      <w:szCs w:val="18"/>
                      <w:u w:val="none"/>
                    </w:rPr>
                    <w:t>运营期：食堂设置设油烟净化设施，经</w:t>
                  </w:r>
                  <w:r>
                    <w:rPr>
                      <w:rFonts w:hAnsi="宋体"/>
                      <w:sz w:val="18"/>
                      <w:szCs w:val="18"/>
                      <w:u w:val="none"/>
                    </w:rPr>
                    <w:t>处理后引至楼顶排放</w:t>
                  </w:r>
                  <w:r>
                    <w:rPr>
                      <w:rFonts w:hint="eastAsia" w:hAnsi="宋体"/>
                      <w:sz w:val="18"/>
                      <w:szCs w:val="18"/>
                      <w:u w:val="none"/>
                      <w:lang w:eastAsia="zh-CN"/>
                    </w:rPr>
                    <w:t>。</w:t>
                  </w:r>
                </w:p>
              </w:tc>
              <w:tc>
                <w:tcPr>
                  <w:tcW w:w="994" w:type="pct"/>
                  <w:tcBorders>
                    <w:tl2br w:val="nil"/>
                    <w:tr2bl w:val="nil"/>
                  </w:tcBorders>
                  <w:vAlign w:val="center"/>
                </w:tcPr>
                <w:p w14:paraId="117A4DCA">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03C35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0495BA8F">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p>
              </w:tc>
              <w:tc>
                <w:tcPr>
                  <w:tcW w:w="634" w:type="pct"/>
                  <w:tcBorders>
                    <w:tl2br w:val="nil"/>
                    <w:tr2bl w:val="nil"/>
                  </w:tcBorders>
                  <w:vAlign w:val="center"/>
                </w:tcPr>
                <w:p w14:paraId="6EF987D7">
                  <w:pPr>
                    <w:keepNext w:val="0"/>
                    <w:keepLines w:val="0"/>
                    <w:pageBreakBefore w:val="0"/>
                    <w:widowControl w:val="0"/>
                    <w:kinsoku/>
                    <w:wordWrap/>
                    <w:overflowPunct/>
                    <w:topLinePunct w:val="0"/>
                    <w:bidi w:val="0"/>
                    <w:adjustRightInd/>
                    <w:snapToGrid/>
                    <w:jc w:val="center"/>
                    <w:textAlignment w:val="auto"/>
                    <w:rPr>
                      <w:rFonts w:hAnsi="宋体"/>
                      <w:sz w:val="18"/>
                      <w:szCs w:val="18"/>
                      <w:u w:val="none"/>
                    </w:rPr>
                  </w:pPr>
                  <w:r>
                    <w:rPr>
                      <w:sz w:val="18"/>
                      <w:szCs w:val="18"/>
                      <w:u w:val="none"/>
                    </w:rPr>
                    <w:t>固体废物</w:t>
                  </w:r>
                </w:p>
              </w:tc>
              <w:tc>
                <w:tcPr>
                  <w:tcW w:w="2945" w:type="pct"/>
                  <w:tcBorders>
                    <w:tl2br w:val="nil"/>
                    <w:tr2bl w:val="nil"/>
                  </w:tcBorders>
                  <w:vAlign w:val="center"/>
                </w:tcPr>
                <w:p w14:paraId="35F65AED">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施工期：土石方合理平衡，并做好相应水保和植被恢复，施工人员生活垃圾集中收集，按当地环卫部门要求处置。</w:t>
                  </w:r>
                </w:p>
                <w:p w14:paraId="4BA475B5">
                  <w:pPr>
                    <w:keepNext w:val="0"/>
                    <w:keepLines w:val="0"/>
                    <w:pageBreakBefore w:val="0"/>
                    <w:widowControl w:val="0"/>
                    <w:kinsoku/>
                    <w:wordWrap/>
                    <w:overflowPunct/>
                    <w:topLinePunct w:val="0"/>
                    <w:bidi w:val="0"/>
                    <w:adjustRightInd/>
                    <w:snapToGrid/>
                    <w:jc w:val="left"/>
                    <w:textAlignment w:val="auto"/>
                    <w:rPr>
                      <w:rFonts w:hAnsi="宋体"/>
                      <w:sz w:val="18"/>
                      <w:szCs w:val="18"/>
                      <w:u w:val="none"/>
                    </w:rPr>
                  </w:pPr>
                  <w:r>
                    <w:rPr>
                      <w:rFonts w:hint="eastAsia" w:hAnsi="宋体"/>
                      <w:sz w:val="18"/>
                      <w:szCs w:val="18"/>
                      <w:u w:val="none"/>
                    </w:rPr>
                    <w:t>运营期：职工生活垃圾交由当地环卫部门处理；废蓄电池暂存由厂家回收；事故废油抽出至</w:t>
                  </w:r>
                  <w:r>
                    <w:rPr>
                      <w:rFonts w:hint="eastAsia" w:hAnsi="宋体"/>
                      <w:sz w:val="18"/>
                      <w:szCs w:val="18"/>
                      <w:u w:val="none"/>
                      <w:lang w:val="en-US" w:eastAsia="zh-CN"/>
                    </w:rPr>
                    <w:t>危废收集桶</w:t>
                  </w:r>
                  <w:r>
                    <w:rPr>
                      <w:rFonts w:hint="eastAsia" w:hAnsi="宋体"/>
                      <w:sz w:val="18"/>
                      <w:szCs w:val="18"/>
                      <w:u w:val="none"/>
                    </w:rPr>
                    <w:t>密封暂存于危废间，定期由有资质单位处理。</w:t>
                  </w:r>
                </w:p>
              </w:tc>
              <w:tc>
                <w:tcPr>
                  <w:tcW w:w="994" w:type="pct"/>
                  <w:tcBorders>
                    <w:tl2br w:val="nil"/>
                    <w:tr2bl w:val="nil"/>
                  </w:tcBorders>
                  <w:vAlign w:val="center"/>
                </w:tcPr>
                <w:p w14:paraId="73A1E99C">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43DFE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3A991294">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2A0EFB63">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噪声治理</w:t>
                  </w:r>
                </w:p>
              </w:tc>
              <w:tc>
                <w:tcPr>
                  <w:tcW w:w="2945" w:type="pct"/>
                  <w:tcBorders>
                    <w:tl2br w:val="nil"/>
                    <w:tr2bl w:val="nil"/>
                  </w:tcBorders>
                  <w:vAlign w:val="center"/>
                </w:tcPr>
                <w:p w14:paraId="328A3497">
                  <w:pPr>
                    <w:keepNext w:val="0"/>
                    <w:keepLines w:val="0"/>
                    <w:pageBreakBefore w:val="0"/>
                    <w:widowControl w:val="0"/>
                    <w:kinsoku/>
                    <w:wordWrap/>
                    <w:overflowPunct/>
                    <w:topLinePunct w:val="0"/>
                    <w:bidi w:val="0"/>
                    <w:adjustRightInd/>
                    <w:snapToGrid/>
                    <w:jc w:val="left"/>
                    <w:textAlignment w:val="auto"/>
                    <w:rPr>
                      <w:sz w:val="18"/>
                      <w:szCs w:val="18"/>
                      <w:u w:val="none"/>
                    </w:rPr>
                  </w:pPr>
                  <w:r>
                    <w:rPr>
                      <w:rFonts w:hAnsi="宋体"/>
                      <w:sz w:val="18"/>
                      <w:szCs w:val="18"/>
                      <w:u w:val="none"/>
                    </w:rPr>
                    <w:t>选用低噪声设备，定期检查风机机械系统</w:t>
                  </w:r>
                  <w:r>
                    <w:rPr>
                      <w:rFonts w:hint="eastAsia" w:hAnsi="宋体"/>
                      <w:sz w:val="18"/>
                      <w:szCs w:val="18"/>
                      <w:u w:val="none"/>
                    </w:rPr>
                    <w:t>，优化机位选址，尽可能的远离居民点</w:t>
                  </w:r>
                </w:p>
              </w:tc>
              <w:tc>
                <w:tcPr>
                  <w:tcW w:w="994" w:type="pct"/>
                  <w:tcBorders>
                    <w:tl2br w:val="nil"/>
                    <w:tr2bl w:val="nil"/>
                  </w:tcBorders>
                  <w:vAlign w:val="center"/>
                </w:tcPr>
                <w:p w14:paraId="39D73208">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78036B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5C17A1A2">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1910A7D1">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int="eastAsia"/>
                      <w:sz w:val="18"/>
                      <w:szCs w:val="18"/>
                      <w:u w:val="none"/>
                    </w:rPr>
                    <w:t>环境风险</w:t>
                  </w:r>
                </w:p>
              </w:tc>
              <w:tc>
                <w:tcPr>
                  <w:tcW w:w="2945" w:type="pct"/>
                  <w:tcBorders>
                    <w:tl2br w:val="nil"/>
                    <w:tr2bl w:val="nil"/>
                  </w:tcBorders>
                  <w:vAlign w:val="center"/>
                </w:tcPr>
                <w:p w14:paraId="4B3BEDF7">
                  <w:pPr>
                    <w:keepNext w:val="0"/>
                    <w:keepLines w:val="0"/>
                    <w:pageBreakBefore w:val="0"/>
                    <w:widowControl w:val="0"/>
                    <w:kinsoku/>
                    <w:wordWrap/>
                    <w:overflowPunct/>
                    <w:topLinePunct w:val="0"/>
                    <w:bidi w:val="0"/>
                    <w:adjustRightInd/>
                    <w:snapToGrid/>
                    <w:jc w:val="both"/>
                    <w:textAlignment w:val="auto"/>
                    <w:rPr>
                      <w:sz w:val="18"/>
                      <w:szCs w:val="18"/>
                      <w:u w:val="none"/>
                    </w:rPr>
                  </w:pPr>
                  <w:r>
                    <w:rPr>
                      <w:rFonts w:hint="eastAsia"/>
                      <w:sz w:val="18"/>
                      <w:szCs w:val="18"/>
                      <w:u w:val="none"/>
                    </w:rPr>
                    <w:t>对升压站事故油池和危废间采取全面防腐、防渗处理。</w:t>
                  </w:r>
                </w:p>
              </w:tc>
              <w:tc>
                <w:tcPr>
                  <w:tcW w:w="994" w:type="pct"/>
                  <w:tcBorders>
                    <w:tl2br w:val="nil"/>
                    <w:tr2bl w:val="nil"/>
                  </w:tcBorders>
                  <w:vAlign w:val="center"/>
                </w:tcPr>
                <w:p w14:paraId="6DEF3322">
                  <w:pPr>
                    <w:keepNext w:val="0"/>
                    <w:keepLines w:val="0"/>
                    <w:pageBreakBefore w:val="0"/>
                    <w:widowControl w:val="0"/>
                    <w:kinsoku/>
                    <w:wordWrap/>
                    <w:overflowPunct/>
                    <w:topLinePunct w:val="0"/>
                    <w:bidi w:val="0"/>
                    <w:adjustRightInd/>
                    <w:snapToGrid/>
                    <w:jc w:val="center"/>
                    <w:textAlignment w:val="auto"/>
                    <w:rPr>
                      <w:sz w:val="18"/>
                      <w:szCs w:val="18"/>
                      <w:u w:val="none"/>
                    </w:rPr>
                  </w:pPr>
                </w:p>
              </w:tc>
            </w:tr>
            <w:tr w14:paraId="4EA2A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25" w:type="pct"/>
                  <w:vMerge w:val="continue"/>
                  <w:tcBorders>
                    <w:tl2br w:val="nil"/>
                    <w:tr2bl w:val="nil"/>
                  </w:tcBorders>
                  <w:vAlign w:val="center"/>
                </w:tcPr>
                <w:p w14:paraId="2D141051">
                  <w:pPr>
                    <w:keepNext w:val="0"/>
                    <w:keepLines w:val="0"/>
                    <w:pageBreakBefore w:val="0"/>
                    <w:widowControl w:val="0"/>
                    <w:kinsoku/>
                    <w:wordWrap/>
                    <w:overflowPunct/>
                    <w:topLinePunct w:val="0"/>
                    <w:bidi w:val="0"/>
                    <w:adjustRightInd/>
                    <w:snapToGrid/>
                    <w:jc w:val="center"/>
                    <w:textAlignment w:val="auto"/>
                    <w:rPr>
                      <w:sz w:val="18"/>
                      <w:szCs w:val="18"/>
                      <w:u w:val="none"/>
                    </w:rPr>
                  </w:pPr>
                </w:p>
              </w:tc>
              <w:tc>
                <w:tcPr>
                  <w:tcW w:w="634" w:type="pct"/>
                  <w:tcBorders>
                    <w:tl2br w:val="nil"/>
                    <w:tr2bl w:val="nil"/>
                  </w:tcBorders>
                  <w:vAlign w:val="center"/>
                </w:tcPr>
                <w:p w14:paraId="7B77A6F5">
                  <w:pPr>
                    <w:keepNext w:val="0"/>
                    <w:keepLines w:val="0"/>
                    <w:pageBreakBefore w:val="0"/>
                    <w:widowControl w:val="0"/>
                    <w:kinsoku/>
                    <w:wordWrap/>
                    <w:overflowPunct/>
                    <w:topLinePunct w:val="0"/>
                    <w:bidi w:val="0"/>
                    <w:adjustRightInd/>
                    <w:snapToGrid/>
                    <w:jc w:val="center"/>
                    <w:textAlignment w:val="auto"/>
                    <w:rPr>
                      <w:sz w:val="18"/>
                      <w:szCs w:val="18"/>
                      <w:u w:val="none"/>
                    </w:rPr>
                  </w:pPr>
                  <w:r>
                    <w:rPr>
                      <w:rFonts w:hAnsi="宋体"/>
                      <w:sz w:val="18"/>
                      <w:szCs w:val="18"/>
                      <w:u w:val="none"/>
                    </w:rPr>
                    <w:t>生态保护和水土流失治理</w:t>
                  </w:r>
                </w:p>
              </w:tc>
              <w:tc>
                <w:tcPr>
                  <w:tcW w:w="2945" w:type="pct"/>
                  <w:tcBorders>
                    <w:tl2br w:val="nil"/>
                    <w:tr2bl w:val="nil"/>
                  </w:tcBorders>
                  <w:vAlign w:val="center"/>
                </w:tcPr>
                <w:p w14:paraId="20C54D9C">
                  <w:pPr>
                    <w:keepNext w:val="0"/>
                    <w:keepLines w:val="0"/>
                    <w:pageBreakBefore w:val="0"/>
                    <w:widowControl w:val="0"/>
                    <w:kinsoku/>
                    <w:wordWrap/>
                    <w:overflowPunct/>
                    <w:topLinePunct w:val="0"/>
                    <w:autoSpaceDE w:val="0"/>
                    <w:autoSpaceDN w:val="0"/>
                    <w:bidi w:val="0"/>
                    <w:adjustRightInd/>
                    <w:snapToGrid/>
                    <w:jc w:val="left"/>
                    <w:textAlignment w:val="auto"/>
                    <w:rPr>
                      <w:rFonts w:hAnsi="宋体"/>
                      <w:sz w:val="18"/>
                      <w:szCs w:val="18"/>
                      <w:u w:val="none"/>
                    </w:rPr>
                  </w:pPr>
                  <w:r>
                    <w:rPr>
                      <w:rFonts w:hAnsi="宋体"/>
                      <w:sz w:val="18"/>
                      <w:szCs w:val="18"/>
                      <w:u w:val="none"/>
                    </w:rPr>
                    <w:t>生态保护：优化风电机组位置，减少对植物的破坏；减少施工临时占地，避免对植被的破坏；对临时占地及时采取植树种草、合理绿化，对永久性占地进行生态补偿</w:t>
                  </w:r>
                  <w:r>
                    <w:rPr>
                      <w:rFonts w:hint="eastAsia" w:hAnsi="宋体"/>
                      <w:sz w:val="18"/>
                      <w:szCs w:val="18"/>
                      <w:u w:val="none"/>
                    </w:rPr>
                    <w:t>。</w:t>
                  </w:r>
                </w:p>
                <w:p w14:paraId="145E75DA">
                  <w:pPr>
                    <w:keepNext w:val="0"/>
                    <w:keepLines w:val="0"/>
                    <w:pageBreakBefore w:val="0"/>
                    <w:widowControl w:val="0"/>
                    <w:kinsoku/>
                    <w:wordWrap/>
                    <w:overflowPunct/>
                    <w:topLinePunct w:val="0"/>
                    <w:autoSpaceDE w:val="0"/>
                    <w:autoSpaceDN w:val="0"/>
                    <w:bidi w:val="0"/>
                    <w:adjustRightInd/>
                    <w:snapToGrid/>
                    <w:jc w:val="left"/>
                    <w:textAlignment w:val="auto"/>
                    <w:rPr>
                      <w:rFonts w:ascii="宋体"/>
                      <w:szCs w:val="21"/>
                      <w:u w:val="none"/>
                    </w:rPr>
                  </w:pPr>
                  <w:r>
                    <w:rPr>
                      <w:rFonts w:hAnsi="宋体"/>
                      <w:sz w:val="18"/>
                      <w:szCs w:val="18"/>
                      <w:u w:val="none"/>
                    </w:rPr>
                    <w:t>水土流失治理：编制水土保持方案，制定水土保持控制目标，采取工程措施、植物措施相结合控制水土流失</w:t>
                  </w:r>
                  <w:r>
                    <w:rPr>
                      <w:rFonts w:hint="eastAsia" w:hAnsi="宋体"/>
                      <w:sz w:val="18"/>
                      <w:szCs w:val="18"/>
                      <w:u w:val="none"/>
                    </w:rPr>
                    <w:t>。</w:t>
                  </w:r>
                </w:p>
              </w:tc>
              <w:tc>
                <w:tcPr>
                  <w:tcW w:w="994" w:type="pct"/>
                  <w:tcBorders>
                    <w:tl2br w:val="nil"/>
                    <w:tr2bl w:val="nil"/>
                  </w:tcBorders>
                  <w:vAlign w:val="center"/>
                </w:tcPr>
                <w:p w14:paraId="4ACED6E5">
                  <w:pPr>
                    <w:keepNext w:val="0"/>
                    <w:keepLines w:val="0"/>
                    <w:pageBreakBefore w:val="0"/>
                    <w:widowControl w:val="0"/>
                    <w:kinsoku/>
                    <w:wordWrap/>
                    <w:overflowPunct/>
                    <w:topLinePunct w:val="0"/>
                    <w:bidi w:val="0"/>
                    <w:adjustRightInd/>
                    <w:snapToGrid/>
                    <w:jc w:val="center"/>
                    <w:textAlignment w:val="auto"/>
                    <w:rPr>
                      <w:sz w:val="18"/>
                      <w:szCs w:val="18"/>
                      <w:u w:val="none"/>
                    </w:rPr>
                  </w:pPr>
                </w:p>
              </w:tc>
            </w:tr>
          </w:tbl>
          <w:p w14:paraId="6997D1B3">
            <w:pPr>
              <w:spacing w:line="360" w:lineRule="auto"/>
              <w:ind w:firstLine="482" w:firstLineChars="200"/>
              <w:jc w:val="left"/>
              <w:rPr>
                <w:b/>
                <w:sz w:val="24"/>
                <w:u w:val="none"/>
              </w:rPr>
            </w:pPr>
            <w:r>
              <w:rPr>
                <w:rFonts w:hint="eastAsia"/>
                <w:b/>
                <w:sz w:val="24"/>
                <w:u w:val="none"/>
                <w:lang w:eastAsia="zh-CN"/>
              </w:rPr>
              <w:t>（</w:t>
            </w:r>
            <w:r>
              <w:rPr>
                <w:rFonts w:hint="eastAsia"/>
                <w:b/>
                <w:sz w:val="24"/>
                <w:u w:val="none"/>
                <w:lang w:val="en-US" w:eastAsia="zh-CN"/>
              </w:rPr>
              <w:t>4</w:t>
            </w:r>
            <w:r>
              <w:rPr>
                <w:rFonts w:hint="eastAsia"/>
                <w:b/>
                <w:sz w:val="24"/>
                <w:u w:val="none"/>
                <w:lang w:eastAsia="zh-CN"/>
              </w:rPr>
              <w:t>）</w:t>
            </w:r>
            <w:r>
              <w:rPr>
                <w:rFonts w:hint="eastAsia"/>
                <w:b/>
                <w:sz w:val="24"/>
                <w:u w:val="none"/>
              </w:rPr>
              <w:t>主要工程特性</w:t>
            </w:r>
          </w:p>
          <w:p w14:paraId="7A70A317">
            <w:pPr>
              <w:spacing w:line="360" w:lineRule="auto"/>
              <w:ind w:firstLine="480" w:firstLineChars="200"/>
              <w:jc w:val="left"/>
              <w:rPr>
                <w:rFonts w:hint="eastAsia" w:hAnsi="宋体"/>
                <w:sz w:val="24"/>
                <w:u w:val="none"/>
              </w:rPr>
            </w:pPr>
            <w:r>
              <w:rPr>
                <w:rFonts w:hint="eastAsia" w:hAnsi="宋体"/>
                <w:sz w:val="24"/>
                <w:u w:val="none"/>
              </w:rPr>
              <w:t>本项目工程特性详见下表。</w:t>
            </w:r>
          </w:p>
          <w:p w14:paraId="3AB8D9EB">
            <w:pPr>
              <w:spacing w:line="240" w:lineRule="auto"/>
              <w:jc w:val="center"/>
              <w:rPr>
                <w:b/>
                <w:bCs/>
                <w:u w:val="none"/>
              </w:rPr>
            </w:pPr>
            <w:r>
              <w:rPr>
                <w:rFonts w:hint="eastAsia"/>
                <w:b/>
                <w:bCs/>
                <w:u w:val="none"/>
              </w:rPr>
              <w:t>表2-</w:t>
            </w:r>
            <w:r>
              <w:rPr>
                <w:b/>
                <w:bCs/>
                <w:u w:val="none"/>
              </w:rPr>
              <w:t>2</w:t>
            </w:r>
            <w:r>
              <w:rPr>
                <w:rFonts w:hint="eastAsia"/>
                <w:b/>
                <w:bCs/>
                <w:u w:val="none"/>
                <w:lang w:val="en-US" w:eastAsia="zh-CN"/>
              </w:rPr>
              <w:t xml:space="preserve">  </w:t>
            </w:r>
            <w:r>
              <w:rPr>
                <w:rFonts w:hint="eastAsia"/>
                <w:b/>
                <w:bCs/>
                <w:u w:val="none"/>
              </w:rPr>
              <w:t>项目主要工程特性一览表</w:t>
            </w:r>
          </w:p>
          <w:tbl>
            <w:tblPr>
              <w:tblStyle w:val="32"/>
              <w:tblW w:w="5000" w:type="pct"/>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005"/>
              <w:gridCol w:w="1153"/>
              <w:gridCol w:w="531"/>
              <w:gridCol w:w="284"/>
              <w:gridCol w:w="1780"/>
              <w:gridCol w:w="1108"/>
              <w:gridCol w:w="1627"/>
              <w:gridCol w:w="1127"/>
            </w:tblGrid>
            <w:tr w14:paraId="3557DF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2758" w:type="pct"/>
                  <w:gridSpan w:val="5"/>
                  <w:tcBorders>
                    <w:tl2br w:val="nil"/>
                    <w:tr2bl w:val="nil"/>
                  </w:tcBorders>
                  <w:vAlign w:val="center"/>
                </w:tcPr>
                <w:p w14:paraId="5AF2851C">
                  <w:pPr>
                    <w:adjustRightInd w:val="0"/>
                    <w:snapToGrid w:val="0"/>
                    <w:jc w:val="center"/>
                    <w:rPr>
                      <w:color w:val="FF0000"/>
                      <w:sz w:val="18"/>
                      <w:szCs w:val="18"/>
                      <w:u w:val="none"/>
                    </w:rPr>
                  </w:pPr>
                  <w:bookmarkStart w:id="20" w:name="_Toc440979449"/>
                  <w:bookmarkStart w:id="21" w:name="_Toc437599424"/>
                  <w:bookmarkStart w:id="22" w:name="_Toc441135164"/>
                  <w:bookmarkStart w:id="23" w:name="_Toc447295164"/>
                  <w:bookmarkStart w:id="24" w:name="_Toc421721147"/>
                  <w:r>
                    <w:rPr>
                      <w:rFonts w:hAnsi="宋体"/>
                      <w:color w:val="FF0000"/>
                      <w:sz w:val="18"/>
                      <w:szCs w:val="18"/>
                      <w:u w:val="none"/>
                    </w:rPr>
                    <w:t>名称</w:t>
                  </w:r>
                  <w:bookmarkEnd w:id="20"/>
                  <w:bookmarkEnd w:id="21"/>
                  <w:bookmarkEnd w:id="22"/>
                  <w:bookmarkEnd w:id="23"/>
                  <w:bookmarkEnd w:id="24"/>
                </w:p>
              </w:tc>
              <w:tc>
                <w:tcPr>
                  <w:tcW w:w="643" w:type="pct"/>
                  <w:tcBorders>
                    <w:tl2br w:val="nil"/>
                    <w:tr2bl w:val="nil"/>
                  </w:tcBorders>
                  <w:vAlign w:val="center"/>
                </w:tcPr>
                <w:p w14:paraId="3DFF5914">
                  <w:pPr>
                    <w:adjustRightInd w:val="0"/>
                    <w:snapToGrid w:val="0"/>
                    <w:jc w:val="center"/>
                    <w:rPr>
                      <w:color w:val="FF0000"/>
                      <w:sz w:val="18"/>
                      <w:szCs w:val="18"/>
                      <w:u w:val="none"/>
                    </w:rPr>
                  </w:pPr>
                  <w:bookmarkStart w:id="25" w:name="_Toc441135165"/>
                  <w:bookmarkStart w:id="26" w:name="_Toc447295165"/>
                  <w:bookmarkStart w:id="27" w:name="_Toc440979450"/>
                  <w:bookmarkStart w:id="28" w:name="_Toc437599425"/>
                  <w:bookmarkStart w:id="29" w:name="_Toc421721148"/>
                  <w:r>
                    <w:rPr>
                      <w:rFonts w:hAnsi="宋体"/>
                      <w:color w:val="FF0000"/>
                      <w:sz w:val="18"/>
                      <w:szCs w:val="18"/>
                      <w:u w:val="none"/>
                    </w:rPr>
                    <w:t>单位</w:t>
                  </w:r>
                  <w:bookmarkEnd w:id="25"/>
                  <w:bookmarkEnd w:id="26"/>
                  <w:bookmarkEnd w:id="27"/>
                  <w:bookmarkEnd w:id="28"/>
                  <w:bookmarkEnd w:id="29"/>
                </w:p>
                <w:p w14:paraId="5AD7B597">
                  <w:pPr>
                    <w:adjustRightInd w:val="0"/>
                    <w:snapToGrid w:val="0"/>
                    <w:jc w:val="center"/>
                    <w:rPr>
                      <w:color w:val="FF0000"/>
                      <w:sz w:val="18"/>
                      <w:szCs w:val="18"/>
                      <w:u w:val="none"/>
                    </w:rPr>
                  </w:pPr>
                  <w:bookmarkStart w:id="30" w:name="_Toc447295166"/>
                  <w:bookmarkStart w:id="31" w:name="_Toc421721149"/>
                  <w:bookmarkStart w:id="32" w:name="_Toc437599426"/>
                  <w:bookmarkStart w:id="33" w:name="_Toc441135166"/>
                  <w:bookmarkStart w:id="34" w:name="_Toc440979451"/>
                  <w:r>
                    <w:rPr>
                      <w:color w:val="FF0000"/>
                      <w:sz w:val="18"/>
                      <w:szCs w:val="18"/>
                      <w:u w:val="none"/>
                    </w:rPr>
                    <w:t>(</w:t>
                  </w:r>
                  <w:r>
                    <w:rPr>
                      <w:rFonts w:hAnsi="宋体"/>
                      <w:color w:val="FF0000"/>
                      <w:sz w:val="18"/>
                      <w:szCs w:val="18"/>
                      <w:u w:val="none"/>
                    </w:rPr>
                    <w:t>或型号</w:t>
                  </w:r>
                  <w:r>
                    <w:rPr>
                      <w:color w:val="FF0000"/>
                      <w:sz w:val="18"/>
                      <w:szCs w:val="18"/>
                      <w:u w:val="none"/>
                    </w:rPr>
                    <w:t>)</w:t>
                  </w:r>
                  <w:bookmarkEnd w:id="30"/>
                  <w:bookmarkEnd w:id="31"/>
                  <w:bookmarkEnd w:id="32"/>
                  <w:bookmarkEnd w:id="33"/>
                  <w:bookmarkEnd w:id="34"/>
                </w:p>
              </w:tc>
              <w:tc>
                <w:tcPr>
                  <w:tcW w:w="944" w:type="pct"/>
                  <w:tcBorders>
                    <w:tl2br w:val="nil"/>
                    <w:tr2bl w:val="nil"/>
                  </w:tcBorders>
                  <w:vAlign w:val="center"/>
                </w:tcPr>
                <w:p w14:paraId="0B31DEA2">
                  <w:pPr>
                    <w:adjustRightInd w:val="0"/>
                    <w:snapToGrid w:val="0"/>
                    <w:jc w:val="center"/>
                    <w:rPr>
                      <w:color w:val="FF0000"/>
                      <w:sz w:val="18"/>
                      <w:szCs w:val="18"/>
                      <w:u w:val="none"/>
                    </w:rPr>
                  </w:pPr>
                  <w:bookmarkStart w:id="35" w:name="_Toc437599427"/>
                  <w:bookmarkStart w:id="36" w:name="_Toc440979452"/>
                  <w:bookmarkStart w:id="37" w:name="_Toc447295167"/>
                  <w:bookmarkStart w:id="38" w:name="_Toc441135167"/>
                  <w:bookmarkStart w:id="39" w:name="_Toc421721150"/>
                  <w:r>
                    <w:rPr>
                      <w:rFonts w:hint="eastAsia" w:hAnsi="宋体"/>
                      <w:color w:val="FF0000"/>
                      <w:sz w:val="18"/>
                      <w:szCs w:val="18"/>
                      <w:u w:val="none"/>
                    </w:rPr>
                    <w:t>内容或</w:t>
                  </w:r>
                  <w:r>
                    <w:rPr>
                      <w:rFonts w:hAnsi="宋体"/>
                      <w:color w:val="FF0000"/>
                      <w:sz w:val="18"/>
                      <w:szCs w:val="18"/>
                      <w:u w:val="none"/>
                    </w:rPr>
                    <w:t>数量</w:t>
                  </w:r>
                  <w:bookmarkEnd w:id="35"/>
                  <w:bookmarkEnd w:id="36"/>
                  <w:bookmarkEnd w:id="37"/>
                  <w:bookmarkEnd w:id="38"/>
                  <w:bookmarkEnd w:id="39"/>
                </w:p>
              </w:tc>
              <w:tc>
                <w:tcPr>
                  <w:tcW w:w="653" w:type="pct"/>
                  <w:tcBorders>
                    <w:tl2br w:val="nil"/>
                    <w:tr2bl w:val="nil"/>
                  </w:tcBorders>
                  <w:vAlign w:val="center"/>
                </w:tcPr>
                <w:p w14:paraId="1D74CC01">
                  <w:pPr>
                    <w:adjustRightInd w:val="0"/>
                    <w:snapToGrid w:val="0"/>
                    <w:jc w:val="center"/>
                    <w:rPr>
                      <w:color w:val="FF0000"/>
                      <w:sz w:val="18"/>
                      <w:szCs w:val="18"/>
                      <w:u w:val="none"/>
                    </w:rPr>
                  </w:pPr>
                  <w:r>
                    <w:rPr>
                      <w:rFonts w:hAnsi="宋体"/>
                      <w:color w:val="FF0000"/>
                      <w:sz w:val="18"/>
                      <w:szCs w:val="18"/>
                      <w:u w:val="none"/>
                    </w:rPr>
                    <w:t>备注</w:t>
                  </w:r>
                </w:p>
              </w:tc>
            </w:tr>
            <w:tr w14:paraId="6F1461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037F30A8">
                  <w:pPr>
                    <w:adjustRightInd w:val="0"/>
                    <w:snapToGrid w:val="0"/>
                    <w:jc w:val="center"/>
                    <w:rPr>
                      <w:color w:val="FF0000"/>
                      <w:sz w:val="18"/>
                      <w:szCs w:val="18"/>
                      <w:u w:val="none"/>
                    </w:rPr>
                  </w:pPr>
                  <w:bookmarkStart w:id="40" w:name="_Toc440979453"/>
                  <w:bookmarkStart w:id="41" w:name="_Toc421721151"/>
                  <w:bookmarkStart w:id="42" w:name="_Toc437599428"/>
                  <w:bookmarkStart w:id="43" w:name="_Toc447295168"/>
                  <w:bookmarkStart w:id="44" w:name="_Toc441135168"/>
                  <w:r>
                    <w:rPr>
                      <w:rFonts w:hAnsi="宋体"/>
                      <w:color w:val="FF0000"/>
                      <w:sz w:val="18"/>
                      <w:szCs w:val="18"/>
                      <w:u w:val="none"/>
                    </w:rPr>
                    <w:t>风电场场址</w:t>
                  </w:r>
                  <w:bookmarkEnd w:id="40"/>
                  <w:bookmarkEnd w:id="41"/>
                  <w:bookmarkEnd w:id="42"/>
                  <w:bookmarkEnd w:id="43"/>
                  <w:bookmarkEnd w:id="44"/>
                </w:p>
              </w:tc>
              <w:tc>
                <w:tcPr>
                  <w:tcW w:w="2174" w:type="pct"/>
                  <w:gridSpan w:val="4"/>
                  <w:tcBorders>
                    <w:tl2br w:val="nil"/>
                    <w:tr2bl w:val="nil"/>
                  </w:tcBorders>
                  <w:vAlign w:val="center"/>
                </w:tcPr>
                <w:p w14:paraId="1461B574">
                  <w:pPr>
                    <w:adjustRightInd w:val="0"/>
                    <w:snapToGrid w:val="0"/>
                    <w:jc w:val="center"/>
                    <w:rPr>
                      <w:color w:val="FF0000"/>
                      <w:sz w:val="18"/>
                      <w:szCs w:val="18"/>
                      <w:u w:val="none"/>
                    </w:rPr>
                  </w:pPr>
                  <w:r>
                    <w:rPr>
                      <w:rFonts w:hAnsi="宋体"/>
                      <w:color w:val="FF0000"/>
                      <w:sz w:val="18"/>
                      <w:szCs w:val="18"/>
                      <w:u w:val="none"/>
                    </w:rPr>
                    <w:t>海拔高度</w:t>
                  </w:r>
                </w:p>
              </w:tc>
              <w:tc>
                <w:tcPr>
                  <w:tcW w:w="643" w:type="pct"/>
                  <w:tcBorders>
                    <w:tl2br w:val="nil"/>
                    <w:tr2bl w:val="nil"/>
                  </w:tcBorders>
                  <w:vAlign w:val="center"/>
                </w:tcPr>
                <w:p w14:paraId="75721BEB">
                  <w:pPr>
                    <w:adjustRightInd w:val="0"/>
                    <w:snapToGrid w:val="0"/>
                    <w:jc w:val="center"/>
                    <w:rPr>
                      <w:color w:val="FF0000"/>
                      <w:sz w:val="18"/>
                      <w:szCs w:val="18"/>
                      <w:u w:val="none"/>
                    </w:rPr>
                  </w:pPr>
                  <w:bookmarkStart w:id="45" w:name="_Toc441135169"/>
                  <w:bookmarkStart w:id="46" w:name="_Toc447295169"/>
                  <w:bookmarkStart w:id="47" w:name="_Toc440979454"/>
                  <w:bookmarkStart w:id="48" w:name="_Toc437599429"/>
                  <w:bookmarkStart w:id="49" w:name="_Toc421721152"/>
                  <w:r>
                    <w:rPr>
                      <w:color w:val="FF0000"/>
                      <w:sz w:val="18"/>
                      <w:szCs w:val="18"/>
                      <w:u w:val="none"/>
                    </w:rPr>
                    <w:t>m</w:t>
                  </w:r>
                  <w:bookmarkEnd w:id="45"/>
                  <w:bookmarkEnd w:id="46"/>
                  <w:bookmarkEnd w:id="47"/>
                  <w:bookmarkEnd w:id="48"/>
                  <w:bookmarkEnd w:id="49"/>
                </w:p>
              </w:tc>
              <w:tc>
                <w:tcPr>
                  <w:tcW w:w="944" w:type="pct"/>
                  <w:tcBorders>
                    <w:tl2br w:val="nil"/>
                    <w:tr2bl w:val="nil"/>
                  </w:tcBorders>
                  <w:vAlign w:val="center"/>
                </w:tcPr>
                <w:p w14:paraId="1CB787EF">
                  <w:pPr>
                    <w:adjustRightInd w:val="0"/>
                    <w:snapToGrid w:val="0"/>
                    <w:jc w:val="center"/>
                    <w:rPr>
                      <w:color w:val="FF0000"/>
                      <w:sz w:val="18"/>
                      <w:szCs w:val="18"/>
                      <w:u w:val="none"/>
                    </w:rPr>
                  </w:pPr>
                  <w:r>
                    <w:rPr>
                      <w:rFonts w:hint="eastAsia"/>
                      <w:color w:val="FF0000"/>
                      <w:sz w:val="18"/>
                      <w:szCs w:val="18"/>
                      <w:u w:val="none"/>
                      <w:lang w:val="en-US" w:eastAsia="zh-CN"/>
                    </w:rPr>
                    <w:t>45</w:t>
                  </w:r>
                  <w:r>
                    <w:rPr>
                      <w:color w:val="FF0000"/>
                      <w:sz w:val="18"/>
                      <w:szCs w:val="18"/>
                      <w:u w:val="none"/>
                    </w:rPr>
                    <w:t>0</w:t>
                  </w:r>
                  <w:r>
                    <w:rPr>
                      <w:rFonts w:hint="eastAsia"/>
                      <w:color w:val="FF0000"/>
                      <w:sz w:val="18"/>
                      <w:szCs w:val="18"/>
                      <w:u w:val="none"/>
                    </w:rPr>
                    <w:t>~</w:t>
                  </w:r>
                  <w:r>
                    <w:rPr>
                      <w:color w:val="FF0000"/>
                      <w:sz w:val="18"/>
                      <w:szCs w:val="18"/>
                      <w:u w:val="none"/>
                    </w:rPr>
                    <w:t>500</w:t>
                  </w:r>
                </w:p>
              </w:tc>
              <w:tc>
                <w:tcPr>
                  <w:tcW w:w="653" w:type="pct"/>
                  <w:tcBorders>
                    <w:tl2br w:val="nil"/>
                    <w:tr2bl w:val="nil"/>
                  </w:tcBorders>
                  <w:vAlign w:val="center"/>
                </w:tcPr>
                <w:p w14:paraId="6E83E655">
                  <w:pPr>
                    <w:adjustRightInd w:val="0"/>
                    <w:snapToGrid w:val="0"/>
                    <w:jc w:val="center"/>
                    <w:rPr>
                      <w:color w:val="FF0000"/>
                      <w:sz w:val="18"/>
                      <w:szCs w:val="18"/>
                      <w:u w:val="none"/>
                    </w:rPr>
                  </w:pPr>
                </w:p>
              </w:tc>
            </w:tr>
            <w:tr w14:paraId="06BB28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80FDAF9">
                  <w:pPr>
                    <w:adjustRightInd w:val="0"/>
                    <w:snapToGrid w:val="0"/>
                    <w:jc w:val="center"/>
                    <w:rPr>
                      <w:color w:val="FF0000"/>
                      <w:sz w:val="18"/>
                      <w:szCs w:val="18"/>
                      <w:u w:val="none"/>
                    </w:rPr>
                  </w:pPr>
                </w:p>
              </w:tc>
              <w:tc>
                <w:tcPr>
                  <w:tcW w:w="2174" w:type="pct"/>
                  <w:gridSpan w:val="4"/>
                  <w:tcBorders>
                    <w:tl2br w:val="nil"/>
                    <w:tr2bl w:val="nil"/>
                  </w:tcBorders>
                  <w:vAlign w:val="center"/>
                </w:tcPr>
                <w:p w14:paraId="687A9566">
                  <w:pPr>
                    <w:adjustRightInd w:val="0"/>
                    <w:snapToGrid w:val="0"/>
                    <w:jc w:val="center"/>
                    <w:rPr>
                      <w:color w:val="FF0000"/>
                      <w:sz w:val="18"/>
                      <w:szCs w:val="18"/>
                      <w:u w:val="none"/>
                    </w:rPr>
                  </w:pPr>
                  <w:bookmarkStart w:id="50" w:name="_Toc440979456"/>
                  <w:bookmarkStart w:id="51" w:name="_Toc447295171"/>
                  <w:bookmarkStart w:id="52" w:name="_Toc437599431"/>
                  <w:bookmarkStart w:id="53" w:name="_Toc441135171"/>
                  <w:bookmarkStart w:id="54" w:name="_Toc421721154"/>
                  <w:r>
                    <w:rPr>
                      <w:rFonts w:hAnsi="宋体"/>
                      <w:color w:val="FF0000"/>
                      <w:sz w:val="18"/>
                      <w:szCs w:val="18"/>
                      <w:u w:val="none"/>
                    </w:rPr>
                    <w:t>年平均风速</w:t>
                  </w:r>
                  <w:bookmarkEnd w:id="50"/>
                  <w:bookmarkEnd w:id="51"/>
                  <w:bookmarkEnd w:id="52"/>
                  <w:bookmarkEnd w:id="53"/>
                  <w:bookmarkEnd w:id="54"/>
                </w:p>
              </w:tc>
              <w:tc>
                <w:tcPr>
                  <w:tcW w:w="643" w:type="pct"/>
                  <w:tcBorders>
                    <w:tl2br w:val="nil"/>
                    <w:tr2bl w:val="nil"/>
                  </w:tcBorders>
                  <w:vAlign w:val="center"/>
                </w:tcPr>
                <w:p w14:paraId="277F21D7">
                  <w:pPr>
                    <w:adjustRightInd w:val="0"/>
                    <w:snapToGrid w:val="0"/>
                    <w:jc w:val="center"/>
                    <w:rPr>
                      <w:color w:val="FF0000"/>
                      <w:sz w:val="18"/>
                      <w:szCs w:val="18"/>
                      <w:u w:val="none"/>
                    </w:rPr>
                  </w:pPr>
                  <w:bookmarkStart w:id="55" w:name="_Toc437599432"/>
                  <w:bookmarkStart w:id="56" w:name="_Toc441135172"/>
                  <w:bookmarkStart w:id="57" w:name="_Toc440979457"/>
                  <w:bookmarkStart w:id="58" w:name="_Toc421721155"/>
                  <w:bookmarkStart w:id="59" w:name="_Toc447295172"/>
                  <w:r>
                    <w:rPr>
                      <w:color w:val="FF0000"/>
                      <w:sz w:val="18"/>
                      <w:szCs w:val="18"/>
                      <w:u w:val="none"/>
                    </w:rPr>
                    <w:t>m/s</w:t>
                  </w:r>
                  <w:bookmarkEnd w:id="55"/>
                  <w:bookmarkEnd w:id="56"/>
                  <w:bookmarkEnd w:id="57"/>
                  <w:bookmarkEnd w:id="58"/>
                  <w:bookmarkEnd w:id="59"/>
                </w:p>
              </w:tc>
              <w:tc>
                <w:tcPr>
                  <w:tcW w:w="944" w:type="pct"/>
                  <w:tcBorders>
                    <w:tl2br w:val="nil"/>
                    <w:tr2bl w:val="nil"/>
                  </w:tcBorders>
                  <w:vAlign w:val="center"/>
                </w:tcPr>
                <w:p w14:paraId="2F6AC67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4.94</w:t>
                  </w:r>
                </w:p>
              </w:tc>
              <w:tc>
                <w:tcPr>
                  <w:tcW w:w="653" w:type="pct"/>
                  <w:tcBorders>
                    <w:tl2br w:val="nil"/>
                    <w:tr2bl w:val="nil"/>
                  </w:tcBorders>
                  <w:vAlign w:val="center"/>
                </w:tcPr>
                <w:p w14:paraId="2589EC6E">
                  <w:pPr>
                    <w:adjustRightInd w:val="0"/>
                    <w:snapToGrid w:val="0"/>
                    <w:jc w:val="center"/>
                    <w:rPr>
                      <w:color w:val="FF0000"/>
                      <w:sz w:val="18"/>
                      <w:szCs w:val="18"/>
                      <w:u w:val="none"/>
                    </w:rPr>
                  </w:pPr>
                </w:p>
              </w:tc>
            </w:tr>
            <w:tr w14:paraId="345057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CC71C49">
                  <w:pPr>
                    <w:adjustRightInd w:val="0"/>
                    <w:snapToGrid w:val="0"/>
                    <w:jc w:val="center"/>
                    <w:rPr>
                      <w:color w:val="FF0000"/>
                      <w:sz w:val="18"/>
                      <w:szCs w:val="18"/>
                      <w:u w:val="none"/>
                    </w:rPr>
                  </w:pPr>
                </w:p>
              </w:tc>
              <w:tc>
                <w:tcPr>
                  <w:tcW w:w="2174" w:type="pct"/>
                  <w:gridSpan w:val="4"/>
                  <w:tcBorders>
                    <w:tl2br w:val="nil"/>
                    <w:tr2bl w:val="nil"/>
                  </w:tcBorders>
                  <w:vAlign w:val="center"/>
                </w:tcPr>
                <w:p w14:paraId="10388C20">
                  <w:pPr>
                    <w:adjustRightInd w:val="0"/>
                    <w:snapToGrid w:val="0"/>
                    <w:jc w:val="center"/>
                    <w:rPr>
                      <w:color w:val="FF0000"/>
                      <w:sz w:val="18"/>
                      <w:szCs w:val="18"/>
                      <w:u w:val="none"/>
                    </w:rPr>
                  </w:pPr>
                  <w:bookmarkStart w:id="60" w:name="_Toc437599435"/>
                  <w:bookmarkStart w:id="61" w:name="_Toc440979460"/>
                  <w:bookmarkStart w:id="62" w:name="_Toc421721158"/>
                  <w:bookmarkStart w:id="63" w:name="_Toc447295175"/>
                  <w:bookmarkStart w:id="64" w:name="_Toc441135175"/>
                  <w:r>
                    <w:rPr>
                      <w:rFonts w:hAnsi="宋体"/>
                      <w:color w:val="FF0000"/>
                      <w:sz w:val="18"/>
                      <w:szCs w:val="18"/>
                      <w:u w:val="none"/>
                    </w:rPr>
                    <w:t>风功率密度</w:t>
                  </w:r>
                  <w:bookmarkEnd w:id="60"/>
                  <w:bookmarkEnd w:id="61"/>
                  <w:bookmarkEnd w:id="62"/>
                  <w:bookmarkEnd w:id="63"/>
                  <w:bookmarkEnd w:id="64"/>
                </w:p>
              </w:tc>
              <w:tc>
                <w:tcPr>
                  <w:tcW w:w="643" w:type="pct"/>
                  <w:tcBorders>
                    <w:tl2br w:val="nil"/>
                    <w:tr2bl w:val="nil"/>
                  </w:tcBorders>
                  <w:vAlign w:val="center"/>
                </w:tcPr>
                <w:p w14:paraId="736351F3">
                  <w:pPr>
                    <w:adjustRightInd w:val="0"/>
                    <w:snapToGrid w:val="0"/>
                    <w:jc w:val="center"/>
                    <w:rPr>
                      <w:color w:val="FF0000"/>
                      <w:sz w:val="18"/>
                      <w:szCs w:val="18"/>
                      <w:u w:val="none"/>
                    </w:rPr>
                  </w:pPr>
                  <w:bookmarkStart w:id="65" w:name="_Toc437599436"/>
                  <w:bookmarkStart w:id="66" w:name="_Toc441135176"/>
                  <w:bookmarkStart w:id="67" w:name="_Toc447295176"/>
                  <w:bookmarkStart w:id="68" w:name="_Toc440979461"/>
                  <w:bookmarkStart w:id="69" w:name="_Toc421721159"/>
                  <w:r>
                    <w:rPr>
                      <w:color w:val="FF0000"/>
                      <w:sz w:val="18"/>
                      <w:szCs w:val="18"/>
                      <w:u w:val="none"/>
                    </w:rPr>
                    <w:t>W/m</w:t>
                  </w:r>
                  <w:r>
                    <w:rPr>
                      <w:color w:val="FF0000"/>
                      <w:sz w:val="18"/>
                      <w:szCs w:val="18"/>
                      <w:u w:val="none"/>
                      <w:vertAlign w:val="superscript"/>
                    </w:rPr>
                    <w:t>2</w:t>
                  </w:r>
                  <w:bookmarkEnd w:id="65"/>
                  <w:bookmarkEnd w:id="66"/>
                  <w:bookmarkEnd w:id="67"/>
                  <w:bookmarkEnd w:id="68"/>
                  <w:bookmarkEnd w:id="69"/>
                </w:p>
              </w:tc>
              <w:tc>
                <w:tcPr>
                  <w:tcW w:w="944" w:type="pct"/>
                  <w:tcBorders>
                    <w:tl2br w:val="nil"/>
                    <w:tr2bl w:val="nil"/>
                  </w:tcBorders>
                  <w:vAlign w:val="center"/>
                </w:tcPr>
                <w:p w14:paraId="218C27E0">
                  <w:pPr>
                    <w:adjustRightInd w:val="0"/>
                    <w:snapToGrid w:val="0"/>
                    <w:jc w:val="center"/>
                    <w:rPr>
                      <w:rFonts w:hint="default"/>
                      <w:color w:val="FF0000"/>
                      <w:sz w:val="18"/>
                      <w:szCs w:val="18"/>
                      <w:u w:val="none"/>
                      <w:lang w:val="en-US"/>
                    </w:rPr>
                  </w:pPr>
                  <w:r>
                    <w:rPr>
                      <w:rFonts w:hint="eastAsia"/>
                      <w:color w:val="FF0000"/>
                      <w:sz w:val="18"/>
                      <w:szCs w:val="18"/>
                      <w:u w:val="none"/>
                      <w:lang w:val="en-US" w:eastAsia="zh-CN"/>
                    </w:rPr>
                    <w:t>145.48</w:t>
                  </w:r>
                </w:p>
              </w:tc>
              <w:tc>
                <w:tcPr>
                  <w:tcW w:w="653" w:type="pct"/>
                  <w:tcBorders>
                    <w:tl2br w:val="nil"/>
                    <w:tr2bl w:val="nil"/>
                  </w:tcBorders>
                  <w:vAlign w:val="center"/>
                </w:tcPr>
                <w:p w14:paraId="61D652CB">
                  <w:pPr>
                    <w:adjustRightInd w:val="0"/>
                    <w:snapToGrid w:val="0"/>
                    <w:jc w:val="center"/>
                    <w:rPr>
                      <w:color w:val="FF0000"/>
                      <w:sz w:val="18"/>
                      <w:szCs w:val="18"/>
                      <w:u w:val="none"/>
                    </w:rPr>
                  </w:pPr>
                </w:p>
              </w:tc>
            </w:tr>
            <w:tr w14:paraId="2B2C17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A4A765B">
                  <w:pPr>
                    <w:adjustRightInd w:val="0"/>
                    <w:snapToGrid w:val="0"/>
                    <w:jc w:val="center"/>
                    <w:rPr>
                      <w:color w:val="FF0000"/>
                      <w:sz w:val="18"/>
                      <w:szCs w:val="18"/>
                      <w:u w:val="none"/>
                    </w:rPr>
                  </w:pPr>
                </w:p>
              </w:tc>
              <w:tc>
                <w:tcPr>
                  <w:tcW w:w="2174" w:type="pct"/>
                  <w:gridSpan w:val="4"/>
                  <w:tcBorders>
                    <w:tl2br w:val="nil"/>
                    <w:tr2bl w:val="nil"/>
                  </w:tcBorders>
                  <w:vAlign w:val="center"/>
                </w:tcPr>
                <w:p w14:paraId="435ABB78">
                  <w:pPr>
                    <w:adjustRightInd w:val="0"/>
                    <w:snapToGrid w:val="0"/>
                    <w:jc w:val="center"/>
                    <w:rPr>
                      <w:color w:val="FF0000"/>
                      <w:sz w:val="18"/>
                      <w:szCs w:val="18"/>
                      <w:u w:val="none"/>
                    </w:rPr>
                  </w:pPr>
                  <w:bookmarkStart w:id="70" w:name="_Toc447295178"/>
                  <w:bookmarkStart w:id="71" w:name="_Toc421721161"/>
                  <w:bookmarkStart w:id="72" w:name="_Toc441135178"/>
                  <w:bookmarkStart w:id="73" w:name="_Toc440979463"/>
                  <w:bookmarkStart w:id="74" w:name="_Toc437599438"/>
                  <w:r>
                    <w:rPr>
                      <w:rFonts w:hAnsi="宋体"/>
                      <w:color w:val="FF0000"/>
                      <w:sz w:val="18"/>
                      <w:szCs w:val="18"/>
                      <w:u w:val="none"/>
                    </w:rPr>
                    <w:t>盛行风向</w:t>
                  </w:r>
                  <w:bookmarkEnd w:id="70"/>
                  <w:bookmarkEnd w:id="71"/>
                  <w:bookmarkEnd w:id="72"/>
                  <w:bookmarkEnd w:id="73"/>
                  <w:bookmarkEnd w:id="74"/>
                </w:p>
              </w:tc>
              <w:tc>
                <w:tcPr>
                  <w:tcW w:w="643" w:type="pct"/>
                  <w:tcBorders>
                    <w:tl2br w:val="nil"/>
                    <w:tr2bl w:val="nil"/>
                  </w:tcBorders>
                  <w:vAlign w:val="center"/>
                </w:tcPr>
                <w:p w14:paraId="67997514">
                  <w:pPr>
                    <w:adjustRightInd w:val="0"/>
                    <w:snapToGrid w:val="0"/>
                    <w:jc w:val="center"/>
                    <w:rPr>
                      <w:color w:val="FF0000"/>
                      <w:sz w:val="18"/>
                      <w:szCs w:val="18"/>
                      <w:u w:val="none"/>
                    </w:rPr>
                  </w:pPr>
                </w:p>
              </w:tc>
              <w:tc>
                <w:tcPr>
                  <w:tcW w:w="944" w:type="pct"/>
                  <w:tcBorders>
                    <w:tl2br w:val="nil"/>
                    <w:tr2bl w:val="nil"/>
                  </w:tcBorders>
                  <w:vAlign w:val="center"/>
                </w:tcPr>
                <w:p w14:paraId="6C89BD8D">
                  <w:pPr>
                    <w:adjustRightInd w:val="0"/>
                    <w:snapToGrid w:val="0"/>
                    <w:jc w:val="center"/>
                    <w:rPr>
                      <w:color w:val="FF0000"/>
                      <w:sz w:val="18"/>
                      <w:szCs w:val="18"/>
                      <w:u w:val="none"/>
                    </w:rPr>
                  </w:pPr>
                  <w:r>
                    <w:rPr>
                      <w:color w:val="FF0000"/>
                      <w:sz w:val="18"/>
                      <w:szCs w:val="18"/>
                      <w:u w:val="none"/>
                    </w:rPr>
                    <w:t>NNW~NNE</w:t>
                  </w:r>
                </w:p>
              </w:tc>
              <w:tc>
                <w:tcPr>
                  <w:tcW w:w="653" w:type="pct"/>
                  <w:tcBorders>
                    <w:tl2br w:val="nil"/>
                    <w:tr2bl w:val="nil"/>
                  </w:tcBorders>
                  <w:vAlign w:val="center"/>
                </w:tcPr>
                <w:p w14:paraId="51483ACA">
                  <w:pPr>
                    <w:adjustRightInd w:val="0"/>
                    <w:snapToGrid w:val="0"/>
                    <w:jc w:val="center"/>
                    <w:rPr>
                      <w:color w:val="FF0000"/>
                      <w:sz w:val="18"/>
                      <w:szCs w:val="18"/>
                      <w:u w:val="none"/>
                    </w:rPr>
                  </w:pPr>
                </w:p>
              </w:tc>
            </w:tr>
            <w:tr w14:paraId="7FF596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57EAA47C">
                  <w:pPr>
                    <w:adjustRightInd w:val="0"/>
                    <w:snapToGrid w:val="0"/>
                    <w:jc w:val="center"/>
                    <w:rPr>
                      <w:color w:val="FF0000"/>
                      <w:sz w:val="18"/>
                      <w:szCs w:val="18"/>
                      <w:u w:val="none"/>
                    </w:rPr>
                  </w:pPr>
                  <w:bookmarkStart w:id="75" w:name="_Toc421721194"/>
                  <w:bookmarkStart w:id="76" w:name="_Toc447295180"/>
                  <w:bookmarkStart w:id="77" w:name="_Toc441135180"/>
                  <w:bookmarkStart w:id="78" w:name="_Toc440979465"/>
                  <w:bookmarkStart w:id="79" w:name="_Toc437599471"/>
                  <w:r>
                    <w:rPr>
                      <w:rFonts w:hAnsi="宋体"/>
                      <w:color w:val="FF0000"/>
                      <w:sz w:val="18"/>
                      <w:szCs w:val="18"/>
                      <w:u w:val="none"/>
                    </w:rPr>
                    <w:t>主要设备</w:t>
                  </w:r>
                  <w:bookmarkEnd w:id="75"/>
                  <w:bookmarkEnd w:id="76"/>
                  <w:bookmarkEnd w:id="77"/>
                  <w:bookmarkEnd w:id="78"/>
                  <w:bookmarkEnd w:id="79"/>
                </w:p>
              </w:tc>
              <w:tc>
                <w:tcPr>
                  <w:tcW w:w="669" w:type="pct"/>
                  <w:vMerge w:val="restart"/>
                  <w:tcBorders>
                    <w:tl2br w:val="nil"/>
                    <w:tr2bl w:val="nil"/>
                  </w:tcBorders>
                  <w:vAlign w:val="center"/>
                </w:tcPr>
                <w:p w14:paraId="3C1F3452">
                  <w:pPr>
                    <w:adjustRightInd w:val="0"/>
                    <w:snapToGrid w:val="0"/>
                    <w:jc w:val="center"/>
                    <w:rPr>
                      <w:color w:val="FF0000"/>
                      <w:sz w:val="18"/>
                      <w:szCs w:val="18"/>
                      <w:u w:val="none"/>
                    </w:rPr>
                  </w:pPr>
                  <w:bookmarkStart w:id="80" w:name="_Toc437599441"/>
                  <w:bookmarkStart w:id="81" w:name="_Toc441135181"/>
                  <w:bookmarkStart w:id="82" w:name="_Toc421721164"/>
                  <w:bookmarkStart w:id="83" w:name="_Toc447295181"/>
                  <w:bookmarkStart w:id="84" w:name="_Toc440979466"/>
                  <w:r>
                    <w:rPr>
                      <w:rFonts w:hAnsi="宋体"/>
                      <w:color w:val="FF0000"/>
                      <w:sz w:val="18"/>
                      <w:szCs w:val="18"/>
                      <w:u w:val="none"/>
                    </w:rPr>
                    <w:t>风电场主要机电设备</w:t>
                  </w:r>
                  <w:bookmarkEnd w:id="80"/>
                  <w:bookmarkEnd w:id="81"/>
                  <w:bookmarkEnd w:id="82"/>
                  <w:bookmarkEnd w:id="83"/>
                  <w:bookmarkEnd w:id="84"/>
                </w:p>
              </w:tc>
              <w:tc>
                <w:tcPr>
                  <w:tcW w:w="472" w:type="pct"/>
                  <w:gridSpan w:val="2"/>
                  <w:vMerge w:val="restart"/>
                  <w:tcBorders>
                    <w:tl2br w:val="nil"/>
                    <w:tr2bl w:val="nil"/>
                  </w:tcBorders>
                  <w:vAlign w:val="center"/>
                </w:tcPr>
                <w:p w14:paraId="0082B2FC">
                  <w:pPr>
                    <w:adjustRightInd w:val="0"/>
                    <w:snapToGrid w:val="0"/>
                    <w:jc w:val="center"/>
                    <w:rPr>
                      <w:color w:val="FF0000"/>
                      <w:sz w:val="18"/>
                      <w:szCs w:val="18"/>
                      <w:u w:val="none"/>
                    </w:rPr>
                  </w:pPr>
                  <w:bookmarkStart w:id="85" w:name="_Toc421721165"/>
                  <w:bookmarkStart w:id="86" w:name="_Toc440979467"/>
                  <w:bookmarkStart w:id="87" w:name="_Toc447295182"/>
                  <w:bookmarkStart w:id="88" w:name="_Toc441135182"/>
                  <w:bookmarkStart w:id="89" w:name="_Toc437599442"/>
                  <w:r>
                    <w:rPr>
                      <w:rFonts w:hAnsi="宋体"/>
                      <w:color w:val="FF0000"/>
                      <w:sz w:val="18"/>
                      <w:szCs w:val="18"/>
                      <w:u w:val="none"/>
                    </w:rPr>
                    <w:t>风电机组</w:t>
                  </w:r>
                  <w:bookmarkEnd w:id="85"/>
                  <w:bookmarkEnd w:id="86"/>
                  <w:bookmarkEnd w:id="87"/>
                  <w:bookmarkEnd w:id="88"/>
                  <w:bookmarkEnd w:id="89"/>
                  <w:bookmarkStart w:id="90" w:name="_Toc437599492"/>
                  <w:bookmarkStart w:id="91" w:name="_Toc440979468"/>
                  <w:bookmarkStart w:id="92" w:name="_Toc447295183"/>
                  <w:bookmarkStart w:id="93" w:name="_Toc441135183"/>
                  <w:bookmarkStart w:id="94" w:name="_Toc421721215"/>
                  <w:r>
                    <w:rPr>
                      <w:rFonts w:hAnsi="宋体"/>
                      <w:color w:val="FF0000"/>
                      <w:sz w:val="18"/>
                      <w:szCs w:val="18"/>
                      <w:u w:val="none"/>
                    </w:rPr>
                    <w:t>主要机电</w:t>
                  </w:r>
                  <w:bookmarkEnd w:id="90"/>
                  <w:bookmarkEnd w:id="91"/>
                  <w:bookmarkEnd w:id="92"/>
                  <w:bookmarkEnd w:id="93"/>
                  <w:bookmarkEnd w:id="94"/>
                  <w:r>
                    <w:rPr>
                      <w:rFonts w:hAnsi="宋体"/>
                      <w:color w:val="FF0000"/>
                      <w:sz w:val="18"/>
                      <w:szCs w:val="18"/>
                      <w:u w:val="none"/>
                    </w:rPr>
                    <w:t>设备</w:t>
                  </w:r>
                </w:p>
              </w:tc>
              <w:tc>
                <w:tcPr>
                  <w:tcW w:w="1032" w:type="pct"/>
                  <w:tcBorders>
                    <w:tl2br w:val="nil"/>
                    <w:tr2bl w:val="nil"/>
                  </w:tcBorders>
                  <w:vAlign w:val="center"/>
                </w:tcPr>
                <w:p w14:paraId="35E7F8A1">
                  <w:pPr>
                    <w:adjustRightInd w:val="0"/>
                    <w:snapToGrid w:val="0"/>
                    <w:jc w:val="center"/>
                    <w:rPr>
                      <w:color w:val="FF0000"/>
                      <w:sz w:val="18"/>
                      <w:szCs w:val="18"/>
                      <w:u w:val="none"/>
                    </w:rPr>
                  </w:pPr>
                  <w:bookmarkStart w:id="95" w:name="_Toc447295184"/>
                  <w:bookmarkStart w:id="96" w:name="_Toc441135184"/>
                  <w:bookmarkStart w:id="97" w:name="_Toc421721166"/>
                  <w:bookmarkStart w:id="98" w:name="_Toc440979469"/>
                  <w:bookmarkStart w:id="99" w:name="_Toc437599443"/>
                  <w:r>
                    <w:rPr>
                      <w:rFonts w:hAnsi="宋体"/>
                      <w:color w:val="FF0000"/>
                      <w:sz w:val="18"/>
                      <w:szCs w:val="18"/>
                      <w:u w:val="none"/>
                    </w:rPr>
                    <w:t>台数</w:t>
                  </w:r>
                  <w:bookmarkEnd w:id="95"/>
                  <w:bookmarkEnd w:id="96"/>
                  <w:bookmarkEnd w:id="97"/>
                  <w:bookmarkEnd w:id="98"/>
                  <w:bookmarkEnd w:id="99"/>
                </w:p>
              </w:tc>
              <w:tc>
                <w:tcPr>
                  <w:tcW w:w="643" w:type="pct"/>
                  <w:tcBorders>
                    <w:tl2br w:val="nil"/>
                    <w:tr2bl w:val="nil"/>
                  </w:tcBorders>
                  <w:vAlign w:val="center"/>
                </w:tcPr>
                <w:p w14:paraId="6E892CB7">
                  <w:pPr>
                    <w:adjustRightInd w:val="0"/>
                    <w:snapToGrid w:val="0"/>
                    <w:jc w:val="center"/>
                    <w:rPr>
                      <w:color w:val="FF0000"/>
                      <w:sz w:val="18"/>
                      <w:szCs w:val="18"/>
                      <w:u w:val="none"/>
                    </w:rPr>
                  </w:pPr>
                  <w:bookmarkStart w:id="100" w:name="_Toc441135185"/>
                  <w:bookmarkStart w:id="101" w:name="_Toc440979470"/>
                  <w:bookmarkStart w:id="102" w:name="_Toc447295185"/>
                  <w:bookmarkStart w:id="103" w:name="_Toc437599444"/>
                  <w:bookmarkStart w:id="104" w:name="_Toc421721167"/>
                  <w:r>
                    <w:rPr>
                      <w:rFonts w:hAnsi="宋体"/>
                      <w:color w:val="FF0000"/>
                      <w:sz w:val="18"/>
                      <w:szCs w:val="18"/>
                      <w:u w:val="none"/>
                    </w:rPr>
                    <w:t>台</w:t>
                  </w:r>
                  <w:bookmarkEnd w:id="100"/>
                  <w:bookmarkEnd w:id="101"/>
                  <w:bookmarkEnd w:id="102"/>
                  <w:bookmarkEnd w:id="103"/>
                  <w:bookmarkEnd w:id="104"/>
                </w:p>
              </w:tc>
              <w:tc>
                <w:tcPr>
                  <w:tcW w:w="944" w:type="pct"/>
                  <w:tcBorders>
                    <w:tl2br w:val="nil"/>
                    <w:tr2bl w:val="nil"/>
                  </w:tcBorders>
                  <w:vAlign w:val="center"/>
                </w:tcPr>
                <w:p w14:paraId="5142A73A">
                  <w:pPr>
                    <w:adjustRightInd w:val="0"/>
                    <w:snapToGrid w:val="0"/>
                    <w:jc w:val="center"/>
                    <w:rPr>
                      <w:rFonts w:hint="eastAsia" w:eastAsia="宋体"/>
                      <w:color w:val="FF0000"/>
                      <w:sz w:val="18"/>
                      <w:szCs w:val="18"/>
                      <w:u w:val="none"/>
                      <w:lang w:eastAsia="zh-CN"/>
                    </w:rPr>
                  </w:pPr>
                  <w:r>
                    <w:rPr>
                      <w:color w:val="FF0000"/>
                      <w:sz w:val="18"/>
                      <w:szCs w:val="18"/>
                      <w:u w:val="none"/>
                    </w:rPr>
                    <w:t>1</w:t>
                  </w:r>
                  <w:r>
                    <w:rPr>
                      <w:rFonts w:hint="eastAsia"/>
                      <w:color w:val="FF0000"/>
                      <w:sz w:val="18"/>
                      <w:szCs w:val="18"/>
                      <w:u w:val="none"/>
                      <w:lang w:val="en-US" w:eastAsia="zh-CN"/>
                    </w:rPr>
                    <w:t>6</w:t>
                  </w:r>
                </w:p>
              </w:tc>
              <w:tc>
                <w:tcPr>
                  <w:tcW w:w="653" w:type="pct"/>
                  <w:tcBorders>
                    <w:tl2br w:val="nil"/>
                    <w:tr2bl w:val="nil"/>
                  </w:tcBorders>
                  <w:vAlign w:val="center"/>
                </w:tcPr>
                <w:p w14:paraId="20C54B5B">
                  <w:pPr>
                    <w:adjustRightInd w:val="0"/>
                    <w:snapToGrid w:val="0"/>
                    <w:jc w:val="center"/>
                    <w:rPr>
                      <w:color w:val="FF0000"/>
                      <w:sz w:val="18"/>
                      <w:szCs w:val="18"/>
                      <w:u w:val="none"/>
                    </w:rPr>
                  </w:pPr>
                </w:p>
              </w:tc>
            </w:tr>
            <w:tr w14:paraId="502E95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1A6D42A">
                  <w:pPr>
                    <w:adjustRightInd w:val="0"/>
                    <w:snapToGrid w:val="0"/>
                    <w:jc w:val="center"/>
                    <w:rPr>
                      <w:rFonts w:hAnsi="宋体"/>
                      <w:color w:val="FF0000"/>
                      <w:sz w:val="18"/>
                      <w:szCs w:val="18"/>
                      <w:u w:val="none"/>
                    </w:rPr>
                  </w:pPr>
                </w:p>
              </w:tc>
              <w:tc>
                <w:tcPr>
                  <w:tcW w:w="669" w:type="pct"/>
                  <w:vMerge w:val="continue"/>
                  <w:tcBorders>
                    <w:tl2br w:val="nil"/>
                    <w:tr2bl w:val="nil"/>
                  </w:tcBorders>
                  <w:vAlign w:val="center"/>
                </w:tcPr>
                <w:p w14:paraId="2439B326">
                  <w:pPr>
                    <w:adjustRightInd w:val="0"/>
                    <w:snapToGrid w:val="0"/>
                    <w:jc w:val="center"/>
                    <w:rPr>
                      <w:rFonts w:hAnsi="宋体"/>
                      <w:color w:val="FF0000"/>
                      <w:sz w:val="18"/>
                      <w:szCs w:val="18"/>
                      <w:u w:val="none"/>
                    </w:rPr>
                  </w:pPr>
                </w:p>
              </w:tc>
              <w:tc>
                <w:tcPr>
                  <w:tcW w:w="472" w:type="pct"/>
                  <w:gridSpan w:val="2"/>
                  <w:vMerge w:val="continue"/>
                  <w:tcBorders>
                    <w:tl2br w:val="nil"/>
                    <w:tr2bl w:val="nil"/>
                  </w:tcBorders>
                  <w:vAlign w:val="center"/>
                </w:tcPr>
                <w:p w14:paraId="6A0705AA">
                  <w:pPr>
                    <w:adjustRightInd w:val="0"/>
                    <w:snapToGrid w:val="0"/>
                    <w:jc w:val="center"/>
                    <w:rPr>
                      <w:rFonts w:hAnsi="宋体"/>
                      <w:color w:val="FF0000"/>
                      <w:sz w:val="18"/>
                      <w:szCs w:val="18"/>
                      <w:u w:val="none"/>
                    </w:rPr>
                  </w:pPr>
                </w:p>
              </w:tc>
              <w:tc>
                <w:tcPr>
                  <w:tcW w:w="1032" w:type="pct"/>
                  <w:tcBorders>
                    <w:tl2br w:val="nil"/>
                    <w:tr2bl w:val="nil"/>
                  </w:tcBorders>
                  <w:vAlign w:val="center"/>
                </w:tcPr>
                <w:p w14:paraId="5174375D">
                  <w:pPr>
                    <w:adjustRightInd w:val="0"/>
                    <w:snapToGrid w:val="0"/>
                    <w:jc w:val="center"/>
                    <w:rPr>
                      <w:rFonts w:hAnsi="宋体"/>
                      <w:color w:val="FF0000"/>
                      <w:sz w:val="18"/>
                      <w:szCs w:val="18"/>
                      <w:u w:val="none"/>
                    </w:rPr>
                  </w:pPr>
                  <w:r>
                    <w:rPr>
                      <w:rFonts w:hAnsi="宋体"/>
                      <w:color w:val="FF0000"/>
                      <w:sz w:val="18"/>
                      <w:szCs w:val="18"/>
                      <w:u w:val="none"/>
                    </w:rPr>
                    <w:t>型号</w:t>
                  </w:r>
                </w:p>
              </w:tc>
              <w:tc>
                <w:tcPr>
                  <w:tcW w:w="643" w:type="pct"/>
                  <w:tcBorders>
                    <w:tl2br w:val="nil"/>
                    <w:tr2bl w:val="nil"/>
                  </w:tcBorders>
                  <w:vAlign w:val="center"/>
                </w:tcPr>
                <w:p w14:paraId="61DBE233">
                  <w:pPr>
                    <w:adjustRightInd w:val="0"/>
                    <w:snapToGrid w:val="0"/>
                    <w:jc w:val="center"/>
                    <w:rPr>
                      <w:rFonts w:hAnsi="宋体"/>
                      <w:color w:val="FF0000"/>
                      <w:sz w:val="18"/>
                      <w:szCs w:val="18"/>
                      <w:u w:val="none"/>
                    </w:rPr>
                  </w:pPr>
                </w:p>
              </w:tc>
              <w:tc>
                <w:tcPr>
                  <w:tcW w:w="944" w:type="pct"/>
                  <w:tcBorders>
                    <w:tl2br w:val="nil"/>
                    <w:tr2bl w:val="nil"/>
                  </w:tcBorders>
                  <w:vAlign w:val="center"/>
                </w:tcPr>
                <w:p w14:paraId="52253EB6">
                  <w:pPr>
                    <w:adjustRightInd w:val="0"/>
                    <w:snapToGrid w:val="0"/>
                    <w:jc w:val="center"/>
                    <w:rPr>
                      <w:color w:val="FF0000"/>
                      <w:sz w:val="18"/>
                      <w:szCs w:val="18"/>
                      <w:u w:val="none"/>
                    </w:rPr>
                  </w:pPr>
                  <w:r>
                    <w:rPr>
                      <w:rFonts w:hint="eastAsia"/>
                      <w:color w:val="FF0000"/>
                      <w:sz w:val="18"/>
                      <w:szCs w:val="18"/>
                      <w:u w:val="none"/>
                      <w:lang w:val="en-US" w:eastAsia="zh-CN"/>
                    </w:rPr>
                    <w:t>WTG5.0-200</w:t>
                  </w:r>
                </w:p>
              </w:tc>
              <w:tc>
                <w:tcPr>
                  <w:tcW w:w="653" w:type="pct"/>
                  <w:tcBorders>
                    <w:tl2br w:val="nil"/>
                    <w:tr2bl w:val="nil"/>
                  </w:tcBorders>
                  <w:vAlign w:val="center"/>
                </w:tcPr>
                <w:p w14:paraId="0749F0AE">
                  <w:pPr>
                    <w:adjustRightInd w:val="0"/>
                    <w:snapToGrid w:val="0"/>
                    <w:jc w:val="center"/>
                    <w:rPr>
                      <w:color w:val="FF0000"/>
                      <w:sz w:val="18"/>
                      <w:szCs w:val="18"/>
                      <w:u w:val="none"/>
                    </w:rPr>
                  </w:pPr>
                </w:p>
              </w:tc>
            </w:tr>
            <w:tr w14:paraId="780133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20D2C1B">
                  <w:pPr>
                    <w:adjustRightInd w:val="0"/>
                    <w:snapToGrid w:val="0"/>
                    <w:jc w:val="center"/>
                    <w:rPr>
                      <w:color w:val="FF0000"/>
                      <w:sz w:val="18"/>
                      <w:szCs w:val="18"/>
                      <w:u w:val="none"/>
                    </w:rPr>
                  </w:pPr>
                </w:p>
              </w:tc>
              <w:tc>
                <w:tcPr>
                  <w:tcW w:w="669" w:type="pct"/>
                  <w:vMerge w:val="continue"/>
                  <w:tcBorders>
                    <w:tl2br w:val="nil"/>
                    <w:tr2bl w:val="nil"/>
                  </w:tcBorders>
                  <w:vAlign w:val="center"/>
                </w:tcPr>
                <w:p w14:paraId="407AF863">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5F011BE0">
                  <w:pPr>
                    <w:adjustRightInd w:val="0"/>
                    <w:snapToGrid w:val="0"/>
                    <w:jc w:val="center"/>
                    <w:rPr>
                      <w:color w:val="FF0000"/>
                      <w:sz w:val="18"/>
                      <w:szCs w:val="18"/>
                      <w:u w:val="none"/>
                    </w:rPr>
                  </w:pPr>
                </w:p>
              </w:tc>
              <w:tc>
                <w:tcPr>
                  <w:tcW w:w="1032" w:type="pct"/>
                  <w:tcBorders>
                    <w:tl2br w:val="nil"/>
                    <w:tr2bl w:val="nil"/>
                  </w:tcBorders>
                  <w:vAlign w:val="center"/>
                </w:tcPr>
                <w:p w14:paraId="5A81F2A2">
                  <w:pPr>
                    <w:adjustRightInd w:val="0"/>
                    <w:snapToGrid w:val="0"/>
                    <w:jc w:val="center"/>
                    <w:rPr>
                      <w:color w:val="FF0000"/>
                      <w:sz w:val="18"/>
                      <w:szCs w:val="18"/>
                      <w:u w:val="none"/>
                    </w:rPr>
                  </w:pPr>
                  <w:bookmarkStart w:id="105" w:name="_Toc437599446"/>
                  <w:bookmarkStart w:id="106" w:name="_Toc441135187"/>
                  <w:bookmarkStart w:id="107" w:name="_Toc421721169"/>
                  <w:bookmarkStart w:id="108" w:name="_Toc447295187"/>
                  <w:bookmarkStart w:id="109" w:name="_Toc440979472"/>
                  <w:r>
                    <w:rPr>
                      <w:rFonts w:hAnsi="宋体"/>
                      <w:color w:val="FF0000"/>
                      <w:sz w:val="18"/>
                      <w:szCs w:val="18"/>
                      <w:u w:val="none"/>
                    </w:rPr>
                    <w:t>额定功率</w:t>
                  </w:r>
                  <w:bookmarkEnd w:id="105"/>
                  <w:bookmarkEnd w:id="106"/>
                  <w:bookmarkEnd w:id="107"/>
                  <w:bookmarkEnd w:id="108"/>
                  <w:bookmarkEnd w:id="109"/>
                </w:p>
              </w:tc>
              <w:tc>
                <w:tcPr>
                  <w:tcW w:w="643" w:type="pct"/>
                  <w:tcBorders>
                    <w:tl2br w:val="nil"/>
                    <w:tr2bl w:val="nil"/>
                  </w:tcBorders>
                  <w:vAlign w:val="center"/>
                </w:tcPr>
                <w:p w14:paraId="0337584C">
                  <w:pPr>
                    <w:adjustRightInd w:val="0"/>
                    <w:snapToGrid w:val="0"/>
                    <w:jc w:val="center"/>
                    <w:rPr>
                      <w:color w:val="FF0000"/>
                      <w:sz w:val="18"/>
                      <w:szCs w:val="18"/>
                      <w:u w:val="none"/>
                    </w:rPr>
                  </w:pPr>
                  <w:bookmarkStart w:id="110" w:name="_Toc447295188"/>
                  <w:bookmarkStart w:id="111" w:name="_Toc421721170"/>
                  <w:bookmarkStart w:id="112" w:name="_Toc441135188"/>
                  <w:bookmarkStart w:id="113" w:name="_Toc440979473"/>
                  <w:bookmarkStart w:id="114" w:name="_Toc437599447"/>
                  <w:r>
                    <w:rPr>
                      <w:color w:val="FF0000"/>
                      <w:sz w:val="18"/>
                      <w:szCs w:val="18"/>
                      <w:u w:val="none"/>
                    </w:rPr>
                    <w:t>kW</w:t>
                  </w:r>
                  <w:bookmarkEnd w:id="110"/>
                  <w:bookmarkEnd w:id="111"/>
                  <w:bookmarkEnd w:id="112"/>
                  <w:bookmarkEnd w:id="113"/>
                  <w:bookmarkEnd w:id="114"/>
                </w:p>
              </w:tc>
              <w:tc>
                <w:tcPr>
                  <w:tcW w:w="944" w:type="pct"/>
                  <w:tcBorders>
                    <w:tl2br w:val="nil"/>
                    <w:tr2bl w:val="nil"/>
                  </w:tcBorders>
                  <w:vAlign w:val="center"/>
                </w:tcPr>
                <w:p w14:paraId="7DCA28BE">
                  <w:pPr>
                    <w:adjustRightInd w:val="0"/>
                    <w:snapToGrid w:val="0"/>
                    <w:jc w:val="center"/>
                    <w:rPr>
                      <w:color w:val="FF0000"/>
                      <w:sz w:val="18"/>
                      <w:szCs w:val="18"/>
                      <w:u w:val="none"/>
                    </w:rPr>
                  </w:pPr>
                  <w:r>
                    <w:rPr>
                      <w:color w:val="FF0000"/>
                      <w:sz w:val="18"/>
                      <w:szCs w:val="18"/>
                      <w:u w:val="none"/>
                    </w:rPr>
                    <w:t>5000</w:t>
                  </w:r>
                </w:p>
              </w:tc>
              <w:tc>
                <w:tcPr>
                  <w:tcW w:w="653" w:type="pct"/>
                  <w:tcBorders>
                    <w:tl2br w:val="nil"/>
                    <w:tr2bl w:val="nil"/>
                  </w:tcBorders>
                  <w:vAlign w:val="center"/>
                </w:tcPr>
                <w:p w14:paraId="43C55AFD">
                  <w:pPr>
                    <w:adjustRightInd w:val="0"/>
                    <w:snapToGrid w:val="0"/>
                    <w:jc w:val="center"/>
                    <w:rPr>
                      <w:color w:val="FF0000"/>
                      <w:sz w:val="18"/>
                      <w:szCs w:val="18"/>
                      <w:u w:val="none"/>
                    </w:rPr>
                  </w:pPr>
                </w:p>
              </w:tc>
            </w:tr>
            <w:tr w14:paraId="1E9047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62E7A37">
                  <w:pPr>
                    <w:adjustRightInd w:val="0"/>
                    <w:snapToGrid w:val="0"/>
                    <w:jc w:val="center"/>
                    <w:rPr>
                      <w:color w:val="FF0000"/>
                      <w:sz w:val="18"/>
                      <w:szCs w:val="18"/>
                      <w:u w:val="none"/>
                    </w:rPr>
                  </w:pPr>
                </w:p>
              </w:tc>
              <w:tc>
                <w:tcPr>
                  <w:tcW w:w="669" w:type="pct"/>
                  <w:vMerge w:val="continue"/>
                  <w:tcBorders>
                    <w:tl2br w:val="nil"/>
                    <w:tr2bl w:val="nil"/>
                  </w:tcBorders>
                  <w:vAlign w:val="center"/>
                </w:tcPr>
                <w:p w14:paraId="1721ADC2">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61F66FD9">
                  <w:pPr>
                    <w:adjustRightInd w:val="0"/>
                    <w:snapToGrid w:val="0"/>
                    <w:jc w:val="center"/>
                    <w:rPr>
                      <w:color w:val="FF0000"/>
                      <w:sz w:val="18"/>
                      <w:szCs w:val="18"/>
                      <w:u w:val="none"/>
                    </w:rPr>
                  </w:pPr>
                </w:p>
              </w:tc>
              <w:tc>
                <w:tcPr>
                  <w:tcW w:w="1032" w:type="pct"/>
                  <w:tcBorders>
                    <w:tl2br w:val="nil"/>
                    <w:tr2bl w:val="nil"/>
                  </w:tcBorders>
                  <w:vAlign w:val="center"/>
                </w:tcPr>
                <w:p w14:paraId="1B10C3B9">
                  <w:pPr>
                    <w:adjustRightInd w:val="0"/>
                    <w:snapToGrid w:val="0"/>
                    <w:jc w:val="center"/>
                    <w:rPr>
                      <w:color w:val="FF0000"/>
                      <w:sz w:val="18"/>
                      <w:szCs w:val="18"/>
                      <w:u w:val="none"/>
                    </w:rPr>
                  </w:pPr>
                  <w:bookmarkStart w:id="115" w:name="_Toc437599449"/>
                  <w:bookmarkStart w:id="116" w:name="_Toc440979475"/>
                  <w:bookmarkStart w:id="117" w:name="_Toc441135190"/>
                  <w:bookmarkStart w:id="118" w:name="_Toc421721172"/>
                  <w:bookmarkStart w:id="119" w:name="_Toc447295190"/>
                  <w:r>
                    <w:rPr>
                      <w:rFonts w:hAnsi="宋体"/>
                      <w:color w:val="FF0000"/>
                      <w:sz w:val="18"/>
                      <w:szCs w:val="18"/>
                      <w:u w:val="none"/>
                    </w:rPr>
                    <w:t>叶片数</w:t>
                  </w:r>
                  <w:bookmarkEnd w:id="115"/>
                  <w:bookmarkEnd w:id="116"/>
                  <w:bookmarkEnd w:id="117"/>
                  <w:bookmarkEnd w:id="118"/>
                  <w:bookmarkEnd w:id="119"/>
                </w:p>
              </w:tc>
              <w:tc>
                <w:tcPr>
                  <w:tcW w:w="643" w:type="pct"/>
                  <w:tcBorders>
                    <w:tl2br w:val="nil"/>
                    <w:tr2bl w:val="nil"/>
                  </w:tcBorders>
                  <w:vAlign w:val="center"/>
                </w:tcPr>
                <w:p w14:paraId="59385B57">
                  <w:pPr>
                    <w:adjustRightInd w:val="0"/>
                    <w:snapToGrid w:val="0"/>
                    <w:jc w:val="center"/>
                    <w:rPr>
                      <w:color w:val="FF0000"/>
                      <w:sz w:val="18"/>
                      <w:szCs w:val="18"/>
                      <w:u w:val="none"/>
                    </w:rPr>
                  </w:pPr>
                  <w:bookmarkStart w:id="120" w:name="_Toc440979476"/>
                  <w:bookmarkStart w:id="121" w:name="_Toc421721173"/>
                  <w:bookmarkStart w:id="122" w:name="_Toc447295191"/>
                  <w:bookmarkStart w:id="123" w:name="_Toc437599450"/>
                  <w:bookmarkStart w:id="124" w:name="_Toc441135191"/>
                  <w:r>
                    <w:rPr>
                      <w:rFonts w:hAnsi="宋体"/>
                      <w:color w:val="FF0000"/>
                      <w:sz w:val="18"/>
                      <w:szCs w:val="18"/>
                      <w:u w:val="none"/>
                    </w:rPr>
                    <w:t>片</w:t>
                  </w:r>
                  <w:bookmarkEnd w:id="120"/>
                  <w:bookmarkEnd w:id="121"/>
                  <w:bookmarkEnd w:id="122"/>
                  <w:bookmarkEnd w:id="123"/>
                  <w:bookmarkEnd w:id="124"/>
                </w:p>
              </w:tc>
              <w:tc>
                <w:tcPr>
                  <w:tcW w:w="944" w:type="pct"/>
                  <w:tcBorders>
                    <w:tl2br w:val="nil"/>
                    <w:tr2bl w:val="nil"/>
                  </w:tcBorders>
                  <w:vAlign w:val="center"/>
                </w:tcPr>
                <w:p w14:paraId="741381C2">
                  <w:pPr>
                    <w:adjustRightInd w:val="0"/>
                    <w:snapToGrid w:val="0"/>
                    <w:jc w:val="center"/>
                    <w:rPr>
                      <w:color w:val="FF0000"/>
                      <w:sz w:val="18"/>
                      <w:szCs w:val="18"/>
                      <w:u w:val="none"/>
                    </w:rPr>
                  </w:pPr>
                  <w:r>
                    <w:rPr>
                      <w:rFonts w:hint="eastAsia"/>
                      <w:color w:val="FF0000"/>
                      <w:sz w:val="18"/>
                      <w:szCs w:val="18"/>
                      <w:u w:val="none"/>
                    </w:rPr>
                    <w:t>3</w:t>
                  </w:r>
                </w:p>
              </w:tc>
              <w:tc>
                <w:tcPr>
                  <w:tcW w:w="653" w:type="pct"/>
                  <w:tcBorders>
                    <w:tl2br w:val="nil"/>
                    <w:tr2bl w:val="nil"/>
                  </w:tcBorders>
                  <w:vAlign w:val="center"/>
                </w:tcPr>
                <w:p w14:paraId="04CA09A5">
                  <w:pPr>
                    <w:adjustRightInd w:val="0"/>
                    <w:snapToGrid w:val="0"/>
                    <w:jc w:val="center"/>
                    <w:rPr>
                      <w:color w:val="FF0000"/>
                      <w:sz w:val="18"/>
                      <w:szCs w:val="18"/>
                      <w:u w:val="none"/>
                    </w:rPr>
                  </w:pPr>
                </w:p>
              </w:tc>
            </w:tr>
            <w:tr w14:paraId="1D2C70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EC74B15">
                  <w:pPr>
                    <w:adjustRightInd w:val="0"/>
                    <w:snapToGrid w:val="0"/>
                    <w:jc w:val="center"/>
                    <w:rPr>
                      <w:color w:val="FF0000"/>
                      <w:sz w:val="18"/>
                      <w:szCs w:val="18"/>
                      <w:u w:val="none"/>
                    </w:rPr>
                  </w:pPr>
                </w:p>
              </w:tc>
              <w:tc>
                <w:tcPr>
                  <w:tcW w:w="669" w:type="pct"/>
                  <w:vMerge w:val="continue"/>
                  <w:tcBorders>
                    <w:tl2br w:val="nil"/>
                    <w:tr2bl w:val="nil"/>
                  </w:tcBorders>
                  <w:vAlign w:val="center"/>
                </w:tcPr>
                <w:p w14:paraId="145D856C">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0F8595B9">
                  <w:pPr>
                    <w:adjustRightInd w:val="0"/>
                    <w:snapToGrid w:val="0"/>
                    <w:jc w:val="center"/>
                    <w:rPr>
                      <w:color w:val="FF0000"/>
                      <w:sz w:val="18"/>
                      <w:szCs w:val="18"/>
                      <w:u w:val="none"/>
                    </w:rPr>
                  </w:pPr>
                </w:p>
              </w:tc>
              <w:tc>
                <w:tcPr>
                  <w:tcW w:w="1032" w:type="pct"/>
                  <w:tcBorders>
                    <w:tl2br w:val="nil"/>
                    <w:tr2bl w:val="nil"/>
                  </w:tcBorders>
                  <w:vAlign w:val="center"/>
                </w:tcPr>
                <w:p w14:paraId="123A5C0E">
                  <w:pPr>
                    <w:adjustRightInd w:val="0"/>
                    <w:snapToGrid w:val="0"/>
                    <w:jc w:val="center"/>
                    <w:rPr>
                      <w:color w:val="FF0000"/>
                      <w:sz w:val="18"/>
                      <w:szCs w:val="18"/>
                      <w:u w:val="none"/>
                    </w:rPr>
                  </w:pPr>
                  <w:bookmarkStart w:id="125" w:name="_Toc440979478"/>
                  <w:bookmarkStart w:id="126" w:name="_Toc441135193"/>
                  <w:bookmarkStart w:id="127" w:name="_Toc447295193"/>
                  <w:bookmarkStart w:id="128" w:name="_Toc421721175"/>
                  <w:bookmarkStart w:id="129" w:name="_Toc437599452"/>
                  <w:r>
                    <w:rPr>
                      <w:rFonts w:hAnsi="宋体"/>
                      <w:color w:val="FF0000"/>
                      <w:sz w:val="18"/>
                      <w:szCs w:val="18"/>
                      <w:u w:val="none"/>
                    </w:rPr>
                    <w:t>风轮直径</w:t>
                  </w:r>
                  <w:bookmarkEnd w:id="125"/>
                  <w:bookmarkEnd w:id="126"/>
                  <w:bookmarkEnd w:id="127"/>
                  <w:bookmarkEnd w:id="128"/>
                  <w:bookmarkEnd w:id="129"/>
                </w:p>
              </w:tc>
              <w:tc>
                <w:tcPr>
                  <w:tcW w:w="643" w:type="pct"/>
                  <w:tcBorders>
                    <w:tl2br w:val="nil"/>
                    <w:tr2bl w:val="nil"/>
                  </w:tcBorders>
                  <w:vAlign w:val="center"/>
                </w:tcPr>
                <w:p w14:paraId="659DA214">
                  <w:pPr>
                    <w:adjustRightInd w:val="0"/>
                    <w:snapToGrid w:val="0"/>
                    <w:jc w:val="center"/>
                    <w:rPr>
                      <w:color w:val="FF0000"/>
                      <w:sz w:val="18"/>
                      <w:szCs w:val="18"/>
                      <w:u w:val="none"/>
                    </w:rPr>
                  </w:pPr>
                  <w:bookmarkStart w:id="130" w:name="_Toc421721176"/>
                  <w:bookmarkStart w:id="131" w:name="_Toc441135194"/>
                  <w:bookmarkStart w:id="132" w:name="_Toc440979479"/>
                  <w:bookmarkStart w:id="133" w:name="_Toc437599453"/>
                  <w:bookmarkStart w:id="134" w:name="_Toc447295194"/>
                  <w:r>
                    <w:rPr>
                      <w:color w:val="FF0000"/>
                      <w:sz w:val="18"/>
                      <w:szCs w:val="18"/>
                      <w:u w:val="none"/>
                    </w:rPr>
                    <w:t>m</w:t>
                  </w:r>
                  <w:bookmarkEnd w:id="130"/>
                  <w:bookmarkEnd w:id="131"/>
                  <w:bookmarkEnd w:id="132"/>
                  <w:bookmarkEnd w:id="133"/>
                  <w:bookmarkEnd w:id="134"/>
                </w:p>
              </w:tc>
              <w:tc>
                <w:tcPr>
                  <w:tcW w:w="944" w:type="pct"/>
                  <w:tcBorders>
                    <w:tl2br w:val="nil"/>
                    <w:tr2bl w:val="nil"/>
                  </w:tcBorders>
                  <w:vAlign w:val="center"/>
                </w:tcPr>
                <w:p w14:paraId="3C49D78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200</w:t>
                  </w:r>
                </w:p>
              </w:tc>
              <w:tc>
                <w:tcPr>
                  <w:tcW w:w="653" w:type="pct"/>
                  <w:tcBorders>
                    <w:tl2br w:val="nil"/>
                    <w:tr2bl w:val="nil"/>
                  </w:tcBorders>
                  <w:vAlign w:val="center"/>
                </w:tcPr>
                <w:p w14:paraId="4C9CBC1F">
                  <w:pPr>
                    <w:adjustRightInd w:val="0"/>
                    <w:snapToGrid w:val="0"/>
                    <w:jc w:val="center"/>
                    <w:rPr>
                      <w:color w:val="FF0000"/>
                      <w:sz w:val="18"/>
                      <w:szCs w:val="18"/>
                      <w:u w:val="none"/>
                    </w:rPr>
                  </w:pPr>
                </w:p>
              </w:tc>
            </w:tr>
            <w:tr w14:paraId="7398F3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FFC4216">
                  <w:pPr>
                    <w:adjustRightInd w:val="0"/>
                    <w:snapToGrid w:val="0"/>
                    <w:jc w:val="center"/>
                    <w:rPr>
                      <w:color w:val="FF0000"/>
                      <w:sz w:val="18"/>
                      <w:szCs w:val="18"/>
                      <w:u w:val="none"/>
                    </w:rPr>
                  </w:pPr>
                </w:p>
              </w:tc>
              <w:tc>
                <w:tcPr>
                  <w:tcW w:w="669" w:type="pct"/>
                  <w:vMerge w:val="continue"/>
                  <w:tcBorders>
                    <w:tl2br w:val="nil"/>
                    <w:tr2bl w:val="nil"/>
                  </w:tcBorders>
                  <w:vAlign w:val="center"/>
                </w:tcPr>
                <w:p w14:paraId="6C2A204E">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4FF049FB">
                  <w:pPr>
                    <w:adjustRightInd w:val="0"/>
                    <w:snapToGrid w:val="0"/>
                    <w:jc w:val="center"/>
                    <w:rPr>
                      <w:color w:val="FF0000"/>
                      <w:sz w:val="18"/>
                      <w:szCs w:val="18"/>
                      <w:u w:val="none"/>
                    </w:rPr>
                  </w:pPr>
                </w:p>
              </w:tc>
              <w:tc>
                <w:tcPr>
                  <w:tcW w:w="1032" w:type="pct"/>
                  <w:tcBorders>
                    <w:tl2br w:val="nil"/>
                    <w:tr2bl w:val="nil"/>
                  </w:tcBorders>
                  <w:vAlign w:val="center"/>
                </w:tcPr>
                <w:p w14:paraId="7F068DDF">
                  <w:pPr>
                    <w:adjustRightInd w:val="0"/>
                    <w:snapToGrid w:val="0"/>
                    <w:jc w:val="center"/>
                    <w:rPr>
                      <w:color w:val="FF0000"/>
                      <w:sz w:val="18"/>
                      <w:szCs w:val="18"/>
                      <w:u w:val="none"/>
                    </w:rPr>
                  </w:pPr>
                  <w:bookmarkStart w:id="135" w:name="_Toc441135199"/>
                  <w:bookmarkStart w:id="136" w:name="_Toc437599458"/>
                  <w:bookmarkStart w:id="137" w:name="_Toc421721181"/>
                  <w:bookmarkStart w:id="138" w:name="_Toc447295199"/>
                  <w:bookmarkStart w:id="139" w:name="_Toc440979484"/>
                  <w:r>
                    <w:rPr>
                      <w:rFonts w:hAnsi="宋体"/>
                      <w:color w:val="FF0000"/>
                      <w:sz w:val="18"/>
                      <w:szCs w:val="18"/>
                      <w:u w:val="none"/>
                    </w:rPr>
                    <w:t>切入风速</w:t>
                  </w:r>
                  <w:bookmarkEnd w:id="135"/>
                  <w:bookmarkEnd w:id="136"/>
                  <w:bookmarkEnd w:id="137"/>
                  <w:bookmarkEnd w:id="138"/>
                  <w:bookmarkEnd w:id="139"/>
                </w:p>
              </w:tc>
              <w:tc>
                <w:tcPr>
                  <w:tcW w:w="643" w:type="pct"/>
                  <w:tcBorders>
                    <w:tl2br w:val="nil"/>
                    <w:tr2bl w:val="nil"/>
                  </w:tcBorders>
                  <w:vAlign w:val="center"/>
                </w:tcPr>
                <w:p w14:paraId="3F4FF591">
                  <w:pPr>
                    <w:adjustRightInd w:val="0"/>
                    <w:snapToGrid w:val="0"/>
                    <w:jc w:val="center"/>
                    <w:rPr>
                      <w:color w:val="FF0000"/>
                      <w:sz w:val="18"/>
                      <w:szCs w:val="18"/>
                      <w:u w:val="none"/>
                    </w:rPr>
                  </w:pPr>
                  <w:bookmarkStart w:id="140" w:name="_Toc421721182"/>
                  <w:bookmarkStart w:id="141" w:name="_Toc447295200"/>
                  <w:bookmarkStart w:id="142" w:name="_Toc437599459"/>
                  <w:bookmarkStart w:id="143" w:name="_Toc441135200"/>
                  <w:bookmarkStart w:id="144" w:name="_Toc440979485"/>
                  <w:r>
                    <w:rPr>
                      <w:color w:val="FF0000"/>
                      <w:sz w:val="18"/>
                      <w:szCs w:val="18"/>
                      <w:u w:val="none"/>
                    </w:rPr>
                    <w:t>m/s</w:t>
                  </w:r>
                  <w:bookmarkEnd w:id="140"/>
                  <w:bookmarkEnd w:id="141"/>
                  <w:bookmarkEnd w:id="142"/>
                  <w:bookmarkEnd w:id="143"/>
                  <w:bookmarkEnd w:id="144"/>
                </w:p>
              </w:tc>
              <w:tc>
                <w:tcPr>
                  <w:tcW w:w="944" w:type="pct"/>
                  <w:tcBorders>
                    <w:tl2br w:val="nil"/>
                    <w:tr2bl w:val="nil"/>
                  </w:tcBorders>
                  <w:vAlign w:val="center"/>
                </w:tcPr>
                <w:p w14:paraId="57029E9E">
                  <w:pPr>
                    <w:adjustRightInd w:val="0"/>
                    <w:snapToGrid w:val="0"/>
                    <w:jc w:val="center"/>
                    <w:rPr>
                      <w:color w:val="FF0000"/>
                      <w:sz w:val="18"/>
                      <w:szCs w:val="18"/>
                      <w:u w:val="none"/>
                    </w:rPr>
                  </w:pPr>
                  <w:r>
                    <w:rPr>
                      <w:color w:val="FF0000"/>
                      <w:sz w:val="18"/>
                      <w:szCs w:val="18"/>
                      <w:u w:val="none"/>
                    </w:rPr>
                    <w:t>2.5</w:t>
                  </w:r>
                </w:p>
              </w:tc>
              <w:tc>
                <w:tcPr>
                  <w:tcW w:w="653" w:type="pct"/>
                  <w:tcBorders>
                    <w:tl2br w:val="nil"/>
                    <w:tr2bl w:val="nil"/>
                  </w:tcBorders>
                  <w:vAlign w:val="center"/>
                </w:tcPr>
                <w:p w14:paraId="0397C7B9">
                  <w:pPr>
                    <w:adjustRightInd w:val="0"/>
                    <w:snapToGrid w:val="0"/>
                    <w:jc w:val="center"/>
                    <w:rPr>
                      <w:color w:val="FF0000"/>
                      <w:sz w:val="18"/>
                      <w:szCs w:val="18"/>
                      <w:u w:val="none"/>
                    </w:rPr>
                  </w:pPr>
                </w:p>
              </w:tc>
            </w:tr>
            <w:tr w14:paraId="5B89DE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316C061C">
                  <w:pPr>
                    <w:adjustRightInd w:val="0"/>
                    <w:snapToGrid w:val="0"/>
                    <w:jc w:val="center"/>
                    <w:rPr>
                      <w:color w:val="FF0000"/>
                      <w:sz w:val="18"/>
                      <w:szCs w:val="18"/>
                      <w:u w:val="none"/>
                    </w:rPr>
                  </w:pPr>
                </w:p>
              </w:tc>
              <w:tc>
                <w:tcPr>
                  <w:tcW w:w="669" w:type="pct"/>
                  <w:vMerge w:val="continue"/>
                  <w:tcBorders>
                    <w:tl2br w:val="nil"/>
                    <w:tr2bl w:val="nil"/>
                  </w:tcBorders>
                  <w:vAlign w:val="center"/>
                </w:tcPr>
                <w:p w14:paraId="671AAB3A">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4060DB06">
                  <w:pPr>
                    <w:adjustRightInd w:val="0"/>
                    <w:snapToGrid w:val="0"/>
                    <w:jc w:val="center"/>
                    <w:rPr>
                      <w:color w:val="FF0000"/>
                      <w:sz w:val="18"/>
                      <w:szCs w:val="18"/>
                      <w:u w:val="none"/>
                    </w:rPr>
                  </w:pPr>
                </w:p>
              </w:tc>
              <w:tc>
                <w:tcPr>
                  <w:tcW w:w="1032" w:type="pct"/>
                  <w:tcBorders>
                    <w:tl2br w:val="nil"/>
                    <w:tr2bl w:val="nil"/>
                  </w:tcBorders>
                  <w:vAlign w:val="center"/>
                </w:tcPr>
                <w:p w14:paraId="4A34850C">
                  <w:pPr>
                    <w:adjustRightInd w:val="0"/>
                    <w:snapToGrid w:val="0"/>
                    <w:jc w:val="center"/>
                    <w:rPr>
                      <w:color w:val="FF0000"/>
                      <w:sz w:val="18"/>
                      <w:szCs w:val="18"/>
                      <w:u w:val="none"/>
                    </w:rPr>
                  </w:pPr>
                  <w:bookmarkStart w:id="145" w:name="_Toc441135202"/>
                  <w:bookmarkStart w:id="146" w:name="_Toc437599461"/>
                  <w:bookmarkStart w:id="147" w:name="_Toc421721184"/>
                  <w:bookmarkStart w:id="148" w:name="_Toc447295202"/>
                  <w:bookmarkStart w:id="149" w:name="_Toc440979487"/>
                  <w:r>
                    <w:rPr>
                      <w:rFonts w:hAnsi="宋体"/>
                      <w:color w:val="FF0000"/>
                      <w:sz w:val="18"/>
                      <w:szCs w:val="18"/>
                      <w:u w:val="none"/>
                    </w:rPr>
                    <w:t>额定风速</w:t>
                  </w:r>
                  <w:bookmarkEnd w:id="145"/>
                  <w:bookmarkEnd w:id="146"/>
                  <w:bookmarkEnd w:id="147"/>
                  <w:bookmarkEnd w:id="148"/>
                  <w:bookmarkEnd w:id="149"/>
                </w:p>
              </w:tc>
              <w:tc>
                <w:tcPr>
                  <w:tcW w:w="643" w:type="pct"/>
                  <w:tcBorders>
                    <w:tl2br w:val="nil"/>
                    <w:tr2bl w:val="nil"/>
                  </w:tcBorders>
                  <w:vAlign w:val="center"/>
                </w:tcPr>
                <w:p w14:paraId="5182333A">
                  <w:pPr>
                    <w:adjustRightInd w:val="0"/>
                    <w:snapToGrid w:val="0"/>
                    <w:jc w:val="center"/>
                    <w:rPr>
                      <w:color w:val="FF0000"/>
                      <w:sz w:val="18"/>
                      <w:szCs w:val="18"/>
                      <w:u w:val="none"/>
                    </w:rPr>
                  </w:pPr>
                  <w:bookmarkStart w:id="150" w:name="_Toc447295203"/>
                  <w:bookmarkStart w:id="151" w:name="_Toc437599462"/>
                  <w:bookmarkStart w:id="152" w:name="_Toc440979488"/>
                  <w:bookmarkStart w:id="153" w:name="_Toc441135203"/>
                  <w:bookmarkStart w:id="154" w:name="_Toc421721185"/>
                  <w:r>
                    <w:rPr>
                      <w:color w:val="FF0000"/>
                      <w:sz w:val="18"/>
                      <w:szCs w:val="18"/>
                      <w:u w:val="none"/>
                    </w:rPr>
                    <w:t>m/s</w:t>
                  </w:r>
                  <w:bookmarkEnd w:id="150"/>
                  <w:bookmarkEnd w:id="151"/>
                  <w:bookmarkEnd w:id="152"/>
                  <w:bookmarkEnd w:id="153"/>
                  <w:bookmarkEnd w:id="154"/>
                </w:p>
              </w:tc>
              <w:tc>
                <w:tcPr>
                  <w:tcW w:w="944" w:type="pct"/>
                  <w:tcBorders>
                    <w:tl2br w:val="nil"/>
                    <w:tr2bl w:val="nil"/>
                  </w:tcBorders>
                  <w:vAlign w:val="center"/>
                </w:tcPr>
                <w:p w14:paraId="75D3F52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9.5</w:t>
                  </w:r>
                </w:p>
              </w:tc>
              <w:tc>
                <w:tcPr>
                  <w:tcW w:w="653" w:type="pct"/>
                  <w:tcBorders>
                    <w:tl2br w:val="nil"/>
                    <w:tr2bl w:val="nil"/>
                  </w:tcBorders>
                  <w:vAlign w:val="center"/>
                </w:tcPr>
                <w:p w14:paraId="6A82D1EA">
                  <w:pPr>
                    <w:adjustRightInd w:val="0"/>
                    <w:snapToGrid w:val="0"/>
                    <w:jc w:val="center"/>
                    <w:rPr>
                      <w:color w:val="FF0000"/>
                      <w:sz w:val="18"/>
                      <w:szCs w:val="18"/>
                      <w:u w:val="none"/>
                    </w:rPr>
                  </w:pPr>
                </w:p>
              </w:tc>
            </w:tr>
            <w:tr w14:paraId="20AB05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10D03AE">
                  <w:pPr>
                    <w:adjustRightInd w:val="0"/>
                    <w:snapToGrid w:val="0"/>
                    <w:jc w:val="center"/>
                    <w:rPr>
                      <w:color w:val="FF0000"/>
                      <w:sz w:val="18"/>
                      <w:szCs w:val="18"/>
                      <w:u w:val="none"/>
                    </w:rPr>
                  </w:pPr>
                </w:p>
              </w:tc>
              <w:tc>
                <w:tcPr>
                  <w:tcW w:w="669" w:type="pct"/>
                  <w:vMerge w:val="continue"/>
                  <w:tcBorders>
                    <w:tl2br w:val="nil"/>
                    <w:tr2bl w:val="nil"/>
                  </w:tcBorders>
                  <w:vAlign w:val="center"/>
                </w:tcPr>
                <w:p w14:paraId="17CCE56E">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70010E9F">
                  <w:pPr>
                    <w:adjustRightInd w:val="0"/>
                    <w:snapToGrid w:val="0"/>
                    <w:jc w:val="center"/>
                    <w:rPr>
                      <w:color w:val="FF0000"/>
                      <w:sz w:val="18"/>
                      <w:szCs w:val="18"/>
                      <w:u w:val="none"/>
                    </w:rPr>
                  </w:pPr>
                </w:p>
              </w:tc>
              <w:tc>
                <w:tcPr>
                  <w:tcW w:w="1032" w:type="pct"/>
                  <w:tcBorders>
                    <w:tl2br w:val="nil"/>
                    <w:tr2bl w:val="nil"/>
                  </w:tcBorders>
                  <w:vAlign w:val="center"/>
                </w:tcPr>
                <w:p w14:paraId="4CC7198C">
                  <w:pPr>
                    <w:adjustRightInd w:val="0"/>
                    <w:snapToGrid w:val="0"/>
                    <w:jc w:val="center"/>
                    <w:rPr>
                      <w:color w:val="FF0000"/>
                      <w:sz w:val="18"/>
                      <w:szCs w:val="18"/>
                      <w:u w:val="none"/>
                    </w:rPr>
                  </w:pPr>
                  <w:bookmarkStart w:id="155" w:name="_Toc447295205"/>
                  <w:bookmarkStart w:id="156" w:name="_Toc437599464"/>
                  <w:bookmarkStart w:id="157" w:name="_Toc441135205"/>
                  <w:bookmarkStart w:id="158" w:name="_Toc421721187"/>
                  <w:bookmarkStart w:id="159" w:name="_Toc440979490"/>
                  <w:r>
                    <w:rPr>
                      <w:rFonts w:hAnsi="宋体"/>
                      <w:color w:val="FF0000"/>
                      <w:sz w:val="18"/>
                      <w:szCs w:val="18"/>
                      <w:u w:val="none"/>
                    </w:rPr>
                    <w:t>切出风速</w:t>
                  </w:r>
                  <w:bookmarkEnd w:id="155"/>
                  <w:bookmarkEnd w:id="156"/>
                  <w:bookmarkEnd w:id="157"/>
                  <w:bookmarkEnd w:id="158"/>
                  <w:bookmarkEnd w:id="159"/>
                </w:p>
              </w:tc>
              <w:tc>
                <w:tcPr>
                  <w:tcW w:w="643" w:type="pct"/>
                  <w:tcBorders>
                    <w:tl2br w:val="nil"/>
                    <w:tr2bl w:val="nil"/>
                  </w:tcBorders>
                  <w:vAlign w:val="center"/>
                </w:tcPr>
                <w:p w14:paraId="601B56D9">
                  <w:pPr>
                    <w:adjustRightInd w:val="0"/>
                    <w:snapToGrid w:val="0"/>
                    <w:jc w:val="center"/>
                    <w:rPr>
                      <w:color w:val="FF0000"/>
                      <w:sz w:val="18"/>
                      <w:szCs w:val="18"/>
                      <w:u w:val="none"/>
                    </w:rPr>
                  </w:pPr>
                  <w:bookmarkStart w:id="160" w:name="_Toc440979491"/>
                  <w:bookmarkStart w:id="161" w:name="_Toc437599465"/>
                  <w:bookmarkStart w:id="162" w:name="_Toc421721188"/>
                  <w:bookmarkStart w:id="163" w:name="_Toc447295206"/>
                  <w:bookmarkStart w:id="164" w:name="_Toc441135206"/>
                  <w:r>
                    <w:rPr>
                      <w:color w:val="FF0000"/>
                      <w:sz w:val="18"/>
                      <w:szCs w:val="18"/>
                      <w:u w:val="none"/>
                    </w:rPr>
                    <w:t>m/s</w:t>
                  </w:r>
                  <w:bookmarkEnd w:id="160"/>
                  <w:bookmarkEnd w:id="161"/>
                  <w:bookmarkEnd w:id="162"/>
                  <w:bookmarkEnd w:id="163"/>
                  <w:bookmarkEnd w:id="164"/>
                </w:p>
              </w:tc>
              <w:tc>
                <w:tcPr>
                  <w:tcW w:w="944" w:type="pct"/>
                  <w:tcBorders>
                    <w:tl2br w:val="nil"/>
                    <w:tr2bl w:val="nil"/>
                  </w:tcBorders>
                  <w:vAlign w:val="center"/>
                </w:tcPr>
                <w:p w14:paraId="4DAEB98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25</w:t>
                  </w:r>
                </w:p>
              </w:tc>
              <w:tc>
                <w:tcPr>
                  <w:tcW w:w="653" w:type="pct"/>
                  <w:tcBorders>
                    <w:tl2br w:val="nil"/>
                    <w:tr2bl w:val="nil"/>
                  </w:tcBorders>
                  <w:vAlign w:val="center"/>
                </w:tcPr>
                <w:p w14:paraId="102DD741">
                  <w:pPr>
                    <w:adjustRightInd w:val="0"/>
                    <w:snapToGrid w:val="0"/>
                    <w:jc w:val="center"/>
                    <w:rPr>
                      <w:color w:val="FF0000"/>
                      <w:sz w:val="18"/>
                      <w:szCs w:val="18"/>
                      <w:u w:val="none"/>
                    </w:rPr>
                  </w:pPr>
                </w:p>
              </w:tc>
            </w:tr>
            <w:tr w14:paraId="3BA16E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49AD086">
                  <w:pPr>
                    <w:adjustRightInd w:val="0"/>
                    <w:snapToGrid w:val="0"/>
                    <w:jc w:val="center"/>
                    <w:rPr>
                      <w:color w:val="FF0000"/>
                      <w:sz w:val="18"/>
                      <w:szCs w:val="18"/>
                      <w:u w:val="none"/>
                    </w:rPr>
                  </w:pPr>
                </w:p>
              </w:tc>
              <w:tc>
                <w:tcPr>
                  <w:tcW w:w="669" w:type="pct"/>
                  <w:vMerge w:val="continue"/>
                  <w:tcBorders>
                    <w:tl2br w:val="nil"/>
                    <w:tr2bl w:val="nil"/>
                  </w:tcBorders>
                  <w:vAlign w:val="center"/>
                </w:tcPr>
                <w:p w14:paraId="1CB799DF">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146F42E7">
                  <w:pPr>
                    <w:adjustRightInd w:val="0"/>
                    <w:snapToGrid w:val="0"/>
                    <w:jc w:val="center"/>
                    <w:rPr>
                      <w:color w:val="FF0000"/>
                      <w:sz w:val="18"/>
                      <w:szCs w:val="18"/>
                      <w:u w:val="none"/>
                    </w:rPr>
                  </w:pPr>
                </w:p>
              </w:tc>
              <w:tc>
                <w:tcPr>
                  <w:tcW w:w="1032" w:type="pct"/>
                  <w:tcBorders>
                    <w:tl2br w:val="nil"/>
                    <w:tr2bl w:val="nil"/>
                  </w:tcBorders>
                  <w:vAlign w:val="center"/>
                </w:tcPr>
                <w:p w14:paraId="538AA2A9">
                  <w:pPr>
                    <w:adjustRightInd w:val="0"/>
                    <w:snapToGrid w:val="0"/>
                    <w:jc w:val="center"/>
                    <w:rPr>
                      <w:color w:val="FF0000"/>
                      <w:sz w:val="18"/>
                      <w:szCs w:val="18"/>
                      <w:u w:val="none"/>
                    </w:rPr>
                  </w:pPr>
                  <w:bookmarkStart w:id="165" w:name="_Toc440979497"/>
                  <w:bookmarkStart w:id="166" w:name="_Toc421721201"/>
                  <w:bookmarkStart w:id="167" w:name="_Toc437599478"/>
                  <w:bookmarkStart w:id="168" w:name="_Toc447295212"/>
                  <w:bookmarkStart w:id="169" w:name="_Toc441135212"/>
                  <w:r>
                    <w:rPr>
                      <w:rFonts w:hAnsi="宋体"/>
                      <w:color w:val="FF0000"/>
                      <w:sz w:val="18"/>
                      <w:szCs w:val="18"/>
                      <w:u w:val="none"/>
                    </w:rPr>
                    <w:t>轮毂高度</w:t>
                  </w:r>
                  <w:bookmarkEnd w:id="165"/>
                  <w:bookmarkEnd w:id="166"/>
                  <w:bookmarkEnd w:id="167"/>
                  <w:bookmarkEnd w:id="168"/>
                  <w:bookmarkEnd w:id="169"/>
                </w:p>
              </w:tc>
              <w:tc>
                <w:tcPr>
                  <w:tcW w:w="643" w:type="pct"/>
                  <w:tcBorders>
                    <w:tl2br w:val="nil"/>
                    <w:tr2bl w:val="nil"/>
                  </w:tcBorders>
                  <w:vAlign w:val="center"/>
                </w:tcPr>
                <w:p w14:paraId="10E1D7DB">
                  <w:pPr>
                    <w:adjustRightInd w:val="0"/>
                    <w:snapToGrid w:val="0"/>
                    <w:jc w:val="center"/>
                    <w:rPr>
                      <w:color w:val="FF0000"/>
                      <w:sz w:val="18"/>
                      <w:szCs w:val="18"/>
                      <w:u w:val="none"/>
                    </w:rPr>
                  </w:pPr>
                  <w:bookmarkStart w:id="170" w:name="_Toc440979498"/>
                  <w:bookmarkStart w:id="171" w:name="_Toc421721202"/>
                  <w:bookmarkStart w:id="172" w:name="_Toc437599479"/>
                  <w:bookmarkStart w:id="173" w:name="_Toc447295213"/>
                  <w:bookmarkStart w:id="174" w:name="_Toc441135213"/>
                  <w:r>
                    <w:rPr>
                      <w:color w:val="FF0000"/>
                      <w:sz w:val="18"/>
                      <w:szCs w:val="18"/>
                      <w:u w:val="none"/>
                    </w:rPr>
                    <w:t>m</w:t>
                  </w:r>
                  <w:bookmarkEnd w:id="170"/>
                  <w:bookmarkEnd w:id="171"/>
                  <w:bookmarkEnd w:id="172"/>
                  <w:bookmarkEnd w:id="173"/>
                  <w:bookmarkEnd w:id="174"/>
                </w:p>
              </w:tc>
              <w:tc>
                <w:tcPr>
                  <w:tcW w:w="944" w:type="pct"/>
                  <w:tcBorders>
                    <w:tl2br w:val="nil"/>
                    <w:tr2bl w:val="nil"/>
                  </w:tcBorders>
                  <w:vAlign w:val="center"/>
                </w:tcPr>
                <w:p w14:paraId="1E3F550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115</w:t>
                  </w:r>
                </w:p>
              </w:tc>
              <w:tc>
                <w:tcPr>
                  <w:tcW w:w="653" w:type="pct"/>
                  <w:tcBorders>
                    <w:tl2br w:val="nil"/>
                    <w:tr2bl w:val="nil"/>
                  </w:tcBorders>
                  <w:vAlign w:val="center"/>
                </w:tcPr>
                <w:p w14:paraId="7CB87CCE">
                  <w:pPr>
                    <w:adjustRightInd w:val="0"/>
                    <w:snapToGrid w:val="0"/>
                    <w:jc w:val="center"/>
                    <w:rPr>
                      <w:color w:val="FF0000"/>
                      <w:sz w:val="18"/>
                      <w:szCs w:val="18"/>
                      <w:u w:val="none"/>
                    </w:rPr>
                  </w:pPr>
                </w:p>
              </w:tc>
            </w:tr>
            <w:tr w14:paraId="5A0574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4048E470">
                  <w:pPr>
                    <w:adjustRightInd w:val="0"/>
                    <w:snapToGrid w:val="0"/>
                    <w:jc w:val="center"/>
                    <w:rPr>
                      <w:color w:val="FF0000"/>
                      <w:sz w:val="18"/>
                      <w:szCs w:val="18"/>
                      <w:u w:val="none"/>
                    </w:rPr>
                  </w:pPr>
                </w:p>
              </w:tc>
              <w:tc>
                <w:tcPr>
                  <w:tcW w:w="669" w:type="pct"/>
                  <w:vMerge w:val="continue"/>
                  <w:tcBorders>
                    <w:tl2br w:val="nil"/>
                    <w:tr2bl w:val="nil"/>
                  </w:tcBorders>
                  <w:vAlign w:val="center"/>
                </w:tcPr>
                <w:p w14:paraId="0A621BEB">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187E288E">
                  <w:pPr>
                    <w:adjustRightInd w:val="0"/>
                    <w:snapToGrid w:val="0"/>
                    <w:jc w:val="center"/>
                    <w:rPr>
                      <w:color w:val="FF0000"/>
                      <w:sz w:val="18"/>
                      <w:szCs w:val="18"/>
                      <w:u w:val="none"/>
                    </w:rPr>
                  </w:pPr>
                </w:p>
              </w:tc>
              <w:tc>
                <w:tcPr>
                  <w:tcW w:w="1032" w:type="pct"/>
                  <w:tcBorders>
                    <w:tl2br w:val="nil"/>
                    <w:tr2bl w:val="nil"/>
                  </w:tcBorders>
                  <w:vAlign w:val="center"/>
                </w:tcPr>
                <w:p w14:paraId="3D4ECCBC">
                  <w:pPr>
                    <w:adjustRightInd w:val="0"/>
                    <w:snapToGrid w:val="0"/>
                    <w:jc w:val="center"/>
                    <w:rPr>
                      <w:color w:val="FF0000"/>
                      <w:sz w:val="18"/>
                      <w:szCs w:val="18"/>
                      <w:u w:val="none"/>
                    </w:rPr>
                  </w:pPr>
                  <w:bookmarkStart w:id="175" w:name="_Toc437599484"/>
                  <w:bookmarkStart w:id="176" w:name="_Toc440979503"/>
                  <w:bookmarkStart w:id="177" w:name="_Toc441135219"/>
                  <w:bookmarkStart w:id="178" w:name="_Toc447295218"/>
                  <w:bookmarkStart w:id="179" w:name="_Toc421721207"/>
                  <w:r>
                    <w:rPr>
                      <w:rFonts w:hAnsi="宋体"/>
                      <w:color w:val="FF0000"/>
                      <w:sz w:val="18"/>
                      <w:szCs w:val="18"/>
                      <w:u w:val="none"/>
                    </w:rPr>
                    <w:t>发电机容量</w:t>
                  </w:r>
                  <w:bookmarkEnd w:id="175"/>
                  <w:bookmarkEnd w:id="176"/>
                  <w:bookmarkEnd w:id="177"/>
                  <w:bookmarkEnd w:id="178"/>
                  <w:bookmarkEnd w:id="179"/>
                </w:p>
              </w:tc>
              <w:tc>
                <w:tcPr>
                  <w:tcW w:w="643" w:type="pct"/>
                  <w:tcBorders>
                    <w:tl2br w:val="nil"/>
                    <w:tr2bl w:val="nil"/>
                  </w:tcBorders>
                  <w:vAlign w:val="center"/>
                </w:tcPr>
                <w:p w14:paraId="0AC62679">
                  <w:pPr>
                    <w:adjustRightInd w:val="0"/>
                    <w:snapToGrid w:val="0"/>
                    <w:jc w:val="center"/>
                    <w:rPr>
                      <w:color w:val="FF0000"/>
                      <w:sz w:val="18"/>
                      <w:szCs w:val="18"/>
                      <w:u w:val="none"/>
                    </w:rPr>
                  </w:pPr>
                  <w:bookmarkStart w:id="180" w:name="_Toc437599485"/>
                  <w:bookmarkStart w:id="181" w:name="_Toc447295219"/>
                  <w:bookmarkStart w:id="182" w:name="_Toc441135220"/>
                  <w:bookmarkStart w:id="183" w:name="_Toc421721208"/>
                  <w:bookmarkStart w:id="184" w:name="_Toc440979504"/>
                  <w:r>
                    <w:rPr>
                      <w:color w:val="FF0000"/>
                      <w:sz w:val="18"/>
                      <w:szCs w:val="18"/>
                      <w:u w:val="none"/>
                    </w:rPr>
                    <w:t>kW</w:t>
                  </w:r>
                  <w:bookmarkEnd w:id="180"/>
                  <w:bookmarkEnd w:id="181"/>
                  <w:bookmarkEnd w:id="182"/>
                  <w:bookmarkEnd w:id="183"/>
                  <w:bookmarkEnd w:id="184"/>
                </w:p>
              </w:tc>
              <w:tc>
                <w:tcPr>
                  <w:tcW w:w="944" w:type="pct"/>
                  <w:tcBorders>
                    <w:tl2br w:val="nil"/>
                    <w:tr2bl w:val="nil"/>
                  </w:tcBorders>
                  <w:vAlign w:val="center"/>
                </w:tcPr>
                <w:p w14:paraId="7D87F341">
                  <w:pPr>
                    <w:adjustRightInd w:val="0"/>
                    <w:snapToGrid w:val="0"/>
                    <w:jc w:val="center"/>
                    <w:rPr>
                      <w:color w:val="FF0000"/>
                      <w:sz w:val="18"/>
                      <w:szCs w:val="18"/>
                      <w:u w:val="none"/>
                    </w:rPr>
                  </w:pPr>
                  <w:r>
                    <w:rPr>
                      <w:color w:val="FF0000"/>
                      <w:sz w:val="18"/>
                      <w:szCs w:val="18"/>
                      <w:u w:val="none"/>
                    </w:rPr>
                    <w:t>5000</w:t>
                  </w:r>
                </w:p>
              </w:tc>
              <w:tc>
                <w:tcPr>
                  <w:tcW w:w="653" w:type="pct"/>
                  <w:tcBorders>
                    <w:tl2br w:val="nil"/>
                    <w:tr2bl w:val="nil"/>
                  </w:tcBorders>
                  <w:vAlign w:val="center"/>
                </w:tcPr>
                <w:p w14:paraId="74712FE4">
                  <w:pPr>
                    <w:adjustRightInd w:val="0"/>
                    <w:snapToGrid w:val="0"/>
                    <w:jc w:val="center"/>
                    <w:rPr>
                      <w:color w:val="FF0000"/>
                      <w:sz w:val="18"/>
                      <w:szCs w:val="18"/>
                      <w:u w:val="none"/>
                    </w:rPr>
                  </w:pPr>
                </w:p>
              </w:tc>
            </w:tr>
            <w:tr w14:paraId="49F98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AAB523D">
                  <w:pPr>
                    <w:adjustRightInd w:val="0"/>
                    <w:snapToGrid w:val="0"/>
                    <w:jc w:val="center"/>
                    <w:rPr>
                      <w:color w:val="FF0000"/>
                      <w:sz w:val="18"/>
                      <w:szCs w:val="18"/>
                      <w:u w:val="none"/>
                    </w:rPr>
                  </w:pPr>
                </w:p>
              </w:tc>
              <w:tc>
                <w:tcPr>
                  <w:tcW w:w="669" w:type="pct"/>
                  <w:vMerge w:val="continue"/>
                  <w:tcBorders>
                    <w:tl2br w:val="nil"/>
                    <w:tr2bl w:val="nil"/>
                  </w:tcBorders>
                  <w:vAlign w:val="center"/>
                </w:tcPr>
                <w:p w14:paraId="0FC12BA0">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0C7B9AC1">
                  <w:pPr>
                    <w:adjustRightInd w:val="0"/>
                    <w:snapToGrid w:val="0"/>
                    <w:jc w:val="center"/>
                    <w:rPr>
                      <w:color w:val="FF0000"/>
                      <w:sz w:val="18"/>
                      <w:szCs w:val="18"/>
                      <w:u w:val="none"/>
                    </w:rPr>
                  </w:pPr>
                </w:p>
              </w:tc>
              <w:tc>
                <w:tcPr>
                  <w:tcW w:w="1032" w:type="pct"/>
                  <w:tcBorders>
                    <w:tl2br w:val="nil"/>
                    <w:tr2bl w:val="nil"/>
                  </w:tcBorders>
                  <w:vAlign w:val="center"/>
                </w:tcPr>
                <w:p w14:paraId="4992DDEB">
                  <w:pPr>
                    <w:adjustRightInd w:val="0"/>
                    <w:snapToGrid w:val="0"/>
                    <w:jc w:val="center"/>
                    <w:rPr>
                      <w:color w:val="FF0000"/>
                      <w:sz w:val="18"/>
                      <w:szCs w:val="18"/>
                      <w:u w:val="none"/>
                    </w:rPr>
                  </w:pPr>
                  <w:bookmarkStart w:id="185" w:name="_Toc441135224"/>
                  <w:bookmarkStart w:id="186" w:name="_Toc447295223"/>
                  <w:bookmarkStart w:id="187" w:name="_Toc440979508"/>
                  <w:bookmarkStart w:id="188" w:name="_Toc437599489"/>
                  <w:bookmarkStart w:id="189" w:name="_Toc421721212"/>
                  <w:r>
                    <w:rPr>
                      <w:rFonts w:hAnsi="宋体"/>
                      <w:color w:val="FF0000"/>
                      <w:sz w:val="18"/>
                      <w:szCs w:val="18"/>
                      <w:u w:val="none"/>
                    </w:rPr>
                    <w:t>额定电压</w:t>
                  </w:r>
                  <w:bookmarkEnd w:id="185"/>
                  <w:bookmarkEnd w:id="186"/>
                  <w:bookmarkEnd w:id="187"/>
                  <w:bookmarkEnd w:id="188"/>
                  <w:bookmarkEnd w:id="189"/>
                </w:p>
              </w:tc>
              <w:tc>
                <w:tcPr>
                  <w:tcW w:w="643" w:type="pct"/>
                  <w:tcBorders>
                    <w:tl2br w:val="nil"/>
                    <w:tr2bl w:val="nil"/>
                  </w:tcBorders>
                  <w:vAlign w:val="center"/>
                </w:tcPr>
                <w:p w14:paraId="4618A883">
                  <w:pPr>
                    <w:adjustRightInd w:val="0"/>
                    <w:snapToGrid w:val="0"/>
                    <w:jc w:val="center"/>
                    <w:rPr>
                      <w:color w:val="FF0000"/>
                      <w:sz w:val="18"/>
                      <w:szCs w:val="18"/>
                      <w:u w:val="none"/>
                    </w:rPr>
                  </w:pPr>
                  <w:bookmarkStart w:id="190" w:name="_Toc441135225"/>
                  <w:bookmarkStart w:id="191" w:name="_Toc440979509"/>
                  <w:bookmarkStart w:id="192" w:name="_Toc447295224"/>
                  <w:bookmarkStart w:id="193" w:name="_Toc421721213"/>
                  <w:bookmarkStart w:id="194" w:name="_Toc437599490"/>
                  <w:r>
                    <w:rPr>
                      <w:color w:val="FF0000"/>
                      <w:sz w:val="18"/>
                      <w:szCs w:val="18"/>
                      <w:u w:val="none"/>
                    </w:rPr>
                    <w:t>V</w:t>
                  </w:r>
                  <w:bookmarkEnd w:id="190"/>
                  <w:bookmarkEnd w:id="191"/>
                  <w:bookmarkEnd w:id="192"/>
                  <w:bookmarkEnd w:id="193"/>
                  <w:bookmarkEnd w:id="194"/>
                </w:p>
              </w:tc>
              <w:tc>
                <w:tcPr>
                  <w:tcW w:w="944" w:type="pct"/>
                  <w:tcBorders>
                    <w:tl2br w:val="nil"/>
                    <w:tr2bl w:val="nil"/>
                  </w:tcBorders>
                  <w:vAlign w:val="center"/>
                </w:tcPr>
                <w:p w14:paraId="261E32FA">
                  <w:pPr>
                    <w:adjustRightInd w:val="0"/>
                    <w:snapToGrid w:val="0"/>
                    <w:jc w:val="center"/>
                    <w:rPr>
                      <w:color w:val="FF0000"/>
                      <w:sz w:val="18"/>
                      <w:szCs w:val="18"/>
                      <w:u w:val="none"/>
                    </w:rPr>
                  </w:pPr>
                  <w:r>
                    <w:rPr>
                      <w:color w:val="FF0000"/>
                      <w:sz w:val="18"/>
                      <w:szCs w:val="18"/>
                      <w:u w:val="none"/>
                    </w:rPr>
                    <w:t>1140</w:t>
                  </w:r>
                </w:p>
              </w:tc>
              <w:tc>
                <w:tcPr>
                  <w:tcW w:w="653" w:type="pct"/>
                  <w:tcBorders>
                    <w:tl2br w:val="nil"/>
                    <w:tr2bl w:val="nil"/>
                  </w:tcBorders>
                  <w:vAlign w:val="center"/>
                </w:tcPr>
                <w:p w14:paraId="4471B58F">
                  <w:pPr>
                    <w:adjustRightInd w:val="0"/>
                    <w:snapToGrid w:val="0"/>
                    <w:jc w:val="center"/>
                    <w:rPr>
                      <w:color w:val="FF0000"/>
                      <w:sz w:val="18"/>
                      <w:szCs w:val="18"/>
                      <w:u w:val="none"/>
                    </w:rPr>
                  </w:pPr>
                </w:p>
              </w:tc>
            </w:tr>
            <w:tr w14:paraId="049C0B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8FF2D32">
                  <w:pPr>
                    <w:adjustRightInd w:val="0"/>
                    <w:snapToGrid w:val="0"/>
                    <w:jc w:val="center"/>
                    <w:rPr>
                      <w:color w:val="FF0000"/>
                      <w:sz w:val="18"/>
                      <w:szCs w:val="18"/>
                      <w:u w:val="none"/>
                    </w:rPr>
                  </w:pPr>
                </w:p>
              </w:tc>
              <w:tc>
                <w:tcPr>
                  <w:tcW w:w="669" w:type="pct"/>
                  <w:vMerge w:val="continue"/>
                  <w:tcBorders>
                    <w:tl2br w:val="nil"/>
                    <w:tr2bl w:val="nil"/>
                  </w:tcBorders>
                  <w:vAlign w:val="center"/>
                </w:tcPr>
                <w:p w14:paraId="3479A9A0">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4518343E">
                  <w:pPr>
                    <w:adjustRightInd w:val="0"/>
                    <w:snapToGrid w:val="0"/>
                    <w:jc w:val="center"/>
                    <w:rPr>
                      <w:color w:val="FF0000"/>
                      <w:sz w:val="18"/>
                      <w:szCs w:val="18"/>
                      <w:u w:val="none"/>
                    </w:rPr>
                  </w:pPr>
                </w:p>
              </w:tc>
              <w:tc>
                <w:tcPr>
                  <w:tcW w:w="1032" w:type="pct"/>
                  <w:tcBorders>
                    <w:tl2br w:val="nil"/>
                    <w:tr2bl w:val="nil"/>
                  </w:tcBorders>
                  <w:vAlign w:val="center"/>
                </w:tcPr>
                <w:p w14:paraId="73E935CF">
                  <w:pPr>
                    <w:adjustRightInd w:val="0"/>
                    <w:snapToGrid w:val="0"/>
                    <w:jc w:val="center"/>
                    <w:rPr>
                      <w:color w:val="FF0000"/>
                      <w:sz w:val="18"/>
                      <w:szCs w:val="18"/>
                      <w:u w:val="none"/>
                    </w:rPr>
                  </w:pPr>
                  <w:bookmarkStart w:id="195" w:name="_Toc437599493"/>
                  <w:bookmarkStart w:id="196" w:name="_Toc440979511"/>
                  <w:bookmarkStart w:id="197" w:name="_Toc447295226"/>
                  <w:bookmarkStart w:id="198" w:name="_Toc441135227"/>
                  <w:bookmarkStart w:id="199" w:name="_Toc421721216"/>
                  <w:r>
                    <w:rPr>
                      <w:color w:val="FF0000"/>
                      <w:sz w:val="18"/>
                      <w:szCs w:val="18"/>
                      <w:u w:val="none"/>
                    </w:rPr>
                    <w:t>35kV</w:t>
                  </w:r>
                  <w:r>
                    <w:rPr>
                      <w:rFonts w:hAnsi="宋体"/>
                      <w:color w:val="FF0000"/>
                      <w:sz w:val="18"/>
                      <w:szCs w:val="18"/>
                      <w:u w:val="none"/>
                    </w:rPr>
                    <w:t>箱式变</w:t>
                  </w:r>
                  <w:bookmarkEnd w:id="195"/>
                  <w:bookmarkEnd w:id="196"/>
                  <w:bookmarkEnd w:id="197"/>
                  <w:bookmarkEnd w:id="198"/>
                  <w:bookmarkEnd w:id="199"/>
                </w:p>
              </w:tc>
              <w:tc>
                <w:tcPr>
                  <w:tcW w:w="643" w:type="pct"/>
                  <w:tcBorders>
                    <w:tl2br w:val="nil"/>
                    <w:tr2bl w:val="nil"/>
                  </w:tcBorders>
                  <w:vAlign w:val="center"/>
                </w:tcPr>
                <w:p w14:paraId="76D40BB9">
                  <w:pPr>
                    <w:adjustRightInd w:val="0"/>
                    <w:snapToGrid w:val="0"/>
                    <w:jc w:val="center"/>
                    <w:rPr>
                      <w:color w:val="FF0000"/>
                      <w:sz w:val="18"/>
                      <w:szCs w:val="18"/>
                      <w:u w:val="none"/>
                    </w:rPr>
                  </w:pPr>
                  <w:bookmarkStart w:id="200" w:name="_Toc441135228"/>
                  <w:bookmarkStart w:id="201" w:name="_Toc421721217"/>
                  <w:bookmarkStart w:id="202" w:name="_Toc437599494"/>
                  <w:bookmarkStart w:id="203" w:name="_Toc447295227"/>
                  <w:bookmarkStart w:id="204" w:name="_Toc440979512"/>
                  <w:r>
                    <w:rPr>
                      <w:rFonts w:hAnsi="宋体"/>
                      <w:color w:val="FF0000"/>
                      <w:sz w:val="18"/>
                      <w:szCs w:val="18"/>
                      <w:u w:val="none"/>
                    </w:rPr>
                    <w:t>台</w:t>
                  </w:r>
                  <w:bookmarkEnd w:id="200"/>
                  <w:bookmarkEnd w:id="201"/>
                  <w:bookmarkEnd w:id="202"/>
                  <w:bookmarkEnd w:id="203"/>
                  <w:bookmarkEnd w:id="204"/>
                </w:p>
              </w:tc>
              <w:tc>
                <w:tcPr>
                  <w:tcW w:w="944" w:type="pct"/>
                  <w:tcBorders>
                    <w:tl2br w:val="nil"/>
                    <w:tr2bl w:val="nil"/>
                  </w:tcBorders>
                  <w:vAlign w:val="center"/>
                </w:tcPr>
                <w:p w14:paraId="17BC07C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16</w:t>
                  </w:r>
                </w:p>
              </w:tc>
              <w:tc>
                <w:tcPr>
                  <w:tcW w:w="653" w:type="pct"/>
                  <w:tcBorders>
                    <w:tl2br w:val="nil"/>
                    <w:tr2bl w:val="nil"/>
                  </w:tcBorders>
                  <w:vAlign w:val="center"/>
                </w:tcPr>
                <w:p w14:paraId="112EC886">
                  <w:pPr>
                    <w:adjustRightInd w:val="0"/>
                    <w:snapToGrid w:val="0"/>
                    <w:jc w:val="center"/>
                    <w:rPr>
                      <w:color w:val="FF0000"/>
                      <w:sz w:val="18"/>
                      <w:szCs w:val="18"/>
                      <w:u w:val="none"/>
                    </w:rPr>
                  </w:pPr>
                </w:p>
              </w:tc>
            </w:tr>
            <w:tr w14:paraId="0C2ED5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32591050">
                  <w:pPr>
                    <w:adjustRightInd w:val="0"/>
                    <w:snapToGrid w:val="0"/>
                    <w:jc w:val="center"/>
                    <w:rPr>
                      <w:color w:val="FF0000"/>
                      <w:sz w:val="18"/>
                      <w:szCs w:val="18"/>
                      <w:u w:val="none"/>
                    </w:rPr>
                  </w:pPr>
                  <w:bookmarkStart w:id="205" w:name="_Toc447295229"/>
                  <w:bookmarkStart w:id="206" w:name="_Toc440979514"/>
                  <w:bookmarkStart w:id="207" w:name="_Toc441135230"/>
                  <w:bookmarkStart w:id="208" w:name="_Toc437599496"/>
                  <w:r>
                    <w:rPr>
                      <w:rFonts w:hAnsi="宋体"/>
                      <w:color w:val="FF0000"/>
                      <w:sz w:val="18"/>
                      <w:szCs w:val="18"/>
                      <w:u w:val="none"/>
                    </w:rPr>
                    <w:t>主要设备</w:t>
                  </w:r>
                  <w:bookmarkEnd w:id="205"/>
                  <w:bookmarkEnd w:id="206"/>
                  <w:bookmarkEnd w:id="207"/>
                  <w:bookmarkEnd w:id="208"/>
                </w:p>
              </w:tc>
              <w:tc>
                <w:tcPr>
                  <w:tcW w:w="669" w:type="pct"/>
                  <w:vMerge w:val="restart"/>
                  <w:tcBorders>
                    <w:tl2br w:val="nil"/>
                    <w:tr2bl w:val="nil"/>
                  </w:tcBorders>
                  <w:vAlign w:val="center"/>
                </w:tcPr>
                <w:p w14:paraId="4F9BA06A">
                  <w:pPr>
                    <w:adjustRightInd w:val="0"/>
                    <w:snapToGrid w:val="0"/>
                    <w:jc w:val="center"/>
                    <w:rPr>
                      <w:color w:val="FF0000"/>
                      <w:sz w:val="18"/>
                      <w:szCs w:val="18"/>
                      <w:u w:val="none"/>
                    </w:rPr>
                  </w:pPr>
                  <w:r>
                    <w:rPr>
                      <w:rFonts w:hint="eastAsia" w:hAnsi="宋体"/>
                      <w:color w:val="FF0000"/>
                      <w:sz w:val="18"/>
                      <w:szCs w:val="18"/>
                      <w:u w:val="none"/>
                    </w:rPr>
                    <w:t>升压站</w:t>
                  </w:r>
                </w:p>
              </w:tc>
              <w:tc>
                <w:tcPr>
                  <w:tcW w:w="472" w:type="pct"/>
                  <w:gridSpan w:val="2"/>
                  <w:vMerge w:val="restart"/>
                  <w:tcBorders>
                    <w:tl2br w:val="nil"/>
                    <w:tr2bl w:val="nil"/>
                  </w:tcBorders>
                  <w:vAlign w:val="center"/>
                </w:tcPr>
                <w:p w14:paraId="55B86C3A">
                  <w:pPr>
                    <w:adjustRightInd w:val="0"/>
                    <w:snapToGrid w:val="0"/>
                    <w:jc w:val="center"/>
                    <w:rPr>
                      <w:color w:val="FF0000"/>
                      <w:sz w:val="18"/>
                      <w:szCs w:val="18"/>
                      <w:u w:val="none"/>
                    </w:rPr>
                  </w:pPr>
                  <w:bookmarkStart w:id="209" w:name="_Toc323571480"/>
                  <w:bookmarkStart w:id="210" w:name="_Toc437599498"/>
                  <w:bookmarkStart w:id="211" w:name="_Toc323571091"/>
                  <w:bookmarkStart w:id="212" w:name="_Toc447295231"/>
                  <w:bookmarkStart w:id="213" w:name="_Toc441135232"/>
                  <w:bookmarkStart w:id="214" w:name="_Toc440979516"/>
                  <w:r>
                    <w:rPr>
                      <w:rFonts w:hAnsi="宋体"/>
                      <w:color w:val="FF0000"/>
                      <w:sz w:val="18"/>
                      <w:szCs w:val="18"/>
                      <w:u w:val="none"/>
                    </w:rPr>
                    <w:t>主变压器</w:t>
                  </w:r>
                  <w:bookmarkEnd w:id="209"/>
                  <w:bookmarkEnd w:id="210"/>
                  <w:bookmarkEnd w:id="211"/>
                  <w:bookmarkEnd w:id="212"/>
                  <w:bookmarkEnd w:id="213"/>
                  <w:bookmarkEnd w:id="214"/>
                </w:p>
              </w:tc>
              <w:tc>
                <w:tcPr>
                  <w:tcW w:w="1032" w:type="pct"/>
                  <w:tcBorders>
                    <w:tl2br w:val="nil"/>
                    <w:tr2bl w:val="nil"/>
                  </w:tcBorders>
                  <w:vAlign w:val="center"/>
                </w:tcPr>
                <w:p w14:paraId="3939F5FD">
                  <w:pPr>
                    <w:adjustRightInd w:val="0"/>
                    <w:snapToGrid w:val="0"/>
                    <w:jc w:val="center"/>
                    <w:rPr>
                      <w:color w:val="FF0000"/>
                      <w:sz w:val="18"/>
                      <w:szCs w:val="18"/>
                      <w:u w:val="none"/>
                    </w:rPr>
                  </w:pPr>
                  <w:bookmarkStart w:id="215" w:name="_Toc447295232"/>
                  <w:bookmarkStart w:id="216" w:name="_Toc437599499"/>
                  <w:bookmarkStart w:id="217" w:name="_Toc440979517"/>
                  <w:bookmarkStart w:id="218" w:name="_Toc441135233"/>
                  <w:r>
                    <w:rPr>
                      <w:rFonts w:hAnsi="宋体"/>
                      <w:color w:val="FF0000"/>
                      <w:sz w:val="18"/>
                      <w:szCs w:val="18"/>
                      <w:u w:val="none"/>
                    </w:rPr>
                    <w:t>台数</w:t>
                  </w:r>
                  <w:bookmarkEnd w:id="215"/>
                  <w:bookmarkEnd w:id="216"/>
                  <w:bookmarkEnd w:id="217"/>
                  <w:bookmarkEnd w:id="218"/>
                </w:p>
              </w:tc>
              <w:tc>
                <w:tcPr>
                  <w:tcW w:w="643" w:type="pct"/>
                  <w:tcBorders>
                    <w:tl2br w:val="nil"/>
                    <w:tr2bl w:val="nil"/>
                  </w:tcBorders>
                  <w:vAlign w:val="center"/>
                </w:tcPr>
                <w:p w14:paraId="48A799A6">
                  <w:pPr>
                    <w:adjustRightInd w:val="0"/>
                    <w:snapToGrid w:val="0"/>
                    <w:jc w:val="center"/>
                    <w:rPr>
                      <w:color w:val="FF0000"/>
                      <w:sz w:val="18"/>
                      <w:szCs w:val="18"/>
                      <w:u w:val="none"/>
                    </w:rPr>
                  </w:pPr>
                  <w:bookmarkStart w:id="219" w:name="_Toc437599500"/>
                  <w:bookmarkStart w:id="220" w:name="_Toc441135234"/>
                  <w:bookmarkStart w:id="221" w:name="_Toc447295233"/>
                  <w:bookmarkStart w:id="222" w:name="_Toc440979518"/>
                  <w:r>
                    <w:rPr>
                      <w:rFonts w:hAnsi="宋体"/>
                      <w:color w:val="FF0000"/>
                      <w:sz w:val="18"/>
                      <w:szCs w:val="18"/>
                      <w:u w:val="none"/>
                    </w:rPr>
                    <w:t>台</w:t>
                  </w:r>
                  <w:bookmarkEnd w:id="219"/>
                  <w:bookmarkEnd w:id="220"/>
                  <w:bookmarkEnd w:id="221"/>
                  <w:bookmarkEnd w:id="222"/>
                </w:p>
              </w:tc>
              <w:tc>
                <w:tcPr>
                  <w:tcW w:w="944" w:type="pct"/>
                  <w:tcBorders>
                    <w:tl2br w:val="nil"/>
                    <w:tr2bl w:val="nil"/>
                  </w:tcBorders>
                  <w:vAlign w:val="center"/>
                </w:tcPr>
                <w:p w14:paraId="1EDB348B">
                  <w:pPr>
                    <w:adjustRightInd w:val="0"/>
                    <w:snapToGrid w:val="0"/>
                    <w:jc w:val="center"/>
                    <w:rPr>
                      <w:color w:val="FF0000"/>
                      <w:sz w:val="18"/>
                      <w:szCs w:val="18"/>
                      <w:u w:val="none"/>
                    </w:rPr>
                  </w:pPr>
                  <w:r>
                    <w:rPr>
                      <w:rFonts w:hint="eastAsia"/>
                      <w:color w:val="FF0000"/>
                      <w:sz w:val="18"/>
                      <w:szCs w:val="18"/>
                      <w:u w:val="none"/>
                    </w:rPr>
                    <w:t>1</w:t>
                  </w:r>
                </w:p>
              </w:tc>
              <w:tc>
                <w:tcPr>
                  <w:tcW w:w="653" w:type="pct"/>
                  <w:tcBorders>
                    <w:tl2br w:val="nil"/>
                    <w:tr2bl w:val="nil"/>
                  </w:tcBorders>
                  <w:vAlign w:val="center"/>
                </w:tcPr>
                <w:p w14:paraId="4D6B56A0">
                  <w:pPr>
                    <w:adjustRightInd w:val="0"/>
                    <w:snapToGrid w:val="0"/>
                    <w:jc w:val="center"/>
                    <w:rPr>
                      <w:color w:val="FF0000"/>
                      <w:sz w:val="18"/>
                      <w:szCs w:val="18"/>
                      <w:highlight w:val="yellow"/>
                      <w:u w:val="none"/>
                    </w:rPr>
                  </w:pPr>
                </w:p>
              </w:tc>
            </w:tr>
            <w:tr w14:paraId="721B6C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4AFB4F9">
                  <w:pPr>
                    <w:adjustRightInd w:val="0"/>
                    <w:snapToGrid w:val="0"/>
                    <w:jc w:val="center"/>
                    <w:rPr>
                      <w:color w:val="FF0000"/>
                      <w:sz w:val="18"/>
                      <w:szCs w:val="18"/>
                      <w:u w:val="none"/>
                    </w:rPr>
                  </w:pPr>
                </w:p>
              </w:tc>
              <w:tc>
                <w:tcPr>
                  <w:tcW w:w="669" w:type="pct"/>
                  <w:vMerge w:val="continue"/>
                  <w:tcBorders>
                    <w:tl2br w:val="nil"/>
                    <w:tr2bl w:val="nil"/>
                  </w:tcBorders>
                  <w:vAlign w:val="center"/>
                </w:tcPr>
                <w:p w14:paraId="663B30CD">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1456D330">
                  <w:pPr>
                    <w:adjustRightInd w:val="0"/>
                    <w:snapToGrid w:val="0"/>
                    <w:jc w:val="center"/>
                    <w:rPr>
                      <w:color w:val="FF0000"/>
                      <w:sz w:val="18"/>
                      <w:szCs w:val="18"/>
                      <w:u w:val="none"/>
                    </w:rPr>
                  </w:pPr>
                </w:p>
              </w:tc>
              <w:tc>
                <w:tcPr>
                  <w:tcW w:w="1032" w:type="pct"/>
                  <w:tcBorders>
                    <w:tl2br w:val="nil"/>
                    <w:tr2bl w:val="nil"/>
                  </w:tcBorders>
                  <w:vAlign w:val="center"/>
                </w:tcPr>
                <w:p w14:paraId="07585B73">
                  <w:pPr>
                    <w:adjustRightInd w:val="0"/>
                    <w:snapToGrid w:val="0"/>
                    <w:jc w:val="center"/>
                    <w:rPr>
                      <w:color w:val="FF0000"/>
                      <w:sz w:val="18"/>
                      <w:szCs w:val="18"/>
                      <w:u w:val="none"/>
                    </w:rPr>
                  </w:pPr>
                  <w:bookmarkStart w:id="223" w:name="_Toc447295237"/>
                  <w:bookmarkStart w:id="224" w:name="_Toc440979522"/>
                  <w:bookmarkStart w:id="225" w:name="_Toc437599504"/>
                  <w:bookmarkStart w:id="226" w:name="_Toc323571486"/>
                  <w:bookmarkStart w:id="227" w:name="_Toc323571097"/>
                  <w:bookmarkStart w:id="228" w:name="_Toc441135238"/>
                  <w:r>
                    <w:rPr>
                      <w:rFonts w:hAnsi="宋体"/>
                      <w:color w:val="FF0000"/>
                      <w:sz w:val="18"/>
                      <w:szCs w:val="18"/>
                      <w:u w:val="none"/>
                    </w:rPr>
                    <w:t>变压器容量</w:t>
                  </w:r>
                  <w:bookmarkEnd w:id="223"/>
                  <w:bookmarkEnd w:id="224"/>
                  <w:bookmarkEnd w:id="225"/>
                  <w:bookmarkEnd w:id="226"/>
                  <w:bookmarkEnd w:id="227"/>
                  <w:bookmarkEnd w:id="228"/>
                </w:p>
              </w:tc>
              <w:tc>
                <w:tcPr>
                  <w:tcW w:w="643" w:type="pct"/>
                  <w:tcBorders>
                    <w:tl2br w:val="nil"/>
                    <w:tr2bl w:val="nil"/>
                  </w:tcBorders>
                  <w:vAlign w:val="center"/>
                </w:tcPr>
                <w:p w14:paraId="6C0821D3">
                  <w:pPr>
                    <w:adjustRightInd w:val="0"/>
                    <w:snapToGrid w:val="0"/>
                    <w:jc w:val="center"/>
                    <w:rPr>
                      <w:color w:val="FF0000"/>
                      <w:sz w:val="18"/>
                      <w:szCs w:val="18"/>
                      <w:u w:val="none"/>
                    </w:rPr>
                  </w:pPr>
                  <w:bookmarkStart w:id="229" w:name="_Toc323571098"/>
                  <w:bookmarkStart w:id="230" w:name="_Toc437599505"/>
                  <w:bookmarkStart w:id="231" w:name="_Toc441135239"/>
                  <w:bookmarkStart w:id="232" w:name="_Toc323571487"/>
                  <w:bookmarkStart w:id="233" w:name="_Toc447295238"/>
                  <w:bookmarkStart w:id="234" w:name="_Toc440979523"/>
                  <w:r>
                    <w:rPr>
                      <w:color w:val="FF0000"/>
                      <w:sz w:val="18"/>
                      <w:szCs w:val="18"/>
                      <w:u w:val="none"/>
                    </w:rPr>
                    <w:t>MVA</w:t>
                  </w:r>
                  <w:bookmarkEnd w:id="229"/>
                  <w:bookmarkEnd w:id="230"/>
                  <w:bookmarkEnd w:id="231"/>
                  <w:bookmarkEnd w:id="232"/>
                  <w:bookmarkEnd w:id="233"/>
                  <w:bookmarkEnd w:id="234"/>
                </w:p>
              </w:tc>
              <w:tc>
                <w:tcPr>
                  <w:tcW w:w="944" w:type="pct"/>
                  <w:tcBorders>
                    <w:tl2br w:val="nil"/>
                    <w:tr2bl w:val="nil"/>
                  </w:tcBorders>
                  <w:vAlign w:val="center"/>
                </w:tcPr>
                <w:p w14:paraId="0DB2F99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180</w:t>
                  </w:r>
                </w:p>
              </w:tc>
              <w:tc>
                <w:tcPr>
                  <w:tcW w:w="653" w:type="pct"/>
                  <w:tcBorders>
                    <w:tl2br w:val="nil"/>
                    <w:tr2bl w:val="nil"/>
                  </w:tcBorders>
                  <w:vAlign w:val="center"/>
                </w:tcPr>
                <w:p w14:paraId="0EAACFFD">
                  <w:pPr>
                    <w:adjustRightInd w:val="0"/>
                    <w:snapToGrid w:val="0"/>
                    <w:jc w:val="center"/>
                    <w:rPr>
                      <w:color w:val="FF0000"/>
                      <w:sz w:val="18"/>
                      <w:szCs w:val="18"/>
                      <w:highlight w:val="yellow"/>
                      <w:u w:val="none"/>
                    </w:rPr>
                  </w:pPr>
                </w:p>
              </w:tc>
            </w:tr>
            <w:tr w14:paraId="395798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F30B176">
                  <w:pPr>
                    <w:adjustRightInd w:val="0"/>
                    <w:snapToGrid w:val="0"/>
                    <w:jc w:val="center"/>
                    <w:rPr>
                      <w:color w:val="FF0000"/>
                      <w:sz w:val="18"/>
                      <w:szCs w:val="18"/>
                      <w:u w:val="none"/>
                    </w:rPr>
                  </w:pPr>
                </w:p>
              </w:tc>
              <w:tc>
                <w:tcPr>
                  <w:tcW w:w="669" w:type="pct"/>
                  <w:vMerge w:val="continue"/>
                  <w:tcBorders>
                    <w:tl2br w:val="nil"/>
                    <w:tr2bl w:val="nil"/>
                  </w:tcBorders>
                  <w:vAlign w:val="center"/>
                </w:tcPr>
                <w:p w14:paraId="1B383083">
                  <w:pPr>
                    <w:adjustRightInd w:val="0"/>
                    <w:snapToGrid w:val="0"/>
                    <w:jc w:val="center"/>
                    <w:rPr>
                      <w:color w:val="FF0000"/>
                      <w:sz w:val="18"/>
                      <w:szCs w:val="18"/>
                      <w:u w:val="none"/>
                    </w:rPr>
                  </w:pPr>
                </w:p>
              </w:tc>
              <w:tc>
                <w:tcPr>
                  <w:tcW w:w="472" w:type="pct"/>
                  <w:gridSpan w:val="2"/>
                  <w:vMerge w:val="restart"/>
                  <w:tcBorders>
                    <w:tl2br w:val="nil"/>
                    <w:tr2bl w:val="nil"/>
                  </w:tcBorders>
                  <w:vAlign w:val="center"/>
                </w:tcPr>
                <w:p w14:paraId="06DDA6A9">
                  <w:pPr>
                    <w:adjustRightInd w:val="0"/>
                    <w:snapToGrid w:val="0"/>
                    <w:jc w:val="center"/>
                    <w:rPr>
                      <w:color w:val="FF0000"/>
                      <w:sz w:val="18"/>
                      <w:szCs w:val="18"/>
                      <w:u w:val="none"/>
                    </w:rPr>
                  </w:pPr>
                  <w:bookmarkStart w:id="235" w:name="_Toc441135245"/>
                  <w:bookmarkStart w:id="236" w:name="_Toc440979529"/>
                  <w:bookmarkStart w:id="237" w:name="_Toc437599511"/>
                  <w:bookmarkStart w:id="238" w:name="_Toc447295244"/>
                  <w:r>
                    <w:rPr>
                      <w:rFonts w:hAnsi="宋体"/>
                      <w:color w:val="FF0000"/>
                      <w:sz w:val="18"/>
                      <w:szCs w:val="18"/>
                      <w:u w:val="none"/>
                    </w:rPr>
                    <w:t>出线回路及电压等级</w:t>
                  </w:r>
                  <w:bookmarkEnd w:id="235"/>
                  <w:bookmarkEnd w:id="236"/>
                  <w:bookmarkEnd w:id="237"/>
                  <w:bookmarkEnd w:id="238"/>
                </w:p>
              </w:tc>
              <w:tc>
                <w:tcPr>
                  <w:tcW w:w="1032" w:type="pct"/>
                  <w:tcBorders>
                    <w:tl2br w:val="nil"/>
                    <w:tr2bl w:val="nil"/>
                  </w:tcBorders>
                  <w:vAlign w:val="center"/>
                </w:tcPr>
                <w:p w14:paraId="5934FDBC">
                  <w:pPr>
                    <w:adjustRightInd w:val="0"/>
                    <w:snapToGrid w:val="0"/>
                    <w:jc w:val="center"/>
                    <w:rPr>
                      <w:color w:val="FF0000"/>
                      <w:sz w:val="18"/>
                      <w:szCs w:val="18"/>
                      <w:u w:val="none"/>
                    </w:rPr>
                  </w:pPr>
                  <w:bookmarkStart w:id="239" w:name="_Toc323571102"/>
                  <w:bookmarkStart w:id="240" w:name="_Toc323571491"/>
                  <w:r>
                    <w:rPr>
                      <w:rFonts w:hAnsi="宋体"/>
                      <w:color w:val="FF0000"/>
                      <w:sz w:val="18"/>
                      <w:szCs w:val="18"/>
                      <w:u w:val="none"/>
                    </w:rPr>
                    <w:t>出线回路数</w:t>
                  </w:r>
                  <w:bookmarkEnd w:id="239"/>
                  <w:bookmarkEnd w:id="240"/>
                </w:p>
              </w:tc>
              <w:tc>
                <w:tcPr>
                  <w:tcW w:w="643" w:type="pct"/>
                  <w:tcBorders>
                    <w:tl2br w:val="nil"/>
                    <w:tr2bl w:val="nil"/>
                  </w:tcBorders>
                  <w:vAlign w:val="center"/>
                </w:tcPr>
                <w:p w14:paraId="5150CE94">
                  <w:pPr>
                    <w:adjustRightInd w:val="0"/>
                    <w:snapToGrid w:val="0"/>
                    <w:jc w:val="center"/>
                    <w:rPr>
                      <w:color w:val="FF0000"/>
                      <w:sz w:val="18"/>
                      <w:szCs w:val="18"/>
                      <w:u w:val="none"/>
                    </w:rPr>
                  </w:pPr>
                  <w:bookmarkStart w:id="241" w:name="_Toc441135246"/>
                  <w:bookmarkStart w:id="242" w:name="_Toc440979530"/>
                  <w:bookmarkStart w:id="243" w:name="_Toc447295245"/>
                  <w:bookmarkStart w:id="244" w:name="_Toc437599512"/>
                  <w:r>
                    <w:rPr>
                      <w:rFonts w:hAnsi="宋体"/>
                      <w:color w:val="FF0000"/>
                      <w:sz w:val="18"/>
                      <w:szCs w:val="18"/>
                      <w:u w:val="none"/>
                    </w:rPr>
                    <w:t>回</w:t>
                  </w:r>
                  <w:bookmarkEnd w:id="241"/>
                  <w:bookmarkEnd w:id="242"/>
                  <w:bookmarkEnd w:id="243"/>
                  <w:bookmarkEnd w:id="244"/>
                </w:p>
              </w:tc>
              <w:tc>
                <w:tcPr>
                  <w:tcW w:w="944" w:type="pct"/>
                  <w:tcBorders>
                    <w:tl2br w:val="nil"/>
                    <w:tr2bl w:val="nil"/>
                  </w:tcBorders>
                  <w:vAlign w:val="center"/>
                </w:tcPr>
                <w:p w14:paraId="2EFADCCE">
                  <w:pPr>
                    <w:adjustRightInd w:val="0"/>
                    <w:snapToGrid w:val="0"/>
                    <w:jc w:val="center"/>
                    <w:rPr>
                      <w:color w:val="FF0000"/>
                      <w:sz w:val="18"/>
                      <w:szCs w:val="18"/>
                      <w:u w:val="none"/>
                    </w:rPr>
                  </w:pPr>
                  <w:r>
                    <w:rPr>
                      <w:rFonts w:hint="eastAsia"/>
                      <w:color w:val="FF0000"/>
                      <w:sz w:val="18"/>
                      <w:szCs w:val="18"/>
                      <w:u w:val="none"/>
                    </w:rPr>
                    <w:t>1</w:t>
                  </w:r>
                </w:p>
              </w:tc>
              <w:tc>
                <w:tcPr>
                  <w:tcW w:w="653" w:type="pct"/>
                  <w:tcBorders>
                    <w:tl2br w:val="nil"/>
                    <w:tr2bl w:val="nil"/>
                  </w:tcBorders>
                  <w:vAlign w:val="center"/>
                </w:tcPr>
                <w:p w14:paraId="05DF20B7">
                  <w:pPr>
                    <w:adjustRightInd w:val="0"/>
                    <w:snapToGrid w:val="0"/>
                    <w:jc w:val="center"/>
                    <w:rPr>
                      <w:color w:val="FF0000"/>
                      <w:sz w:val="18"/>
                      <w:szCs w:val="18"/>
                      <w:highlight w:val="yellow"/>
                      <w:u w:val="none"/>
                    </w:rPr>
                  </w:pPr>
                </w:p>
              </w:tc>
            </w:tr>
            <w:tr w14:paraId="5F913A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DCF1404">
                  <w:pPr>
                    <w:adjustRightInd w:val="0"/>
                    <w:snapToGrid w:val="0"/>
                    <w:jc w:val="center"/>
                    <w:rPr>
                      <w:color w:val="FF0000"/>
                      <w:sz w:val="18"/>
                      <w:szCs w:val="18"/>
                      <w:u w:val="none"/>
                    </w:rPr>
                  </w:pPr>
                </w:p>
              </w:tc>
              <w:tc>
                <w:tcPr>
                  <w:tcW w:w="669" w:type="pct"/>
                  <w:vMerge w:val="continue"/>
                  <w:tcBorders>
                    <w:tl2br w:val="nil"/>
                    <w:tr2bl w:val="nil"/>
                  </w:tcBorders>
                  <w:vAlign w:val="center"/>
                </w:tcPr>
                <w:p w14:paraId="1982FE10">
                  <w:pPr>
                    <w:adjustRightInd w:val="0"/>
                    <w:snapToGrid w:val="0"/>
                    <w:jc w:val="center"/>
                    <w:rPr>
                      <w:color w:val="FF0000"/>
                      <w:sz w:val="18"/>
                      <w:szCs w:val="18"/>
                      <w:u w:val="none"/>
                    </w:rPr>
                  </w:pPr>
                </w:p>
              </w:tc>
              <w:tc>
                <w:tcPr>
                  <w:tcW w:w="472" w:type="pct"/>
                  <w:gridSpan w:val="2"/>
                  <w:vMerge w:val="continue"/>
                  <w:tcBorders>
                    <w:tl2br w:val="nil"/>
                    <w:tr2bl w:val="nil"/>
                  </w:tcBorders>
                  <w:vAlign w:val="center"/>
                </w:tcPr>
                <w:p w14:paraId="54D689BC">
                  <w:pPr>
                    <w:adjustRightInd w:val="0"/>
                    <w:snapToGrid w:val="0"/>
                    <w:jc w:val="center"/>
                    <w:rPr>
                      <w:color w:val="FF0000"/>
                      <w:sz w:val="18"/>
                      <w:szCs w:val="18"/>
                      <w:u w:val="none"/>
                    </w:rPr>
                  </w:pPr>
                </w:p>
              </w:tc>
              <w:tc>
                <w:tcPr>
                  <w:tcW w:w="1032" w:type="pct"/>
                  <w:tcBorders>
                    <w:tl2br w:val="nil"/>
                    <w:tr2bl w:val="nil"/>
                  </w:tcBorders>
                  <w:vAlign w:val="center"/>
                </w:tcPr>
                <w:p w14:paraId="5E49C0E1">
                  <w:pPr>
                    <w:adjustRightInd w:val="0"/>
                    <w:snapToGrid w:val="0"/>
                    <w:jc w:val="center"/>
                    <w:rPr>
                      <w:color w:val="FF0000"/>
                      <w:sz w:val="18"/>
                      <w:szCs w:val="18"/>
                      <w:u w:val="none"/>
                    </w:rPr>
                  </w:pPr>
                  <w:bookmarkStart w:id="245" w:name="_Toc323571494"/>
                  <w:bookmarkStart w:id="246" w:name="_Toc323571105"/>
                  <w:r>
                    <w:rPr>
                      <w:rFonts w:hAnsi="宋体"/>
                      <w:color w:val="FF0000"/>
                      <w:sz w:val="18"/>
                      <w:szCs w:val="18"/>
                      <w:u w:val="none"/>
                    </w:rPr>
                    <w:t>电压等级</w:t>
                  </w:r>
                  <w:bookmarkEnd w:id="245"/>
                  <w:bookmarkEnd w:id="246"/>
                </w:p>
              </w:tc>
              <w:tc>
                <w:tcPr>
                  <w:tcW w:w="643" w:type="pct"/>
                  <w:tcBorders>
                    <w:tl2br w:val="nil"/>
                    <w:tr2bl w:val="nil"/>
                  </w:tcBorders>
                  <w:vAlign w:val="center"/>
                </w:tcPr>
                <w:p w14:paraId="4B641CF4">
                  <w:pPr>
                    <w:adjustRightInd w:val="0"/>
                    <w:snapToGrid w:val="0"/>
                    <w:jc w:val="center"/>
                    <w:rPr>
                      <w:color w:val="FF0000"/>
                      <w:sz w:val="18"/>
                      <w:szCs w:val="18"/>
                      <w:u w:val="none"/>
                    </w:rPr>
                  </w:pPr>
                  <w:bookmarkStart w:id="247" w:name="_Toc441135248"/>
                  <w:bookmarkStart w:id="248" w:name="_Toc437599514"/>
                  <w:bookmarkStart w:id="249" w:name="_Toc447295247"/>
                  <w:bookmarkStart w:id="250" w:name="_Toc440979532"/>
                  <w:r>
                    <w:rPr>
                      <w:color w:val="FF0000"/>
                      <w:sz w:val="18"/>
                      <w:szCs w:val="18"/>
                      <w:u w:val="none"/>
                    </w:rPr>
                    <w:t>kV</w:t>
                  </w:r>
                  <w:bookmarkEnd w:id="247"/>
                  <w:bookmarkEnd w:id="248"/>
                  <w:bookmarkEnd w:id="249"/>
                  <w:bookmarkEnd w:id="250"/>
                </w:p>
              </w:tc>
              <w:tc>
                <w:tcPr>
                  <w:tcW w:w="944" w:type="pct"/>
                  <w:tcBorders>
                    <w:tl2br w:val="nil"/>
                    <w:tr2bl w:val="nil"/>
                  </w:tcBorders>
                  <w:vAlign w:val="center"/>
                </w:tcPr>
                <w:p w14:paraId="24B5D7D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220</w:t>
                  </w:r>
                </w:p>
              </w:tc>
              <w:tc>
                <w:tcPr>
                  <w:tcW w:w="653" w:type="pct"/>
                  <w:tcBorders>
                    <w:tl2br w:val="nil"/>
                    <w:tr2bl w:val="nil"/>
                  </w:tcBorders>
                  <w:vAlign w:val="center"/>
                </w:tcPr>
                <w:p w14:paraId="13248829">
                  <w:pPr>
                    <w:adjustRightInd w:val="0"/>
                    <w:snapToGrid w:val="0"/>
                    <w:jc w:val="center"/>
                    <w:rPr>
                      <w:color w:val="FF0000"/>
                      <w:sz w:val="18"/>
                      <w:szCs w:val="18"/>
                      <w:highlight w:val="yellow"/>
                      <w:u w:val="none"/>
                    </w:rPr>
                  </w:pPr>
                </w:p>
              </w:tc>
            </w:tr>
            <w:tr w14:paraId="2CFB27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5CD3278E">
                  <w:pPr>
                    <w:adjustRightInd w:val="0"/>
                    <w:snapToGrid w:val="0"/>
                    <w:jc w:val="center"/>
                    <w:rPr>
                      <w:color w:val="FF0000"/>
                      <w:sz w:val="18"/>
                      <w:szCs w:val="18"/>
                      <w:u w:val="none"/>
                    </w:rPr>
                  </w:pPr>
                  <w:r>
                    <w:rPr>
                      <w:rFonts w:hAnsi="宋体"/>
                      <w:color w:val="FF0000"/>
                      <w:sz w:val="18"/>
                      <w:szCs w:val="18"/>
                      <w:u w:val="none"/>
                    </w:rPr>
                    <w:t>土建</w:t>
                  </w:r>
                </w:p>
              </w:tc>
              <w:tc>
                <w:tcPr>
                  <w:tcW w:w="1142" w:type="pct"/>
                  <w:gridSpan w:val="3"/>
                  <w:vMerge w:val="restart"/>
                  <w:tcBorders>
                    <w:tl2br w:val="nil"/>
                    <w:tr2bl w:val="nil"/>
                  </w:tcBorders>
                  <w:vAlign w:val="center"/>
                </w:tcPr>
                <w:p w14:paraId="6A1194B4">
                  <w:pPr>
                    <w:adjustRightInd w:val="0"/>
                    <w:snapToGrid w:val="0"/>
                    <w:jc w:val="center"/>
                    <w:rPr>
                      <w:color w:val="FF0000"/>
                      <w:sz w:val="18"/>
                      <w:szCs w:val="18"/>
                      <w:u w:val="none"/>
                    </w:rPr>
                  </w:pPr>
                  <w:bookmarkStart w:id="251" w:name="_Toc437599516"/>
                  <w:bookmarkStart w:id="252" w:name="_Toc440979534"/>
                  <w:bookmarkStart w:id="253" w:name="_Toc441135250"/>
                  <w:bookmarkStart w:id="254" w:name="_Toc447295249"/>
                  <w:bookmarkStart w:id="255" w:name="_Toc421721219"/>
                  <w:r>
                    <w:rPr>
                      <w:rFonts w:hAnsi="宋体"/>
                      <w:color w:val="FF0000"/>
                      <w:sz w:val="18"/>
                      <w:szCs w:val="18"/>
                      <w:u w:val="none"/>
                    </w:rPr>
                    <w:t>风机基础</w:t>
                  </w:r>
                  <w:bookmarkEnd w:id="251"/>
                  <w:bookmarkEnd w:id="252"/>
                  <w:bookmarkEnd w:id="253"/>
                  <w:bookmarkEnd w:id="254"/>
                  <w:bookmarkEnd w:id="255"/>
                </w:p>
              </w:tc>
              <w:tc>
                <w:tcPr>
                  <w:tcW w:w="1032" w:type="pct"/>
                  <w:tcBorders>
                    <w:tl2br w:val="nil"/>
                    <w:tr2bl w:val="nil"/>
                  </w:tcBorders>
                  <w:vAlign w:val="center"/>
                </w:tcPr>
                <w:p w14:paraId="44D69FB0">
                  <w:pPr>
                    <w:adjustRightInd w:val="0"/>
                    <w:snapToGrid w:val="0"/>
                    <w:jc w:val="center"/>
                    <w:rPr>
                      <w:color w:val="FF0000"/>
                      <w:sz w:val="18"/>
                      <w:szCs w:val="18"/>
                      <w:u w:val="none"/>
                    </w:rPr>
                  </w:pPr>
                  <w:r>
                    <w:rPr>
                      <w:rFonts w:hAnsi="宋体"/>
                      <w:color w:val="FF0000"/>
                      <w:sz w:val="18"/>
                      <w:szCs w:val="18"/>
                      <w:u w:val="none"/>
                    </w:rPr>
                    <w:t>台数</w:t>
                  </w:r>
                </w:p>
              </w:tc>
              <w:tc>
                <w:tcPr>
                  <w:tcW w:w="643" w:type="pct"/>
                  <w:tcBorders>
                    <w:tl2br w:val="nil"/>
                    <w:tr2bl w:val="nil"/>
                  </w:tcBorders>
                  <w:vAlign w:val="center"/>
                </w:tcPr>
                <w:p w14:paraId="5AEF7FBF">
                  <w:pPr>
                    <w:adjustRightInd w:val="0"/>
                    <w:snapToGrid w:val="0"/>
                    <w:jc w:val="center"/>
                    <w:rPr>
                      <w:color w:val="FF0000"/>
                      <w:sz w:val="18"/>
                      <w:szCs w:val="18"/>
                      <w:u w:val="none"/>
                    </w:rPr>
                  </w:pPr>
                  <w:bookmarkStart w:id="256" w:name="_Toc447295250"/>
                  <w:bookmarkStart w:id="257" w:name="_Toc437599517"/>
                  <w:bookmarkStart w:id="258" w:name="_Toc441135251"/>
                  <w:bookmarkStart w:id="259" w:name="_Toc421721220"/>
                  <w:bookmarkStart w:id="260" w:name="_Toc440979535"/>
                  <w:r>
                    <w:rPr>
                      <w:rFonts w:hAnsi="宋体"/>
                      <w:color w:val="FF0000"/>
                      <w:sz w:val="18"/>
                      <w:szCs w:val="18"/>
                      <w:u w:val="none"/>
                    </w:rPr>
                    <w:t>座</w:t>
                  </w:r>
                  <w:bookmarkEnd w:id="256"/>
                  <w:bookmarkEnd w:id="257"/>
                  <w:bookmarkEnd w:id="258"/>
                  <w:bookmarkEnd w:id="259"/>
                  <w:bookmarkEnd w:id="260"/>
                </w:p>
              </w:tc>
              <w:tc>
                <w:tcPr>
                  <w:tcW w:w="944" w:type="pct"/>
                  <w:tcBorders>
                    <w:tl2br w:val="nil"/>
                    <w:tr2bl w:val="nil"/>
                  </w:tcBorders>
                  <w:vAlign w:val="center"/>
                </w:tcPr>
                <w:p w14:paraId="408DF0D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16</w:t>
                  </w:r>
                </w:p>
              </w:tc>
              <w:tc>
                <w:tcPr>
                  <w:tcW w:w="653" w:type="pct"/>
                  <w:tcBorders>
                    <w:tl2br w:val="nil"/>
                    <w:tr2bl w:val="nil"/>
                  </w:tcBorders>
                  <w:vAlign w:val="center"/>
                </w:tcPr>
                <w:p w14:paraId="05603F9D">
                  <w:pPr>
                    <w:adjustRightInd w:val="0"/>
                    <w:snapToGrid w:val="0"/>
                    <w:jc w:val="center"/>
                    <w:rPr>
                      <w:color w:val="FF0000"/>
                      <w:sz w:val="18"/>
                      <w:szCs w:val="18"/>
                      <w:highlight w:val="yellow"/>
                      <w:u w:val="none"/>
                    </w:rPr>
                  </w:pPr>
                </w:p>
              </w:tc>
            </w:tr>
            <w:tr w14:paraId="51FAE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5ADDBC4">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36A96694">
                  <w:pPr>
                    <w:adjustRightInd w:val="0"/>
                    <w:snapToGrid w:val="0"/>
                    <w:jc w:val="center"/>
                    <w:rPr>
                      <w:color w:val="FF0000"/>
                      <w:sz w:val="18"/>
                      <w:szCs w:val="18"/>
                      <w:u w:val="none"/>
                    </w:rPr>
                  </w:pPr>
                </w:p>
              </w:tc>
              <w:tc>
                <w:tcPr>
                  <w:tcW w:w="1032" w:type="pct"/>
                  <w:tcBorders>
                    <w:tl2br w:val="nil"/>
                    <w:tr2bl w:val="nil"/>
                  </w:tcBorders>
                  <w:vAlign w:val="center"/>
                </w:tcPr>
                <w:p w14:paraId="0CE901EA">
                  <w:pPr>
                    <w:adjustRightInd w:val="0"/>
                    <w:snapToGrid w:val="0"/>
                    <w:jc w:val="center"/>
                    <w:rPr>
                      <w:color w:val="FF0000"/>
                      <w:sz w:val="18"/>
                      <w:szCs w:val="18"/>
                      <w:u w:val="none"/>
                    </w:rPr>
                  </w:pPr>
                  <w:r>
                    <w:rPr>
                      <w:rFonts w:hAnsi="宋体"/>
                      <w:color w:val="FF0000"/>
                      <w:sz w:val="18"/>
                      <w:szCs w:val="18"/>
                      <w:u w:val="none"/>
                    </w:rPr>
                    <w:t>型式</w:t>
                  </w:r>
                </w:p>
              </w:tc>
              <w:tc>
                <w:tcPr>
                  <w:tcW w:w="643" w:type="pct"/>
                  <w:tcBorders>
                    <w:tl2br w:val="nil"/>
                    <w:tr2bl w:val="nil"/>
                  </w:tcBorders>
                  <w:vAlign w:val="center"/>
                </w:tcPr>
                <w:p w14:paraId="7EFC4C9A">
                  <w:pPr>
                    <w:adjustRightInd w:val="0"/>
                    <w:snapToGrid w:val="0"/>
                    <w:jc w:val="center"/>
                    <w:rPr>
                      <w:color w:val="FF0000"/>
                      <w:sz w:val="18"/>
                      <w:szCs w:val="18"/>
                      <w:u w:val="none"/>
                    </w:rPr>
                  </w:pPr>
                  <w:r>
                    <w:rPr>
                      <w:rFonts w:hint="eastAsia"/>
                      <w:color w:val="FF0000"/>
                      <w:sz w:val="18"/>
                      <w:szCs w:val="18"/>
                      <w:u w:val="none"/>
                    </w:rPr>
                    <w:t>/</w:t>
                  </w:r>
                </w:p>
              </w:tc>
              <w:tc>
                <w:tcPr>
                  <w:tcW w:w="944" w:type="pct"/>
                  <w:tcBorders>
                    <w:tl2br w:val="nil"/>
                    <w:tr2bl w:val="nil"/>
                  </w:tcBorders>
                  <w:vAlign w:val="center"/>
                </w:tcPr>
                <w:p w14:paraId="37929CC4">
                  <w:pPr>
                    <w:adjustRightInd w:val="0"/>
                    <w:snapToGrid w:val="0"/>
                    <w:jc w:val="center"/>
                    <w:rPr>
                      <w:color w:val="FF0000"/>
                      <w:sz w:val="18"/>
                      <w:szCs w:val="18"/>
                      <w:u w:val="none"/>
                    </w:rPr>
                  </w:pPr>
                  <w:r>
                    <w:rPr>
                      <w:rFonts w:hint="eastAsia"/>
                      <w:color w:val="FF0000"/>
                      <w:sz w:val="18"/>
                      <w:szCs w:val="18"/>
                      <w:u w:val="none"/>
                    </w:rPr>
                    <w:t>预应力锚栓式圆形重力式扩展基础</w:t>
                  </w:r>
                </w:p>
              </w:tc>
              <w:tc>
                <w:tcPr>
                  <w:tcW w:w="653" w:type="pct"/>
                  <w:tcBorders>
                    <w:tl2br w:val="nil"/>
                    <w:tr2bl w:val="nil"/>
                  </w:tcBorders>
                  <w:vAlign w:val="center"/>
                </w:tcPr>
                <w:p w14:paraId="04A09F6C">
                  <w:pPr>
                    <w:adjustRightInd w:val="0"/>
                    <w:snapToGrid w:val="0"/>
                    <w:jc w:val="center"/>
                    <w:rPr>
                      <w:color w:val="FF0000"/>
                      <w:sz w:val="18"/>
                      <w:szCs w:val="18"/>
                      <w:highlight w:val="yellow"/>
                      <w:u w:val="none"/>
                    </w:rPr>
                  </w:pPr>
                </w:p>
              </w:tc>
            </w:tr>
            <w:tr w14:paraId="28E37D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43A361D">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19143B4C">
                  <w:pPr>
                    <w:adjustRightInd w:val="0"/>
                    <w:snapToGrid w:val="0"/>
                    <w:jc w:val="center"/>
                    <w:rPr>
                      <w:color w:val="FF0000"/>
                      <w:sz w:val="18"/>
                      <w:szCs w:val="18"/>
                      <w:u w:val="none"/>
                    </w:rPr>
                  </w:pPr>
                </w:p>
              </w:tc>
              <w:tc>
                <w:tcPr>
                  <w:tcW w:w="1032" w:type="pct"/>
                  <w:tcBorders>
                    <w:tl2br w:val="nil"/>
                    <w:tr2bl w:val="nil"/>
                  </w:tcBorders>
                  <w:vAlign w:val="center"/>
                </w:tcPr>
                <w:p w14:paraId="145F0D43">
                  <w:pPr>
                    <w:adjustRightInd w:val="0"/>
                    <w:snapToGrid w:val="0"/>
                    <w:jc w:val="center"/>
                    <w:rPr>
                      <w:color w:val="FF0000"/>
                      <w:sz w:val="18"/>
                      <w:szCs w:val="18"/>
                      <w:u w:val="none"/>
                    </w:rPr>
                  </w:pPr>
                  <w:bookmarkStart w:id="261" w:name="_Toc437599520"/>
                  <w:bookmarkStart w:id="262" w:name="_Toc421721223"/>
                  <w:bookmarkStart w:id="263" w:name="_Toc447295253"/>
                  <w:bookmarkStart w:id="264" w:name="_Toc441135254"/>
                  <w:bookmarkStart w:id="265" w:name="_Toc440979538"/>
                  <w:r>
                    <w:rPr>
                      <w:rFonts w:hAnsi="宋体"/>
                      <w:color w:val="FF0000"/>
                      <w:sz w:val="18"/>
                      <w:szCs w:val="18"/>
                      <w:u w:val="none"/>
                    </w:rPr>
                    <w:t>地基特性</w:t>
                  </w:r>
                  <w:bookmarkEnd w:id="261"/>
                  <w:bookmarkEnd w:id="262"/>
                  <w:bookmarkEnd w:id="263"/>
                  <w:bookmarkEnd w:id="264"/>
                  <w:bookmarkEnd w:id="265"/>
                </w:p>
              </w:tc>
              <w:tc>
                <w:tcPr>
                  <w:tcW w:w="643" w:type="pct"/>
                  <w:tcBorders>
                    <w:tl2br w:val="nil"/>
                    <w:tr2bl w:val="nil"/>
                  </w:tcBorders>
                  <w:vAlign w:val="center"/>
                </w:tcPr>
                <w:p w14:paraId="240527C4">
                  <w:pPr>
                    <w:adjustRightInd w:val="0"/>
                    <w:snapToGrid w:val="0"/>
                    <w:jc w:val="center"/>
                    <w:rPr>
                      <w:color w:val="FF0000"/>
                      <w:sz w:val="18"/>
                      <w:szCs w:val="18"/>
                      <w:u w:val="none"/>
                    </w:rPr>
                  </w:pPr>
                  <w:r>
                    <w:rPr>
                      <w:rFonts w:hint="eastAsia"/>
                      <w:color w:val="FF0000"/>
                      <w:sz w:val="18"/>
                      <w:szCs w:val="18"/>
                      <w:u w:val="none"/>
                    </w:rPr>
                    <w:t>/</w:t>
                  </w:r>
                </w:p>
              </w:tc>
              <w:tc>
                <w:tcPr>
                  <w:tcW w:w="944" w:type="pct"/>
                  <w:tcBorders>
                    <w:tl2br w:val="nil"/>
                    <w:tr2bl w:val="nil"/>
                  </w:tcBorders>
                  <w:vAlign w:val="center"/>
                </w:tcPr>
                <w:p w14:paraId="728736BD">
                  <w:pPr>
                    <w:adjustRightInd w:val="0"/>
                    <w:snapToGrid w:val="0"/>
                    <w:jc w:val="center"/>
                    <w:rPr>
                      <w:color w:val="FF0000"/>
                      <w:sz w:val="18"/>
                      <w:szCs w:val="18"/>
                      <w:u w:val="none"/>
                    </w:rPr>
                  </w:pPr>
                  <w:r>
                    <w:rPr>
                      <w:rFonts w:hint="eastAsia"/>
                      <w:color w:val="FF0000"/>
                      <w:sz w:val="18"/>
                      <w:szCs w:val="18"/>
                      <w:u w:val="none"/>
                    </w:rPr>
                    <w:t>粉质粘土</w:t>
                  </w:r>
                </w:p>
              </w:tc>
              <w:tc>
                <w:tcPr>
                  <w:tcW w:w="653" w:type="pct"/>
                  <w:tcBorders>
                    <w:tl2br w:val="nil"/>
                    <w:tr2bl w:val="nil"/>
                  </w:tcBorders>
                  <w:vAlign w:val="center"/>
                </w:tcPr>
                <w:p w14:paraId="49655DC3">
                  <w:pPr>
                    <w:adjustRightInd w:val="0"/>
                    <w:snapToGrid w:val="0"/>
                    <w:jc w:val="center"/>
                    <w:rPr>
                      <w:color w:val="FF0000"/>
                      <w:sz w:val="18"/>
                      <w:szCs w:val="18"/>
                      <w:highlight w:val="yellow"/>
                      <w:u w:val="none"/>
                    </w:rPr>
                  </w:pPr>
                </w:p>
              </w:tc>
            </w:tr>
            <w:tr w14:paraId="2F23AF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BFE0340">
                  <w:pPr>
                    <w:adjustRightInd w:val="0"/>
                    <w:snapToGrid w:val="0"/>
                    <w:jc w:val="center"/>
                    <w:rPr>
                      <w:color w:val="FF0000"/>
                      <w:sz w:val="18"/>
                      <w:szCs w:val="18"/>
                      <w:u w:val="none"/>
                    </w:rPr>
                  </w:pPr>
                </w:p>
              </w:tc>
              <w:tc>
                <w:tcPr>
                  <w:tcW w:w="1142" w:type="pct"/>
                  <w:gridSpan w:val="3"/>
                  <w:vMerge w:val="restart"/>
                  <w:tcBorders>
                    <w:tl2br w:val="nil"/>
                    <w:tr2bl w:val="nil"/>
                  </w:tcBorders>
                  <w:vAlign w:val="center"/>
                </w:tcPr>
                <w:p w14:paraId="257BBF6E">
                  <w:pPr>
                    <w:adjustRightInd w:val="0"/>
                    <w:snapToGrid w:val="0"/>
                    <w:jc w:val="center"/>
                    <w:rPr>
                      <w:color w:val="FF0000"/>
                      <w:sz w:val="18"/>
                      <w:szCs w:val="18"/>
                      <w:u w:val="none"/>
                    </w:rPr>
                  </w:pPr>
                  <w:bookmarkStart w:id="266" w:name="_Toc441135256"/>
                  <w:bookmarkStart w:id="267" w:name="_Toc440979540"/>
                  <w:bookmarkStart w:id="268" w:name="_Toc421721225"/>
                  <w:bookmarkStart w:id="269" w:name="_Toc437599522"/>
                  <w:bookmarkStart w:id="270" w:name="_Toc447295255"/>
                  <w:r>
                    <w:rPr>
                      <w:rFonts w:hAnsi="宋体"/>
                      <w:color w:val="FF0000"/>
                      <w:sz w:val="18"/>
                      <w:szCs w:val="18"/>
                      <w:u w:val="none"/>
                    </w:rPr>
                    <w:t>箱变基础</w:t>
                  </w:r>
                  <w:bookmarkEnd w:id="266"/>
                  <w:bookmarkEnd w:id="267"/>
                  <w:bookmarkEnd w:id="268"/>
                  <w:bookmarkEnd w:id="269"/>
                  <w:bookmarkEnd w:id="270"/>
                </w:p>
              </w:tc>
              <w:tc>
                <w:tcPr>
                  <w:tcW w:w="1032" w:type="pct"/>
                  <w:tcBorders>
                    <w:tl2br w:val="nil"/>
                    <w:tr2bl w:val="nil"/>
                  </w:tcBorders>
                  <w:vAlign w:val="center"/>
                </w:tcPr>
                <w:p w14:paraId="429D9B87">
                  <w:pPr>
                    <w:adjustRightInd w:val="0"/>
                    <w:snapToGrid w:val="0"/>
                    <w:jc w:val="center"/>
                    <w:rPr>
                      <w:color w:val="FF0000"/>
                      <w:sz w:val="18"/>
                      <w:szCs w:val="18"/>
                      <w:u w:val="none"/>
                    </w:rPr>
                  </w:pPr>
                  <w:bookmarkStart w:id="271" w:name="_Toc441135257"/>
                  <w:bookmarkStart w:id="272" w:name="_Toc447295256"/>
                  <w:bookmarkStart w:id="273" w:name="_Toc421721226"/>
                  <w:bookmarkStart w:id="274" w:name="_Toc440979541"/>
                  <w:bookmarkStart w:id="275" w:name="_Toc437599523"/>
                  <w:r>
                    <w:rPr>
                      <w:rFonts w:hAnsi="宋体"/>
                      <w:color w:val="FF0000"/>
                      <w:sz w:val="18"/>
                      <w:szCs w:val="18"/>
                      <w:u w:val="none"/>
                    </w:rPr>
                    <w:t>台数</w:t>
                  </w:r>
                  <w:bookmarkEnd w:id="271"/>
                  <w:bookmarkEnd w:id="272"/>
                  <w:bookmarkEnd w:id="273"/>
                  <w:bookmarkEnd w:id="274"/>
                  <w:bookmarkEnd w:id="275"/>
                </w:p>
              </w:tc>
              <w:tc>
                <w:tcPr>
                  <w:tcW w:w="643" w:type="pct"/>
                  <w:tcBorders>
                    <w:tl2br w:val="nil"/>
                    <w:tr2bl w:val="nil"/>
                  </w:tcBorders>
                  <w:vAlign w:val="center"/>
                </w:tcPr>
                <w:p w14:paraId="3553878F">
                  <w:pPr>
                    <w:adjustRightInd w:val="0"/>
                    <w:snapToGrid w:val="0"/>
                    <w:jc w:val="center"/>
                    <w:rPr>
                      <w:color w:val="FF0000"/>
                      <w:sz w:val="18"/>
                      <w:szCs w:val="18"/>
                      <w:u w:val="none"/>
                    </w:rPr>
                  </w:pPr>
                  <w:bookmarkStart w:id="276" w:name="_Toc421721227"/>
                  <w:bookmarkStart w:id="277" w:name="_Toc437599524"/>
                  <w:bookmarkStart w:id="278" w:name="_Toc440979542"/>
                  <w:bookmarkStart w:id="279" w:name="_Toc441135258"/>
                  <w:bookmarkStart w:id="280" w:name="_Toc447295257"/>
                  <w:r>
                    <w:rPr>
                      <w:rFonts w:hAnsi="宋体"/>
                      <w:color w:val="FF0000"/>
                      <w:sz w:val="18"/>
                      <w:szCs w:val="18"/>
                      <w:u w:val="none"/>
                    </w:rPr>
                    <w:t>台</w:t>
                  </w:r>
                  <w:bookmarkEnd w:id="276"/>
                  <w:bookmarkEnd w:id="277"/>
                  <w:bookmarkEnd w:id="278"/>
                  <w:bookmarkEnd w:id="279"/>
                  <w:bookmarkEnd w:id="280"/>
                </w:p>
              </w:tc>
              <w:tc>
                <w:tcPr>
                  <w:tcW w:w="944" w:type="pct"/>
                  <w:tcBorders>
                    <w:tl2br w:val="nil"/>
                    <w:tr2bl w:val="nil"/>
                  </w:tcBorders>
                  <w:vAlign w:val="center"/>
                </w:tcPr>
                <w:p w14:paraId="612D4518">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16</w:t>
                  </w:r>
                </w:p>
              </w:tc>
              <w:tc>
                <w:tcPr>
                  <w:tcW w:w="653" w:type="pct"/>
                  <w:tcBorders>
                    <w:tl2br w:val="nil"/>
                    <w:tr2bl w:val="nil"/>
                  </w:tcBorders>
                  <w:vAlign w:val="center"/>
                </w:tcPr>
                <w:p w14:paraId="513C6E90">
                  <w:pPr>
                    <w:adjustRightInd w:val="0"/>
                    <w:snapToGrid w:val="0"/>
                    <w:jc w:val="center"/>
                    <w:rPr>
                      <w:color w:val="FF0000"/>
                      <w:sz w:val="18"/>
                      <w:szCs w:val="18"/>
                      <w:highlight w:val="yellow"/>
                      <w:u w:val="none"/>
                    </w:rPr>
                  </w:pPr>
                </w:p>
              </w:tc>
            </w:tr>
            <w:tr w14:paraId="4903FC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E1E1862">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081616F6">
                  <w:pPr>
                    <w:adjustRightInd w:val="0"/>
                    <w:snapToGrid w:val="0"/>
                    <w:jc w:val="center"/>
                    <w:rPr>
                      <w:color w:val="FF0000"/>
                      <w:sz w:val="18"/>
                      <w:szCs w:val="18"/>
                      <w:u w:val="none"/>
                    </w:rPr>
                  </w:pPr>
                </w:p>
              </w:tc>
              <w:tc>
                <w:tcPr>
                  <w:tcW w:w="1032" w:type="pct"/>
                  <w:tcBorders>
                    <w:tl2br w:val="nil"/>
                    <w:tr2bl w:val="nil"/>
                  </w:tcBorders>
                  <w:vAlign w:val="center"/>
                </w:tcPr>
                <w:p w14:paraId="4CC199EE">
                  <w:pPr>
                    <w:adjustRightInd w:val="0"/>
                    <w:snapToGrid w:val="0"/>
                    <w:jc w:val="center"/>
                    <w:rPr>
                      <w:color w:val="FF0000"/>
                      <w:sz w:val="18"/>
                      <w:szCs w:val="18"/>
                      <w:u w:val="none"/>
                    </w:rPr>
                  </w:pPr>
                  <w:bookmarkStart w:id="281" w:name="_Toc421721229"/>
                  <w:bookmarkStart w:id="282" w:name="_Toc440979544"/>
                  <w:bookmarkStart w:id="283" w:name="_Toc437599526"/>
                  <w:bookmarkStart w:id="284" w:name="_Toc447295259"/>
                  <w:bookmarkStart w:id="285" w:name="_Toc441135260"/>
                  <w:r>
                    <w:rPr>
                      <w:rFonts w:hAnsi="宋体"/>
                      <w:color w:val="FF0000"/>
                      <w:sz w:val="18"/>
                      <w:szCs w:val="18"/>
                      <w:u w:val="none"/>
                    </w:rPr>
                    <w:t>型式</w:t>
                  </w:r>
                  <w:bookmarkEnd w:id="281"/>
                  <w:bookmarkEnd w:id="282"/>
                  <w:bookmarkEnd w:id="283"/>
                  <w:bookmarkEnd w:id="284"/>
                  <w:bookmarkEnd w:id="285"/>
                </w:p>
              </w:tc>
              <w:tc>
                <w:tcPr>
                  <w:tcW w:w="643" w:type="pct"/>
                  <w:tcBorders>
                    <w:tl2br w:val="nil"/>
                    <w:tr2bl w:val="nil"/>
                  </w:tcBorders>
                  <w:vAlign w:val="center"/>
                </w:tcPr>
                <w:p w14:paraId="1EAA2BE7">
                  <w:pPr>
                    <w:adjustRightInd w:val="0"/>
                    <w:snapToGrid w:val="0"/>
                    <w:jc w:val="center"/>
                    <w:rPr>
                      <w:color w:val="FF0000"/>
                      <w:sz w:val="18"/>
                      <w:szCs w:val="18"/>
                      <w:u w:val="none"/>
                    </w:rPr>
                  </w:pPr>
                  <w:r>
                    <w:rPr>
                      <w:rFonts w:hint="eastAsia"/>
                      <w:color w:val="FF0000"/>
                      <w:sz w:val="18"/>
                      <w:szCs w:val="18"/>
                      <w:u w:val="none"/>
                    </w:rPr>
                    <w:t>/</w:t>
                  </w:r>
                </w:p>
              </w:tc>
              <w:tc>
                <w:tcPr>
                  <w:tcW w:w="944" w:type="pct"/>
                  <w:tcBorders>
                    <w:tl2br w:val="nil"/>
                    <w:tr2bl w:val="nil"/>
                  </w:tcBorders>
                  <w:vAlign w:val="center"/>
                </w:tcPr>
                <w:p w14:paraId="5D26C1CC">
                  <w:pPr>
                    <w:adjustRightInd w:val="0"/>
                    <w:snapToGrid w:val="0"/>
                    <w:jc w:val="center"/>
                    <w:rPr>
                      <w:color w:val="FF0000"/>
                      <w:sz w:val="18"/>
                      <w:szCs w:val="18"/>
                      <w:u w:val="none"/>
                    </w:rPr>
                  </w:pPr>
                  <w:r>
                    <w:rPr>
                      <w:rFonts w:hint="eastAsia"/>
                      <w:color w:val="FF0000"/>
                      <w:sz w:val="18"/>
                      <w:szCs w:val="18"/>
                      <w:u w:val="none"/>
                    </w:rPr>
                    <w:t>砖砌箱型基础</w:t>
                  </w:r>
                </w:p>
              </w:tc>
              <w:tc>
                <w:tcPr>
                  <w:tcW w:w="653" w:type="pct"/>
                  <w:tcBorders>
                    <w:tl2br w:val="nil"/>
                    <w:tr2bl w:val="nil"/>
                  </w:tcBorders>
                  <w:vAlign w:val="center"/>
                </w:tcPr>
                <w:p w14:paraId="1FA1F2EE">
                  <w:pPr>
                    <w:adjustRightInd w:val="0"/>
                    <w:snapToGrid w:val="0"/>
                    <w:jc w:val="center"/>
                    <w:rPr>
                      <w:color w:val="FF0000"/>
                      <w:sz w:val="18"/>
                      <w:szCs w:val="18"/>
                      <w:highlight w:val="yellow"/>
                      <w:u w:val="none"/>
                    </w:rPr>
                  </w:pPr>
                </w:p>
              </w:tc>
            </w:tr>
            <w:tr w14:paraId="5AF351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007329D">
                  <w:pPr>
                    <w:adjustRightInd w:val="0"/>
                    <w:snapToGrid w:val="0"/>
                    <w:jc w:val="center"/>
                    <w:rPr>
                      <w:color w:val="FF0000"/>
                      <w:sz w:val="18"/>
                      <w:szCs w:val="18"/>
                      <w:u w:val="none"/>
                    </w:rPr>
                  </w:pPr>
                </w:p>
              </w:tc>
              <w:tc>
                <w:tcPr>
                  <w:tcW w:w="1142" w:type="pct"/>
                  <w:gridSpan w:val="3"/>
                  <w:vMerge w:val="restart"/>
                  <w:tcBorders>
                    <w:tl2br w:val="nil"/>
                    <w:tr2bl w:val="nil"/>
                  </w:tcBorders>
                  <w:vAlign w:val="center"/>
                </w:tcPr>
                <w:p w14:paraId="13BCF2B9">
                  <w:pPr>
                    <w:adjustRightInd w:val="0"/>
                    <w:snapToGrid w:val="0"/>
                    <w:jc w:val="center"/>
                    <w:rPr>
                      <w:color w:val="FF0000"/>
                      <w:sz w:val="18"/>
                      <w:szCs w:val="18"/>
                      <w:u w:val="none"/>
                    </w:rPr>
                  </w:pPr>
                  <w:r>
                    <w:rPr>
                      <w:rFonts w:hint="eastAsia"/>
                      <w:color w:val="FF0000"/>
                      <w:sz w:val="18"/>
                      <w:szCs w:val="18"/>
                      <w:u w:val="none"/>
                    </w:rPr>
                    <w:t>工程数量</w:t>
                  </w:r>
                </w:p>
              </w:tc>
              <w:tc>
                <w:tcPr>
                  <w:tcW w:w="1032" w:type="pct"/>
                  <w:tcBorders>
                    <w:tl2br w:val="nil"/>
                    <w:tr2bl w:val="nil"/>
                  </w:tcBorders>
                  <w:vAlign w:val="center"/>
                </w:tcPr>
                <w:p w14:paraId="6A41EFF3">
                  <w:pPr>
                    <w:adjustRightInd w:val="0"/>
                    <w:snapToGrid w:val="0"/>
                    <w:jc w:val="center"/>
                    <w:rPr>
                      <w:rFonts w:hAnsi="宋体"/>
                      <w:color w:val="FF0000"/>
                      <w:sz w:val="18"/>
                      <w:szCs w:val="18"/>
                      <w:u w:val="none"/>
                    </w:rPr>
                  </w:pPr>
                  <w:r>
                    <w:rPr>
                      <w:color w:val="FF0000"/>
                      <w:kern w:val="0"/>
                      <w:sz w:val="18"/>
                      <w:szCs w:val="18"/>
                      <w:u w:val="none"/>
                    </w:rPr>
                    <w:t>土</w:t>
                  </w:r>
                  <w:r>
                    <w:rPr>
                      <w:rFonts w:hint="eastAsia"/>
                      <w:color w:val="FF0000"/>
                      <w:kern w:val="0"/>
                      <w:sz w:val="18"/>
                      <w:szCs w:val="18"/>
                      <w:u w:val="none"/>
                    </w:rPr>
                    <w:t>石</w:t>
                  </w:r>
                  <w:r>
                    <w:rPr>
                      <w:color w:val="FF0000"/>
                      <w:kern w:val="0"/>
                      <w:sz w:val="18"/>
                      <w:szCs w:val="18"/>
                      <w:u w:val="none"/>
                    </w:rPr>
                    <w:t>方开挖</w:t>
                  </w:r>
                </w:p>
              </w:tc>
              <w:tc>
                <w:tcPr>
                  <w:tcW w:w="643" w:type="pct"/>
                  <w:tcBorders>
                    <w:tl2br w:val="nil"/>
                    <w:tr2bl w:val="nil"/>
                  </w:tcBorders>
                  <w:vAlign w:val="center"/>
                </w:tcPr>
                <w:p w14:paraId="2229B979">
                  <w:pPr>
                    <w:adjustRightInd w:val="0"/>
                    <w:snapToGrid w:val="0"/>
                    <w:jc w:val="center"/>
                    <w:rPr>
                      <w:color w:val="FF0000"/>
                      <w:sz w:val="18"/>
                      <w:szCs w:val="18"/>
                      <w:u w:val="none"/>
                    </w:rPr>
                  </w:pPr>
                  <w:r>
                    <w:rPr>
                      <w:color w:val="FF0000"/>
                      <w:kern w:val="0"/>
                      <w:sz w:val="18"/>
                      <w:szCs w:val="18"/>
                      <w:u w:val="none"/>
                    </w:rPr>
                    <w:t>万m</w:t>
                  </w:r>
                  <w:r>
                    <w:rPr>
                      <w:color w:val="FF0000"/>
                      <w:kern w:val="0"/>
                      <w:sz w:val="18"/>
                      <w:szCs w:val="18"/>
                      <w:u w:val="none"/>
                      <w:vertAlign w:val="superscript"/>
                    </w:rPr>
                    <w:t>3</w:t>
                  </w:r>
                </w:p>
              </w:tc>
              <w:tc>
                <w:tcPr>
                  <w:tcW w:w="944" w:type="pct"/>
                  <w:tcBorders>
                    <w:tl2br w:val="nil"/>
                    <w:tr2bl w:val="nil"/>
                  </w:tcBorders>
                  <w:vAlign w:val="center"/>
                </w:tcPr>
                <w:p w14:paraId="55F2D9E1">
                  <w:pPr>
                    <w:adjustRightInd w:val="0"/>
                    <w:snapToGrid w:val="0"/>
                    <w:jc w:val="center"/>
                    <w:rPr>
                      <w:color w:val="FF0000"/>
                      <w:sz w:val="18"/>
                      <w:szCs w:val="18"/>
                      <w:u w:val="none"/>
                    </w:rPr>
                  </w:pPr>
                  <w:r>
                    <w:rPr>
                      <w:color w:val="FF0000"/>
                      <w:sz w:val="18"/>
                      <w:szCs w:val="18"/>
                      <w:u w:val="none"/>
                    </w:rPr>
                    <w:t>88.11</w:t>
                  </w:r>
                </w:p>
              </w:tc>
              <w:tc>
                <w:tcPr>
                  <w:tcW w:w="653" w:type="pct"/>
                  <w:tcBorders>
                    <w:tl2br w:val="nil"/>
                    <w:tr2bl w:val="nil"/>
                  </w:tcBorders>
                  <w:vAlign w:val="center"/>
                </w:tcPr>
                <w:p w14:paraId="074EE868">
                  <w:pPr>
                    <w:adjustRightInd w:val="0"/>
                    <w:snapToGrid w:val="0"/>
                    <w:jc w:val="center"/>
                    <w:rPr>
                      <w:color w:val="FF0000"/>
                      <w:sz w:val="18"/>
                      <w:szCs w:val="18"/>
                      <w:highlight w:val="yellow"/>
                      <w:u w:val="none"/>
                    </w:rPr>
                  </w:pPr>
                </w:p>
              </w:tc>
            </w:tr>
            <w:tr w14:paraId="2476F1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BF551C4">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48A92851">
                  <w:pPr>
                    <w:adjustRightInd w:val="0"/>
                    <w:snapToGrid w:val="0"/>
                    <w:jc w:val="center"/>
                    <w:rPr>
                      <w:color w:val="FF0000"/>
                      <w:sz w:val="18"/>
                      <w:szCs w:val="18"/>
                      <w:u w:val="none"/>
                    </w:rPr>
                  </w:pPr>
                </w:p>
              </w:tc>
              <w:tc>
                <w:tcPr>
                  <w:tcW w:w="1032" w:type="pct"/>
                  <w:tcBorders>
                    <w:tl2br w:val="nil"/>
                    <w:tr2bl w:val="nil"/>
                  </w:tcBorders>
                  <w:vAlign w:val="center"/>
                </w:tcPr>
                <w:p w14:paraId="55E71D91">
                  <w:pPr>
                    <w:adjustRightInd w:val="0"/>
                    <w:snapToGrid w:val="0"/>
                    <w:jc w:val="center"/>
                    <w:rPr>
                      <w:rFonts w:hAnsi="宋体"/>
                      <w:color w:val="FF0000"/>
                      <w:sz w:val="18"/>
                      <w:szCs w:val="18"/>
                      <w:u w:val="none"/>
                    </w:rPr>
                  </w:pPr>
                  <w:r>
                    <w:rPr>
                      <w:color w:val="FF0000"/>
                      <w:kern w:val="0"/>
                      <w:sz w:val="18"/>
                      <w:szCs w:val="18"/>
                      <w:u w:val="none"/>
                    </w:rPr>
                    <w:t>土石方回填</w:t>
                  </w:r>
                </w:p>
              </w:tc>
              <w:tc>
                <w:tcPr>
                  <w:tcW w:w="643" w:type="pct"/>
                  <w:tcBorders>
                    <w:tl2br w:val="nil"/>
                    <w:tr2bl w:val="nil"/>
                  </w:tcBorders>
                  <w:vAlign w:val="center"/>
                </w:tcPr>
                <w:p w14:paraId="3A39C50C">
                  <w:pPr>
                    <w:adjustRightInd w:val="0"/>
                    <w:snapToGrid w:val="0"/>
                    <w:jc w:val="center"/>
                    <w:rPr>
                      <w:color w:val="FF0000"/>
                      <w:sz w:val="18"/>
                      <w:szCs w:val="18"/>
                      <w:u w:val="none"/>
                    </w:rPr>
                  </w:pPr>
                  <w:r>
                    <w:rPr>
                      <w:color w:val="FF0000"/>
                      <w:kern w:val="0"/>
                      <w:sz w:val="18"/>
                      <w:szCs w:val="18"/>
                      <w:u w:val="none"/>
                    </w:rPr>
                    <w:t>万m</w:t>
                  </w:r>
                  <w:r>
                    <w:rPr>
                      <w:color w:val="FF0000"/>
                      <w:kern w:val="0"/>
                      <w:sz w:val="18"/>
                      <w:szCs w:val="18"/>
                      <w:u w:val="none"/>
                      <w:vertAlign w:val="superscript"/>
                    </w:rPr>
                    <w:t>3</w:t>
                  </w:r>
                </w:p>
              </w:tc>
              <w:tc>
                <w:tcPr>
                  <w:tcW w:w="944" w:type="pct"/>
                  <w:tcBorders>
                    <w:tl2br w:val="nil"/>
                    <w:tr2bl w:val="nil"/>
                  </w:tcBorders>
                  <w:vAlign w:val="center"/>
                </w:tcPr>
                <w:p w14:paraId="468E590D">
                  <w:pPr>
                    <w:adjustRightInd w:val="0"/>
                    <w:snapToGrid w:val="0"/>
                    <w:jc w:val="center"/>
                    <w:rPr>
                      <w:color w:val="FF0000"/>
                      <w:sz w:val="18"/>
                      <w:szCs w:val="18"/>
                      <w:u w:val="none"/>
                    </w:rPr>
                  </w:pPr>
                  <w:r>
                    <w:rPr>
                      <w:color w:val="FF0000"/>
                      <w:sz w:val="18"/>
                      <w:szCs w:val="18"/>
                      <w:u w:val="none"/>
                    </w:rPr>
                    <w:t>65.79</w:t>
                  </w:r>
                </w:p>
              </w:tc>
              <w:tc>
                <w:tcPr>
                  <w:tcW w:w="653" w:type="pct"/>
                  <w:tcBorders>
                    <w:tl2br w:val="nil"/>
                    <w:tr2bl w:val="nil"/>
                  </w:tcBorders>
                  <w:vAlign w:val="center"/>
                </w:tcPr>
                <w:p w14:paraId="003FFE3C">
                  <w:pPr>
                    <w:adjustRightInd w:val="0"/>
                    <w:snapToGrid w:val="0"/>
                    <w:jc w:val="center"/>
                    <w:rPr>
                      <w:color w:val="FF0000"/>
                      <w:sz w:val="18"/>
                      <w:szCs w:val="18"/>
                      <w:highlight w:val="yellow"/>
                      <w:u w:val="none"/>
                    </w:rPr>
                  </w:pPr>
                </w:p>
              </w:tc>
            </w:tr>
            <w:tr w14:paraId="03F19A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9BCBDAF">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2E6F61A1">
                  <w:pPr>
                    <w:adjustRightInd w:val="0"/>
                    <w:snapToGrid w:val="0"/>
                    <w:jc w:val="center"/>
                    <w:rPr>
                      <w:color w:val="FF0000"/>
                      <w:sz w:val="18"/>
                      <w:szCs w:val="18"/>
                      <w:u w:val="none"/>
                    </w:rPr>
                  </w:pPr>
                </w:p>
              </w:tc>
              <w:tc>
                <w:tcPr>
                  <w:tcW w:w="1032" w:type="pct"/>
                  <w:tcBorders>
                    <w:tl2br w:val="nil"/>
                    <w:tr2bl w:val="nil"/>
                  </w:tcBorders>
                  <w:vAlign w:val="center"/>
                </w:tcPr>
                <w:p w14:paraId="1255DA6A">
                  <w:pPr>
                    <w:adjustRightInd w:val="0"/>
                    <w:snapToGrid w:val="0"/>
                    <w:jc w:val="center"/>
                    <w:rPr>
                      <w:rFonts w:hAnsi="宋体"/>
                      <w:color w:val="FF0000"/>
                      <w:sz w:val="18"/>
                      <w:szCs w:val="18"/>
                      <w:u w:val="none"/>
                    </w:rPr>
                  </w:pPr>
                  <w:r>
                    <w:rPr>
                      <w:color w:val="FF0000"/>
                      <w:kern w:val="0"/>
                      <w:sz w:val="18"/>
                      <w:szCs w:val="18"/>
                      <w:u w:val="none"/>
                    </w:rPr>
                    <w:t>混凝土</w:t>
                  </w:r>
                </w:p>
              </w:tc>
              <w:tc>
                <w:tcPr>
                  <w:tcW w:w="643" w:type="pct"/>
                  <w:tcBorders>
                    <w:tl2br w:val="nil"/>
                    <w:tr2bl w:val="nil"/>
                  </w:tcBorders>
                  <w:vAlign w:val="center"/>
                </w:tcPr>
                <w:p w14:paraId="44459DC7">
                  <w:pPr>
                    <w:adjustRightInd w:val="0"/>
                    <w:snapToGrid w:val="0"/>
                    <w:jc w:val="center"/>
                    <w:rPr>
                      <w:color w:val="FF0000"/>
                      <w:sz w:val="18"/>
                      <w:szCs w:val="18"/>
                      <w:u w:val="none"/>
                    </w:rPr>
                  </w:pPr>
                  <w:r>
                    <w:rPr>
                      <w:color w:val="FF0000"/>
                      <w:kern w:val="0"/>
                      <w:sz w:val="18"/>
                      <w:szCs w:val="18"/>
                      <w:u w:val="none"/>
                    </w:rPr>
                    <w:t>m</w:t>
                  </w:r>
                  <w:r>
                    <w:rPr>
                      <w:color w:val="FF0000"/>
                      <w:kern w:val="0"/>
                      <w:sz w:val="18"/>
                      <w:szCs w:val="18"/>
                      <w:u w:val="none"/>
                      <w:vertAlign w:val="superscript"/>
                    </w:rPr>
                    <w:t>3</w:t>
                  </w:r>
                </w:p>
              </w:tc>
              <w:tc>
                <w:tcPr>
                  <w:tcW w:w="944" w:type="pct"/>
                  <w:tcBorders>
                    <w:tl2br w:val="nil"/>
                    <w:tr2bl w:val="nil"/>
                  </w:tcBorders>
                  <w:vAlign w:val="center"/>
                </w:tcPr>
                <w:p w14:paraId="2D86228C">
                  <w:pPr>
                    <w:adjustRightInd w:val="0"/>
                    <w:snapToGrid w:val="0"/>
                    <w:jc w:val="center"/>
                    <w:rPr>
                      <w:color w:val="FF0000"/>
                      <w:sz w:val="18"/>
                      <w:szCs w:val="18"/>
                      <w:u w:val="none"/>
                    </w:rPr>
                  </w:pPr>
                  <w:r>
                    <w:rPr>
                      <w:color w:val="FF0000"/>
                      <w:sz w:val="18"/>
                      <w:szCs w:val="18"/>
                      <w:u w:val="none"/>
                    </w:rPr>
                    <w:t>9001.39</w:t>
                  </w:r>
                </w:p>
              </w:tc>
              <w:tc>
                <w:tcPr>
                  <w:tcW w:w="653" w:type="pct"/>
                  <w:tcBorders>
                    <w:tl2br w:val="nil"/>
                    <w:tr2bl w:val="nil"/>
                  </w:tcBorders>
                  <w:vAlign w:val="center"/>
                </w:tcPr>
                <w:p w14:paraId="43EFB433">
                  <w:pPr>
                    <w:adjustRightInd w:val="0"/>
                    <w:snapToGrid w:val="0"/>
                    <w:jc w:val="center"/>
                    <w:rPr>
                      <w:color w:val="FF0000"/>
                      <w:sz w:val="18"/>
                      <w:szCs w:val="18"/>
                      <w:highlight w:val="yellow"/>
                      <w:u w:val="none"/>
                    </w:rPr>
                  </w:pPr>
                </w:p>
              </w:tc>
            </w:tr>
            <w:tr w14:paraId="68AB9D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32D988D4">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59FD5C1C">
                  <w:pPr>
                    <w:adjustRightInd w:val="0"/>
                    <w:snapToGrid w:val="0"/>
                    <w:jc w:val="center"/>
                    <w:rPr>
                      <w:color w:val="FF0000"/>
                      <w:sz w:val="18"/>
                      <w:szCs w:val="18"/>
                      <w:u w:val="none"/>
                    </w:rPr>
                  </w:pPr>
                </w:p>
              </w:tc>
              <w:tc>
                <w:tcPr>
                  <w:tcW w:w="1032" w:type="pct"/>
                  <w:tcBorders>
                    <w:tl2br w:val="nil"/>
                    <w:tr2bl w:val="nil"/>
                  </w:tcBorders>
                  <w:vAlign w:val="center"/>
                </w:tcPr>
                <w:p w14:paraId="0D97A702">
                  <w:pPr>
                    <w:adjustRightInd w:val="0"/>
                    <w:snapToGrid w:val="0"/>
                    <w:jc w:val="center"/>
                    <w:rPr>
                      <w:rFonts w:hAnsi="宋体"/>
                      <w:color w:val="FF0000"/>
                      <w:sz w:val="18"/>
                      <w:szCs w:val="18"/>
                      <w:u w:val="none"/>
                    </w:rPr>
                  </w:pPr>
                  <w:r>
                    <w:rPr>
                      <w:color w:val="FF0000"/>
                      <w:kern w:val="0"/>
                      <w:sz w:val="18"/>
                      <w:szCs w:val="18"/>
                      <w:u w:val="none"/>
                    </w:rPr>
                    <w:t>钢筋</w:t>
                  </w:r>
                </w:p>
              </w:tc>
              <w:tc>
                <w:tcPr>
                  <w:tcW w:w="643" w:type="pct"/>
                  <w:tcBorders>
                    <w:tl2br w:val="nil"/>
                    <w:tr2bl w:val="nil"/>
                  </w:tcBorders>
                  <w:vAlign w:val="center"/>
                </w:tcPr>
                <w:p w14:paraId="74C66537">
                  <w:pPr>
                    <w:adjustRightInd w:val="0"/>
                    <w:snapToGrid w:val="0"/>
                    <w:jc w:val="center"/>
                    <w:rPr>
                      <w:color w:val="FF0000"/>
                      <w:sz w:val="18"/>
                      <w:szCs w:val="18"/>
                      <w:u w:val="none"/>
                    </w:rPr>
                  </w:pPr>
                  <w:r>
                    <w:rPr>
                      <w:color w:val="FF0000"/>
                      <w:kern w:val="0"/>
                      <w:sz w:val="18"/>
                      <w:szCs w:val="18"/>
                      <w:u w:val="none"/>
                    </w:rPr>
                    <w:t>t</w:t>
                  </w:r>
                </w:p>
              </w:tc>
              <w:tc>
                <w:tcPr>
                  <w:tcW w:w="944" w:type="pct"/>
                  <w:tcBorders>
                    <w:tl2br w:val="nil"/>
                    <w:tr2bl w:val="nil"/>
                  </w:tcBorders>
                  <w:vAlign w:val="center"/>
                </w:tcPr>
                <w:p w14:paraId="0DB2162E">
                  <w:pPr>
                    <w:adjustRightInd w:val="0"/>
                    <w:snapToGrid w:val="0"/>
                    <w:jc w:val="center"/>
                    <w:rPr>
                      <w:color w:val="FF0000"/>
                      <w:sz w:val="18"/>
                      <w:szCs w:val="18"/>
                      <w:u w:val="none"/>
                    </w:rPr>
                  </w:pPr>
                  <w:r>
                    <w:rPr>
                      <w:color w:val="FF0000"/>
                      <w:sz w:val="18"/>
                      <w:szCs w:val="18"/>
                      <w:u w:val="none"/>
                    </w:rPr>
                    <w:t>820.99</w:t>
                  </w:r>
                </w:p>
              </w:tc>
              <w:tc>
                <w:tcPr>
                  <w:tcW w:w="653" w:type="pct"/>
                  <w:tcBorders>
                    <w:tl2br w:val="nil"/>
                    <w:tr2bl w:val="nil"/>
                  </w:tcBorders>
                  <w:vAlign w:val="center"/>
                </w:tcPr>
                <w:p w14:paraId="5017A1B5">
                  <w:pPr>
                    <w:adjustRightInd w:val="0"/>
                    <w:snapToGrid w:val="0"/>
                    <w:jc w:val="center"/>
                    <w:rPr>
                      <w:color w:val="FF0000"/>
                      <w:sz w:val="18"/>
                      <w:szCs w:val="18"/>
                      <w:highlight w:val="yellow"/>
                      <w:u w:val="none"/>
                    </w:rPr>
                  </w:pPr>
                </w:p>
              </w:tc>
            </w:tr>
            <w:tr w14:paraId="0B1E8F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040DF4F2">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43C2200F">
                  <w:pPr>
                    <w:adjustRightInd w:val="0"/>
                    <w:snapToGrid w:val="0"/>
                    <w:jc w:val="center"/>
                    <w:rPr>
                      <w:color w:val="FF0000"/>
                      <w:sz w:val="18"/>
                      <w:szCs w:val="18"/>
                      <w:u w:val="none"/>
                    </w:rPr>
                  </w:pPr>
                </w:p>
              </w:tc>
              <w:tc>
                <w:tcPr>
                  <w:tcW w:w="1032" w:type="pct"/>
                  <w:tcBorders>
                    <w:tl2br w:val="nil"/>
                    <w:tr2bl w:val="nil"/>
                  </w:tcBorders>
                  <w:vAlign w:val="center"/>
                </w:tcPr>
                <w:p w14:paraId="02F70899">
                  <w:pPr>
                    <w:adjustRightInd w:val="0"/>
                    <w:snapToGrid w:val="0"/>
                    <w:jc w:val="center"/>
                    <w:rPr>
                      <w:color w:val="FF0000"/>
                      <w:kern w:val="0"/>
                      <w:sz w:val="18"/>
                      <w:szCs w:val="18"/>
                      <w:u w:val="none"/>
                    </w:rPr>
                  </w:pPr>
                  <w:r>
                    <w:rPr>
                      <w:color w:val="FF0000"/>
                      <w:kern w:val="0"/>
                      <w:sz w:val="18"/>
                      <w:szCs w:val="18"/>
                      <w:u w:val="none"/>
                    </w:rPr>
                    <w:t>新建道路</w:t>
                  </w:r>
                </w:p>
              </w:tc>
              <w:tc>
                <w:tcPr>
                  <w:tcW w:w="643" w:type="pct"/>
                  <w:tcBorders>
                    <w:tl2br w:val="nil"/>
                    <w:tr2bl w:val="nil"/>
                  </w:tcBorders>
                  <w:vAlign w:val="center"/>
                </w:tcPr>
                <w:p w14:paraId="5DD88D3D">
                  <w:pPr>
                    <w:adjustRightInd w:val="0"/>
                    <w:snapToGrid w:val="0"/>
                    <w:jc w:val="center"/>
                    <w:rPr>
                      <w:color w:val="FF0000"/>
                      <w:sz w:val="18"/>
                      <w:szCs w:val="18"/>
                      <w:u w:val="none"/>
                    </w:rPr>
                  </w:pPr>
                  <w:r>
                    <w:rPr>
                      <w:color w:val="FF0000"/>
                      <w:kern w:val="0"/>
                      <w:sz w:val="18"/>
                      <w:szCs w:val="18"/>
                      <w:u w:val="none"/>
                    </w:rPr>
                    <w:t>km</w:t>
                  </w:r>
                </w:p>
              </w:tc>
              <w:tc>
                <w:tcPr>
                  <w:tcW w:w="944" w:type="pct"/>
                  <w:tcBorders>
                    <w:tl2br w:val="nil"/>
                    <w:tr2bl w:val="nil"/>
                  </w:tcBorders>
                  <w:vAlign w:val="center"/>
                </w:tcPr>
                <w:p w14:paraId="2524C59F">
                  <w:pPr>
                    <w:adjustRightInd w:val="0"/>
                    <w:snapToGrid w:val="0"/>
                    <w:jc w:val="center"/>
                    <w:rPr>
                      <w:color w:val="FF0000"/>
                      <w:sz w:val="18"/>
                      <w:szCs w:val="18"/>
                      <w:u w:val="none"/>
                    </w:rPr>
                  </w:pPr>
                  <w:r>
                    <w:rPr>
                      <w:color w:val="FF0000"/>
                      <w:sz w:val="18"/>
                      <w:szCs w:val="18"/>
                      <w:u w:val="none"/>
                    </w:rPr>
                    <w:t>16.96</w:t>
                  </w:r>
                </w:p>
              </w:tc>
              <w:tc>
                <w:tcPr>
                  <w:tcW w:w="653" w:type="pct"/>
                  <w:tcBorders>
                    <w:tl2br w:val="nil"/>
                    <w:tr2bl w:val="nil"/>
                  </w:tcBorders>
                  <w:vAlign w:val="center"/>
                </w:tcPr>
                <w:p w14:paraId="4B9C783C">
                  <w:pPr>
                    <w:adjustRightInd w:val="0"/>
                    <w:snapToGrid w:val="0"/>
                    <w:jc w:val="center"/>
                    <w:rPr>
                      <w:color w:val="FF0000"/>
                      <w:sz w:val="18"/>
                      <w:szCs w:val="18"/>
                      <w:highlight w:val="yellow"/>
                      <w:u w:val="none"/>
                    </w:rPr>
                  </w:pPr>
                </w:p>
              </w:tc>
            </w:tr>
            <w:tr w14:paraId="0B3914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31ED1F88">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4819893C">
                  <w:pPr>
                    <w:adjustRightInd w:val="0"/>
                    <w:snapToGrid w:val="0"/>
                    <w:jc w:val="center"/>
                    <w:rPr>
                      <w:color w:val="FF0000"/>
                      <w:sz w:val="18"/>
                      <w:szCs w:val="18"/>
                      <w:u w:val="none"/>
                    </w:rPr>
                  </w:pPr>
                </w:p>
              </w:tc>
              <w:tc>
                <w:tcPr>
                  <w:tcW w:w="1032" w:type="pct"/>
                  <w:tcBorders>
                    <w:tl2br w:val="nil"/>
                    <w:tr2bl w:val="nil"/>
                  </w:tcBorders>
                  <w:vAlign w:val="center"/>
                </w:tcPr>
                <w:p w14:paraId="554570A0">
                  <w:pPr>
                    <w:adjustRightInd w:val="0"/>
                    <w:snapToGrid w:val="0"/>
                    <w:jc w:val="center"/>
                    <w:rPr>
                      <w:color w:val="FF0000"/>
                      <w:kern w:val="0"/>
                      <w:sz w:val="18"/>
                      <w:szCs w:val="18"/>
                      <w:u w:val="none"/>
                    </w:rPr>
                  </w:pPr>
                  <w:r>
                    <w:rPr>
                      <w:color w:val="FF0000"/>
                      <w:kern w:val="0"/>
                      <w:sz w:val="18"/>
                      <w:szCs w:val="18"/>
                      <w:u w:val="none"/>
                    </w:rPr>
                    <w:t>改建道路</w:t>
                  </w:r>
                </w:p>
              </w:tc>
              <w:tc>
                <w:tcPr>
                  <w:tcW w:w="643" w:type="pct"/>
                  <w:tcBorders>
                    <w:tl2br w:val="nil"/>
                    <w:tr2bl w:val="nil"/>
                  </w:tcBorders>
                  <w:vAlign w:val="center"/>
                </w:tcPr>
                <w:p w14:paraId="4A166D68">
                  <w:pPr>
                    <w:adjustRightInd w:val="0"/>
                    <w:snapToGrid w:val="0"/>
                    <w:jc w:val="center"/>
                    <w:rPr>
                      <w:color w:val="FF0000"/>
                      <w:sz w:val="18"/>
                      <w:szCs w:val="18"/>
                      <w:u w:val="none"/>
                    </w:rPr>
                  </w:pPr>
                  <w:r>
                    <w:rPr>
                      <w:color w:val="FF0000"/>
                      <w:kern w:val="0"/>
                      <w:sz w:val="18"/>
                      <w:szCs w:val="18"/>
                      <w:u w:val="none"/>
                    </w:rPr>
                    <w:t>km</w:t>
                  </w:r>
                </w:p>
              </w:tc>
              <w:tc>
                <w:tcPr>
                  <w:tcW w:w="944" w:type="pct"/>
                  <w:tcBorders>
                    <w:tl2br w:val="nil"/>
                    <w:tr2bl w:val="nil"/>
                  </w:tcBorders>
                  <w:vAlign w:val="center"/>
                </w:tcPr>
                <w:p w14:paraId="58E56BC9">
                  <w:pPr>
                    <w:adjustRightInd w:val="0"/>
                    <w:snapToGrid w:val="0"/>
                    <w:jc w:val="center"/>
                    <w:rPr>
                      <w:color w:val="FF0000"/>
                      <w:sz w:val="18"/>
                      <w:szCs w:val="18"/>
                      <w:u w:val="none"/>
                    </w:rPr>
                  </w:pPr>
                  <w:r>
                    <w:rPr>
                      <w:color w:val="FF0000"/>
                      <w:sz w:val="18"/>
                      <w:szCs w:val="18"/>
                      <w:u w:val="none"/>
                    </w:rPr>
                    <w:t>0</w:t>
                  </w:r>
                </w:p>
              </w:tc>
              <w:tc>
                <w:tcPr>
                  <w:tcW w:w="653" w:type="pct"/>
                  <w:tcBorders>
                    <w:tl2br w:val="nil"/>
                    <w:tr2bl w:val="nil"/>
                  </w:tcBorders>
                  <w:vAlign w:val="center"/>
                </w:tcPr>
                <w:p w14:paraId="31339E1C">
                  <w:pPr>
                    <w:adjustRightInd w:val="0"/>
                    <w:snapToGrid w:val="0"/>
                    <w:jc w:val="center"/>
                    <w:rPr>
                      <w:color w:val="FF0000"/>
                      <w:sz w:val="18"/>
                      <w:szCs w:val="18"/>
                      <w:highlight w:val="yellow"/>
                      <w:u w:val="none"/>
                    </w:rPr>
                  </w:pPr>
                </w:p>
              </w:tc>
            </w:tr>
            <w:tr w14:paraId="03D574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192AB43D">
                  <w:pPr>
                    <w:adjustRightInd w:val="0"/>
                    <w:snapToGrid w:val="0"/>
                    <w:jc w:val="center"/>
                    <w:rPr>
                      <w:color w:val="FF0000"/>
                      <w:sz w:val="18"/>
                      <w:szCs w:val="18"/>
                      <w:u w:val="none"/>
                    </w:rPr>
                  </w:pPr>
                </w:p>
              </w:tc>
              <w:tc>
                <w:tcPr>
                  <w:tcW w:w="1142" w:type="pct"/>
                  <w:gridSpan w:val="3"/>
                  <w:vMerge w:val="continue"/>
                  <w:tcBorders>
                    <w:tl2br w:val="nil"/>
                    <w:tr2bl w:val="nil"/>
                  </w:tcBorders>
                  <w:vAlign w:val="center"/>
                </w:tcPr>
                <w:p w14:paraId="71BC05F8">
                  <w:pPr>
                    <w:adjustRightInd w:val="0"/>
                    <w:snapToGrid w:val="0"/>
                    <w:jc w:val="center"/>
                    <w:rPr>
                      <w:color w:val="FF0000"/>
                      <w:sz w:val="18"/>
                      <w:szCs w:val="18"/>
                      <w:u w:val="none"/>
                    </w:rPr>
                  </w:pPr>
                </w:p>
              </w:tc>
              <w:tc>
                <w:tcPr>
                  <w:tcW w:w="1032" w:type="pct"/>
                  <w:tcBorders>
                    <w:tl2br w:val="nil"/>
                    <w:tr2bl w:val="nil"/>
                  </w:tcBorders>
                  <w:vAlign w:val="center"/>
                </w:tcPr>
                <w:p w14:paraId="2B849FBB">
                  <w:pPr>
                    <w:adjustRightInd w:val="0"/>
                    <w:snapToGrid w:val="0"/>
                    <w:jc w:val="center"/>
                    <w:rPr>
                      <w:color w:val="FF0000"/>
                      <w:kern w:val="0"/>
                      <w:sz w:val="18"/>
                      <w:szCs w:val="18"/>
                      <w:u w:val="none"/>
                    </w:rPr>
                  </w:pPr>
                  <w:r>
                    <w:rPr>
                      <w:color w:val="FF0000"/>
                      <w:kern w:val="0"/>
                      <w:sz w:val="18"/>
                      <w:szCs w:val="18"/>
                      <w:u w:val="none"/>
                    </w:rPr>
                    <w:t>总工期</w:t>
                  </w:r>
                </w:p>
              </w:tc>
              <w:tc>
                <w:tcPr>
                  <w:tcW w:w="643" w:type="pct"/>
                  <w:tcBorders>
                    <w:tl2br w:val="nil"/>
                    <w:tr2bl w:val="nil"/>
                  </w:tcBorders>
                  <w:vAlign w:val="center"/>
                </w:tcPr>
                <w:p w14:paraId="7464539C">
                  <w:pPr>
                    <w:adjustRightInd w:val="0"/>
                    <w:snapToGrid w:val="0"/>
                    <w:jc w:val="center"/>
                    <w:rPr>
                      <w:color w:val="FF0000"/>
                      <w:sz w:val="18"/>
                      <w:szCs w:val="18"/>
                      <w:u w:val="none"/>
                    </w:rPr>
                  </w:pPr>
                  <w:r>
                    <w:rPr>
                      <w:color w:val="FF0000"/>
                      <w:kern w:val="0"/>
                      <w:sz w:val="18"/>
                      <w:szCs w:val="18"/>
                      <w:u w:val="none"/>
                    </w:rPr>
                    <w:t>月</w:t>
                  </w:r>
                </w:p>
              </w:tc>
              <w:tc>
                <w:tcPr>
                  <w:tcW w:w="944" w:type="pct"/>
                  <w:tcBorders>
                    <w:tl2br w:val="nil"/>
                    <w:tr2bl w:val="nil"/>
                  </w:tcBorders>
                  <w:vAlign w:val="center"/>
                </w:tcPr>
                <w:p w14:paraId="3F60E33D">
                  <w:pPr>
                    <w:adjustRightInd w:val="0"/>
                    <w:snapToGrid w:val="0"/>
                    <w:jc w:val="center"/>
                    <w:rPr>
                      <w:color w:val="FF0000"/>
                      <w:sz w:val="18"/>
                      <w:szCs w:val="18"/>
                      <w:u w:val="none"/>
                    </w:rPr>
                  </w:pPr>
                  <w:r>
                    <w:rPr>
                      <w:rFonts w:hint="eastAsia"/>
                      <w:color w:val="FF0000"/>
                      <w:sz w:val="18"/>
                      <w:szCs w:val="18"/>
                      <w:u w:val="none"/>
                    </w:rPr>
                    <w:t>1</w:t>
                  </w:r>
                  <w:r>
                    <w:rPr>
                      <w:color w:val="FF0000"/>
                      <w:sz w:val="18"/>
                      <w:szCs w:val="18"/>
                      <w:u w:val="none"/>
                    </w:rPr>
                    <w:t>2</w:t>
                  </w:r>
                </w:p>
              </w:tc>
              <w:tc>
                <w:tcPr>
                  <w:tcW w:w="653" w:type="pct"/>
                  <w:tcBorders>
                    <w:tl2br w:val="nil"/>
                    <w:tr2bl w:val="nil"/>
                  </w:tcBorders>
                  <w:vAlign w:val="center"/>
                </w:tcPr>
                <w:p w14:paraId="063DF9F0">
                  <w:pPr>
                    <w:adjustRightInd w:val="0"/>
                    <w:snapToGrid w:val="0"/>
                    <w:jc w:val="center"/>
                    <w:rPr>
                      <w:color w:val="FF0000"/>
                      <w:sz w:val="18"/>
                      <w:szCs w:val="18"/>
                      <w:highlight w:val="yellow"/>
                      <w:u w:val="none"/>
                    </w:rPr>
                  </w:pPr>
                </w:p>
              </w:tc>
            </w:tr>
            <w:tr w14:paraId="523C55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34D9052A">
                  <w:pPr>
                    <w:jc w:val="center"/>
                    <w:rPr>
                      <w:color w:val="FF0000"/>
                      <w:kern w:val="0"/>
                      <w:sz w:val="18"/>
                      <w:szCs w:val="18"/>
                      <w:u w:val="none"/>
                    </w:rPr>
                  </w:pPr>
                  <w:r>
                    <w:rPr>
                      <w:color w:val="FF0000"/>
                      <w:kern w:val="0"/>
                      <w:sz w:val="18"/>
                      <w:szCs w:val="18"/>
                      <w:u w:val="none"/>
                    </w:rPr>
                    <w:t>投</w:t>
                  </w:r>
                </w:p>
                <w:p w14:paraId="7F1DDBE0">
                  <w:pPr>
                    <w:jc w:val="center"/>
                    <w:rPr>
                      <w:color w:val="FF0000"/>
                      <w:kern w:val="0"/>
                      <w:sz w:val="18"/>
                      <w:szCs w:val="18"/>
                      <w:u w:val="none"/>
                    </w:rPr>
                  </w:pPr>
                  <w:r>
                    <w:rPr>
                      <w:color w:val="FF0000"/>
                      <w:kern w:val="0"/>
                      <w:sz w:val="18"/>
                      <w:szCs w:val="18"/>
                      <w:u w:val="none"/>
                    </w:rPr>
                    <w:t>资</w:t>
                  </w:r>
                </w:p>
                <w:p w14:paraId="52AA2984">
                  <w:pPr>
                    <w:jc w:val="center"/>
                    <w:rPr>
                      <w:color w:val="FF0000"/>
                      <w:kern w:val="0"/>
                      <w:sz w:val="18"/>
                      <w:szCs w:val="18"/>
                      <w:u w:val="none"/>
                    </w:rPr>
                  </w:pPr>
                  <w:r>
                    <w:rPr>
                      <w:color w:val="FF0000"/>
                      <w:kern w:val="0"/>
                      <w:sz w:val="18"/>
                      <w:szCs w:val="18"/>
                      <w:u w:val="none"/>
                    </w:rPr>
                    <w:t>指</w:t>
                  </w:r>
                </w:p>
                <w:p w14:paraId="4FA808F3">
                  <w:pPr>
                    <w:adjustRightInd w:val="0"/>
                    <w:snapToGrid w:val="0"/>
                    <w:jc w:val="center"/>
                    <w:rPr>
                      <w:color w:val="FF0000"/>
                      <w:sz w:val="18"/>
                      <w:szCs w:val="18"/>
                      <w:u w:val="none"/>
                    </w:rPr>
                  </w:pPr>
                  <w:r>
                    <w:rPr>
                      <w:color w:val="FF0000"/>
                      <w:kern w:val="0"/>
                      <w:sz w:val="18"/>
                      <w:szCs w:val="18"/>
                      <w:u w:val="none"/>
                    </w:rPr>
                    <w:t>标</w:t>
                  </w:r>
                </w:p>
              </w:tc>
              <w:tc>
                <w:tcPr>
                  <w:tcW w:w="2174" w:type="pct"/>
                  <w:gridSpan w:val="4"/>
                  <w:tcBorders>
                    <w:tl2br w:val="nil"/>
                    <w:tr2bl w:val="nil"/>
                  </w:tcBorders>
                  <w:vAlign w:val="center"/>
                </w:tcPr>
                <w:p w14:paraId="71EEB318">
                  <w:pPr>
                    <w:adjustRightInd w:val="0"/>
                    <w:snapToGrid w:val="0"/>
                    <w:jc w:val="center"/>
                    <w:rPr>
                      <w:color w:val="FF0000"/>
                      <w:kern w:val="0"/>
                      <w:sz w:val="18"/>
                      <w:szCs w:val="18"/>
                      <w:u w:val="none"/>
                    </w:rPr>
                  </w:pPr>
                  <w:r>
                    <w:rPr>
                      <w:rFonts w:hint="eastAsia"/>
                      <w:color w:val="FF0000"/>
                      <w:kern w:val="0"/>
                      <w:sz w:val="18"/>
                      <w:szCs w:val="18"/>
                      <w:u w:val="none"/>
                    </w:rPr>
                    <w:t>工程静态</w:t>
                  </w:r>
                  <w:r>
                    <w:rPr>
                      <w:color w:val="FF0000"/>
                      <w:kern w:val="0"/>
                      <w:sz w:val="18"/>
                      <w:szCs w:val="18"/>
                      <w:u w:val="none"/>
                    </w:rPr>
                    <w:t>投资</w:t>
                  </w:r>
                </w:p>
              </w:tc>
              <w:tc>
                <w:tcPr>
                  <w:tcW w:w="643" w:type="pct"/>
                  <w:tcBorders>
                    <w:tl2br w:val="nil"/>
                    <w:tr2bl w:val="nil"/>
                  </w:tcBorders>
                  <w:vAlign w:val="center"/>
                </w:tcPr>
                <w:p w14:paraId="359CEC33">
                  <w:pPr>
                    <w:adjustRightInd w:val="0"/>
                    <w:snapToGrid w:val="0"/>
                    <w:jc w:val="center"/>
                    <w:rPr>
                      <w:color w:val="FF0000"/>
                      <w:kern w:val="0"/>
                      <w:sz w:val="18"/>
                      <w:szCs w:val="18"/>
                      <w:u w:val="none"/>
                    </w:rPr>
                  </w:pPr>
                  <w:r>
                    <w:rPr>
                      <w:color w:val="FF0000"/>
                      <w:kern w:val="0"/>
                      <w:sz w:val="18"/>
                      <w:szCs w:val="18"/>
                      <w:u w:val="none"/>
                    </w:rPr>
                    <w:t>万元</w:t>
                  </w:r>
                </w:p>
              </w:tc>
              <w:tc>
                <w:tcPr>
                  <w:tcW w:w="944" w:type="pct"/>
                  <w:tcBorders>
                    <w:tl2br w:val="nil"/>
                    <w:tr2bl w:val="nil"/>
                  </w:tcBorders>
                  <w:vAlign w:val="center"/>
                </w:tcPr>
                <w:p w14:paraId="6D9310A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58084.67</w:t>
                  </w:r>
                </w:p>
              </w:tc>
              <w:tc>
                <w:tcPr>
                  <w:tcW w:w="653" w:type="pct"/>
                  <w:tcBorders>
                    <w:tl2br w:val="nil"/>
                    <w:tr2bl w:val="nil"/>
                  </w:tcBorders>
                  <w:vAlign w:val="center"/>
                </w:tcPr>
                <w:p w14:paraId="48403A66">
                  <w:pPr>
                    <w:adjustRightInd w:val="0"/>
                    <w:snapToGrid w:val="0"/>
                    <w:jc w:val="center"/>
                    <w:rPr>
                      <w:color w:val="FF0000"/>
                      <w:sz w:val="18"/>
                      <w:szCs w:val="18"/>
                      <w:highlight w:val="yellow"/>
                      <w:u w:val="none"/>
                    </w:rPr>
                  </w:pPr>
                </w:p>
              </w:tc>
            </w:tr>
            <w:tr w14:paraId="6D9076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A1CD1BA">
                  <w:pPr>
                    <w:jc w:val="center"/>
                    <w:rPr>
                      <w:color w:val="FF0000"/>
                      <w:kern w:val="0"/>
                      <w:sz w:val="18"/>
                      <w:szCs w:val="18"/>
                      <w:u w:val="none"/>
                    </w:rPr>
                  </w:pPr>
                </w:p>
              </w:tc>
              <w:tc>
                <w:tcPr>
                  <w:tcW w:w="2174" w:type="pct"/>
                  <w:gridSpan w:val="4"/>
                  <w:tcBorders>
                    <w:tl2br w:val="nil"/>
                    <w:tr2bl w:val="nil"/>
                  </w:tcBorders>
                  <w:vAlign w:val="center"/>
                </w:tcPr>
                <w:p w14:paraId="75B2A8B5">
                  <w:pPr>
                    <w:adjustRightInd w:val="0"/>
                    <w:snapToGrid w:val="0"/>
                    <w:jc w:val="center"/>
                    <w:rPr>
                      <w:color w:val="FF0000"/>
                      <w:kern w:val="0"/>
                      <w:sz w:val="18"/>
                      <w:szCs w:val="18"/>
                      <w:u w:val="none"/>
                    </w:rPr>
                  </w:pPr>
                  <w:r>
                    <w:rPr>
                      <w:rFonts w:hint="eastAsia"/>
                      <w:color w:val="FF0000"/>
                      <w:kern w:val="0"/>
                      <w:sz w:val="18"/>
                      <w:szCs w:val="18"/>
                      <w:u w:val="none"/>
                    </w:rPr>
                    <w:t>工程静态单位投资</w:t>
                  </w:r>
                </w:p>
              </w:tc>
              <w:tc>
                <w:tcPr>
                  <w:tcW w:w="643" w:type="pct"/>
                  <w:tcBorders>
                    <w:tl2br w:val="nil"/>
                    <w:tr2bl w:val="nil"/>
                  </w:tcBorders>
                  <w:vAlign w:val="center"/>
                </w:tcPr>
                <w:p w14:paraId="799D59A2">
                  <w:pPr>
                    <w:adjustRightInd w:val="0"/>
                    <w:snapToGrid w:val="0"/>
                    <w:jc w:val="center"/>
                    <w:rPr>
                      <w:color w:val="FF0000"/>
                      <w:kern w:val="0"/>
                      <w:sz w:val="18"/>
                      <w:szCs w:val="18"/>
                      <w:u w:val="none"/>
                    </w:rPr>
                  </w:pPr>
                  <w:r>
                    <w:rPr>
                      <w:rFonts w:hint="eastAsia"/>
                      <w:color w:val="FF0000"/>
                      <w:sz w:val="18"/>
                      <w:szCs w:val="18"/>
                      <w:u w:val="none"/>
                    </w:rPr>
                    <w:t>元/kW</w:t>
                  </w:r>
                </w:p>
              </w:tc>
              <w:tc>
                <w:tcPr>
                  <w:tcW w:w="944" w:type="pct"/>
                  <w:tcBorders>
                    <w:tl2br w:val="nil"/>
                    <w:tr2bl w:val="nil"/>
                  </w:tcBorders>
                  <w:vAlign w:val="center"/>
                </w:tcPr>
                <w:p w14:paraId="3BA89F4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7260.58</w:t>
                  </w:r>
                </w:p>
              </w:tc>
              <w:tc>
                <w:tcPr>
                  <w:tcW w:w="653" w:type="pct"/>
                  <w:tcBorders>
                    <w:tl2br w:val="nil"/>
                    <w:tr2bl w:val="nil"/>
                  </w:tcBorders>
                  <w:vAlign w:val="center"/>
                </w:tcPr>
                <w:p w14:paraId="404DC0A2">
                  <w:pPr>
                    <w:adjustRightInd w:val="0"/>
                    <w:snapToGrid w:val="0"/>
                    <w:jc w:val="center"/>
                    <w:rPr>
                      <w:color w:val="FF0000"/>
                      <w:sz w:val="18"/>
                      <w:szCs w:val="18"/>
                      <w:highlight w:val="yellow"/>
                      <w:u w:val="none"/>
                    </w:rPr>
                  </w:pPr>
                </w:p>
              </w:tc>
            </w:tr>
            <w:tr w14:paraId="24D956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E56B539">
                  <w:pPr>
                    <w:jc w:val="center"/>
                    <w:rPr>
                      <w:color w:val="FF0000"/>
                      <w:kern w:val="0"/>
                      <w:sz w:val="18"/>
                      <w:szCs w:val="18"/>
                      <w:u w:val="none"/>
                    </w:rPr>
                  </w:pPr>
                </w:p>
              </w:tc>
              <w:tc>
                <w:tcPr>
                  <w:tcW w:w="2174" w:type="pct"/>
                  <w:gridSpan w:val="4"/>
                  <w:tcBorders>
                    <w:tl2br w:val="nil"/>
                    <w:tr2bl w:val="nil"/>
                  </w:tcBorders>
                  <w:vAlign w:val="center"/>
                </w:tcPr>
                <w:p w14:paraId="1E149377">
                  <w:pPr>
                    <w:adjustRightInd w:val="0"/>
                    <w:snapToGrid w:val="0"/>
                    <w:jc w:val="center"/>
                    <w:rPr>
                      <w:color w:val="FF0000"/>
                      <w:kern w:val="0"/>
                      <w:sz w:val="18"/>
                      <w:szCs w:val="18"/>
                      <w:u w:val="none"/>
                    </w:rPr>
                  </w:pPr>
                  <w:r>
                    <w:rPr>
                      <w:rFonts w:hint="eastAsia"/>
                      <w:color w:val="FF0000"/>
                      <w:kern w:val="0"/>
                      <w:sz w:val="18"/>
                      <w:szCs w:val="18"/>
                      <w:u w:val="none"/>
                    </w:rPr>
                    <w:t>工程动态投资</w:t>
                  </w:r>
                </w:p>
              </w:tc>
              <w:tc>
                <w:tcPr>
                  <w:tcW w:w="643" w:type="pct"/>
                  <w:tcBorders>
                    <w:tl2br w:val="nil"/>
                    <w:tr2bl w:val="nil"/>
                  </w:tcBorders>
                  <w:vAlign w:val="center"/>
                </w:tcPr>
                <w:p w14:paraId="16737CEC">
                  <w:pPr>
                    <w:adjustRightInd w:val="0"/>
                    <w:snapToGrid w:val="0"/>
                    <w:jc w:val="center"/>
                    <w:rPr>
                      <w:color w:val="FF0000"/>
                      <w:kern w:val="0"/>
                      <w:sz w:val="18"/>
                      <w:szCs w:val="18"/>
                      <w:u w:val="none"/>
                    </w:rPr>
                  </w:pPr>
                  <w:r>
                    <w:rPr>
                      <w:color w:val="FF0000"/>
                      <w:kern w:val="0"/>
                      <w:sz w:val="18"/>
                      <w:szCs w:val="18"/>
                      <w:u w:val="none"/>
                    </w:rPr>
                    <w:t>万</w:t>
                  </w:r>
                  <w:r>
                    <w:rPr>
                      <w:rFonts w:hint="eastAsia"/>
                      <w:color w:val="FF0000"/>
                      <w:kern w:val="0"/>
                      <w:sz w:val="18"/>
                      <w:szCs w:val="18"/>
                      <w:u w:val="none"/>
                    </w:rPr>
                    <w:t>元</w:t>
                  </w:r>
                </w:p>
              </w:tc>
              <w:tc>
                <w:tcPr>
                  <w:tcW w:w="944" w:type="pct"/>
                  <w:tcBorders>
                    <w:tl2br w:val="nil"/>
                    <w:tr2bl w:val="nil"/>
                  </w:tcBorders>
                  <w:vAlign w:val="center"/>
                </w:tcPr>
                <w:p w14:paraId="6A95CFE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61953.36</w:t>
                  </w:r>
                </w:p>
              </w:tc>
              <w:tc>
                <w:tcPr>
                  <w:tcW w:w="653" w:type="pct"/>
                  <w:tcBorders>
                    <w:tl2br w:val="nil"/>
                    <w:tr2bl w:val="nil"/>
                  </w:tcBorders>
                  <w:vAlign w:val="center"/>
                </w:tcPr>
                <w:p w14:paraId="3B779693">
                  <w:pPr>
                    <w:adjustRightInd w:val="0"/>
                    <w:snapToGrid w:val="0"/>
                    <w:jc w:val="center"/>
                    <w:rPr>
                      <w:color w:val="FF0000"/>
                      <w:sz w:val="18"/>
                      <w:szCs w:val="18"/>
                      <w:highlight w:val="yellow"/>
                      <w:u w:val="none"/>
                    </w:rPr>
                  </w:pPr>
                </w:p>
              </w:tc>
            </w:tr>
            <w:tr w14:paraId="5A1DEF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B36338C">
                  <w:pPr>
                    <w:jc w:val="center"/>
                    <w:rPr>
                      <w:color w:val="FF0000"/>
                      <w:kern w:val="0"/>
                      <w:sz w:val="18"/>
                      <w:szCs w:val="18"/>
                      <w:u w:val="none"/>
                    </w:rPr>
                  </w:pPr>
                </w:p>
              </w:tc>
              <w:tc>
                <w:tcPr>
                  <w:tcW w:w="2174" w:type="pct"/>
                  <w:gridSpan w:val="4"/>
                  <w:tcBorders>
                    <w:tl2br w:val="nil"/>
                    <w:tr2bl w:val="nil"/>
                  </w:tcBorders>
                  <w:vAlign w:val="center"/>
                </w:tcPr>
                <w:p w14:paraId="210439EF">
                  <w:pPr>
                    <w:adjustRightInd w:val="0"/>
                    <w:snapToGrid w:val="0"/>
                    <w:jc w:val="center"/>
                    <w:rPr>
                      <w:color w:val="FF0000"/>
                      <w:kern w:val="0"/>
                      <w:sz w:val="18"/>
                      <w:szCs w:val="18"/>
                      <w:u w:val="none"/>
                    </w:rPr>
                  </w:pPr>
                  <w:r>
                    <w:rPr>
                      <w:rFonts w:hint="eastAsia"/>
                      <w:color w:val="FF0000"/>
                      <w:kern w:val="0"/>
                      <w:sz w:val="18"/>
                      <w:szCs w:val="18"/>
                      <w:u w:val="none"/>
                    </w:rPr>
                    <w:t>工程动态单位投资</w:t>
                  </w:r>
                </w:p>
              </w:tc>
              <w:tc>
                <w:tcPr>
                  <w:tcW w:w="643" w:type="pct"/>
                  <w:tcBorders>
                    <w:tl2br w:val="nil"/>
                    <w:tr2bl w:val="nil"/>
                  </w:tcBorders>
                  <w:vAlign w:val="center"/>
                </w:tcPr>
                <w:p w14:paraId="32CD67B4">
                  <w:pPr>
                    <w:adjustRightInd w:val="0"/>
                    <w:snapToGrid w:val="0"/>
                    <w:jc w:val="center"/>
                    <w:rPr>
                      <w:rFonts w:hint="default" w:eastAsia="宋体"/>
                      <w:color w:val="FF0000"/>
                      <w:kern w:val="0"/>
                      <w:sz w:val="18"/>
                      <w:szCs w:val="18"/>
                      <w:u w:val="none"/>
                      <w:lang w:val="en-US" w:eastAsia="zh-CN"/>
                    </w:rPr>
                  </w:pPr>
                  <w:r>
                    <w:rPr>
                      <w:color w:val="FF0000"/>
                      <w:kern w:val="0"/>
                      <w:sz w:val="18"/>
                      <w:szCs w:val="18"/>
                      <w:u w:val="none"/>
                    </w:rPr>
                    <w:t>元</w:t>
                  </w:r>
                  <w:r>
                    <w:rPr>
                      <w:rFonts w:hint="eastAsia"/>
                      <w:color w:val="FF0000"/>
                      <w:kern w:val="0"/>
                      <w:sz w:val="18"/>
                      <w:szCs w:val="18"/>
                      <w:u w:val="none"/>
                      <w:lang w:val="en-US" w:eastAsia="zh-CN"/>
                    </w:rPr>
                    <w:t>/kW</w:t>
                  </w:r>
                </w:p>
              </w:tc>
              <w:tc>
                <w:tcPr>
                  <w:tcW w:w="944" w:type="pct"/>
                  <w:tcBorders>
                    <w:tl2br w:val="nil"/>
                    <w:tr2bl w:val="nil"/>
                  </w:tcBorders>
                  <w:vAlign w:val="center"/>
                </w:tcPr>
                <w:p w14:paraId="671D55C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7361.63</w:t>
                  </w:r>
                </w:p>
              </w:tc>
              <w:tc>
                <w:tcPr>
                  <w:tcW w:w="653" w:type="pct"/>
                  <w:tcBorders>
                    <w:tl2br w:val="nil"/>
                    <w:tr2bl w:val="nil"/>
                  </w:tcBorders>
                  <w:vAlign w:val="center"/>
                </w:tcPr>
                <w:p w14:paraId="317ECD80">
                  <w:pPr>
                    <w:adjustRightInd w:val="0"/>
                    <w:snapToGrid w:val="0"/>
                    <w:jc w:val="center"/>
                    <w:rPr>
                      <w:color w:val="FF0000"/>
                      <w:sz w:val="18"/>
                      <w:szCs w:val="18"/>
                      <w:highlight w:val="yellow"/>
                      <w:u w:val="none"/>
                    </w:rPr>
                  </w:pPr>
                </w:p>
              </w:tc>
            </w:tr>
            <w:tr w14:paraId="5CA741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4B2B9ED">
                  <w:pPr>
                    <w:jc w:val="center"/>
                    <w:rPr>
                      <w:color w:val="FF0000"/>
                      <w:kern w:val="0"/>
                      <w:sz w:val="18"/>
                      <w:szCs w:val="18"/>
                      <w:u w:val="none"/>
                    </w:rPr>
                  </w:pPr>
                </w:p>
              </w:tc>
              <w:tc>
                <w:tcPr>
                  <w:tcW w:w="2174" w:type="pct"/>
                  <w:gridSpan w:val="4"/>
                  <w:tcBorders>
                    <w:tl2br w:val="nil"/>
                    <w:tr2bl w:val="nil"/>
                  </w:tcBorders>
                  <w:vAlign w:val="center"/>
                </w:tcPr>
                <w:p w14:paraId="677C1413">
                  <w:pPr>
                    <w:adjustRightInd w:val="0"/>
                    <w:snapToGrid w:val="0"/>
                    <w:jc w:val="center"/>
                    <w:rPr>
                      <w:color w:val="FF0000"/>
                      <w:kern w:val="0"/>
                      <w:sz w:val="18"/>
                      <w:szCs w:val="18"/>
                      <w:u w:val="none"/>
                    </w:rPr>
                  </w:pPr>
                  <w:r>
                    <w:rPr>
                      <w:rFonts w:hint="eastAsia"/>
                      <w:color w:val="FF0000"/>
                      <w:kern w:val="0"/>
                      <w:sz w:val="18"/>
                      <w:szCs w:val="18"/>
                      <w:u w:val="none"/>
                    </w:rPr>
                    <w:t>建设期贷款利息</w:t>
                  </w:r>
                </w:p>
              </w:tc>
              <w:tc>
                <w:tcPr>
                  <w:tcW w:w="643" w:type="pct"/>
                  <w:tcBorders>
                    <w:tl2br w:val="nil"/>
                    <w:tr2bl w:val="nil"/>
                  </w:tcBorders>
                  <w:vAlign w:val="center"/>
                </w:tcPr>
                <w:p w14:paraId="65844A50">
                  <w:pPr>
                    <w:adjustRightInd w:val="0"/>
                    <w:snapToGrid w:val="0"/>
                    <w:jc w:val="center"/>
                    <w:rPr>
                      <w:color w:val="FF0000"/>
                      <w:kern w:val="0"/>
                      <w:sz w:val="18"/>
                      <w:szCs w:val="18"/>
                      <w:u w:val="none"/>
                    </w:rPr>
                  </w:pPr>
                  <w:r>
                    <w:rPr>
                      <w:color w:val="FF0000"/>
                      <w:kern w:val="0"/>
                      <w:sz w:val="18"/>
                      <w:szCs w:val="18"/>
                      <w:u w:val="none"/>
                    </w:rPr>
                    <w:t>万元</w:t>
                  </w:r>
                </w:p>
              </w:tc>
              <w:tc>
                <w:tcPr>
                  <w:tcW w:w="944" w:type="pct"/>
                  <w:tcBorders>
                    <w:tl2br w:val="nil"/>
                    <w:tr2bl w:val="nil"/>
                  </w:tcBorders>
                  <w:vAlign w:val="center"/>
                </w:tcPr>
                <w:p w14:paraId="006A4ED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808.34</w:t>
                  </w:r>
                </w:p>
              </w:tc>
              <w:tc>
                <w:tcPr>
                  <w:tcW w:w="653" w:type="pct"/>
                  <w:tcBorders>
                    <w:tl2br w:val="nil"/>
                    <w:tr2bl w:val="nil"/>
                  </w:tcBorders>
                  <w:vAlign w:val="center"/>
                </w:tcPr>
                <w:p w14:paraId="1FAC43E4">
                  <w:pPr>
                    <w:adjustRightInd w:val="0"/>
                    <w:snapToGrid w:val="0"/>
                    <w:jc w:val="center"/>
                    <w:rPr>
                      <w:color w:val="FF0000"/>
                      <w:sz w:val="18"/>
                      <w:szCs w:val="18"/>
                      <w:highlight w:val="yellow"/>
                      <w:u w:val="none"/>
                    </w:rPr>
                  </w:pPr>
                </w:p>
              </w:tc>
            </w:tr>
            <w:tr w14:paraId="74A2E8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restart"/>
                  <w:tcBorders>
                    <w:tl2br w:val="nil"/>
                    <w:tr2bl w:val="nil"/>
                  </w:tcBorders>
                  <w:vAlign w:val="center"/>
                </w:tcPr>
                <w:p w14:paraId="471C1CA4">
                  <w:pPr>
                    <w:jc w:val="center"/>
                    <w:rPr>
                      <w:color w:val="FF0000"/>
                      <w:kern w:val="0"/>
                      <w:sz w:val="18"/>
                      <w:szCs w:val="18"/>
                      <w:u w:val="none"/>
                    </w:rPr>
                  </w:pPr>
                  <w:r>
                    <w:rPr>
                      <w:color w:val="FF0000"/>
                      <w:kern w:val="0"/>
                      <w:sz w:val="18"/>
                      <w:szCs w:val="18"/>
                      <w:u w:val="none"/>
                    </w:rPr>
                    <w:t>经</w:t>
                  </w:r>
                </w:p>
                <w:p w14:paraId="4245882E">
                  <w:pPr>
                    <w:jc w:val="center"/>
                    <w:rPr>
                      <w:color w:val="FF0000"/>
                      <w:kern w:val="0"/>
                      <w:sz w:val="18"/>
                      <w:szCs w:val="18"/>
                      <w:u w:val="none"/>
                    </w:rPr>
                  </w:pPr>
                  <w:r>
                    <w:rPr>
                      <w:color w:val="FF0000"/>
                      <w:kern w:val="0"/>
                      <w:sz w:val="18"/>
                      <w:szCs w:val="18"/>
                      <w:u w:val="none"/>
                    </w:rPr>
                    <w:t>济</w:t>
                  </w:r>
                </w:p>
                <w:p w14:paraId="643E41CF">
                  <w:pPr>
                    <w:jc w:val="center"/>
                    <w:rPr>
                      <w:color w:val="FF0000"/>
                      <w:kern w:val="0"/>
                      <w:sz w:val="18"/>
                      <w:szCs w:val="18"/>
                      <w:u w:val="none"/>
                    </w:rPr>
                  </w:pPr>
                  <w:r>
                    <w:rPr>
                      <w:color w:val="FF0000"/>
                      <w:kern w:val="0"/>
                      <w:sz w:val="18"/>
                      <w:szCs w:val="18"/>
                      <w:u w:val="none"/>
                    </w:rPr>
                    <w:t>指</w:t>
                  </w:r>
                </w:p>
                <w:p w14:paraId="4D85CD2B">
                  <w:pPr>
                    <w:jc w:val="center"/>
                    <w:rPr>
                      <w:color w:val="FF0000"/>
                      <w:kern w:val="0"/>
                      <w:sz w:val="18"/>
                      <w:szCs w:val="18"/>
                      <w:u w:val="none"/>
                    </w:rPr>
                  </w:pPr>
                  <w:r>
                    <w:rPr>
                      <w:color w:val="FF0000"/>
                      <w:kern w:val="0"/>
                      <w:sz w:val="18"/>
                      <w:szCs w:val="18"/>
                      <w:u w:val="none"/>
                    </w:rPr>
                    <w:t>标</w:t>
                  </w:r>
                </w:p>
              </w:tc>
              <w:tc>
                <w:tcPr>
                  <w:tcW w:w="2174" w:type="pct"/>
                  <w:gridSpan w:val="4"/>
                  <w:tcBorders>
                    <w:tl2br w:val="nil"/>
                    <w:tr2bl w:val="nil"/>
                  </w:tcBorders>
                  <w:vAlign w:val="center"/>
                </w:tcPr>
                <w:p w14:paraId="37C12CC3">
                  <w:pPr>
                    <w:adjustRightInd w:val="0"/>
                    <w:snapToGrid w:val="0"/>
                    <w:jc w:val="center"/>
                    <w:rPr>
                      <w:color w:val="FF0000"/>
                      <w:kern w:val="0"/>
                      <w:sz w:val="18"/>
                      <w:szCs w:val="18"/>
                      <w:u w:val="none"/>
                    </w:rPr>
                  </w:pPr>
                  <w:r>
                    <w:rPr>
                      <w:color w:val="FF0000"/>
                      <w:kern w:val="0"/>
                      <w:sz w:val="18"/>
                      <w:szCs w:val="18"/>
                      <w:u w:val="none"/>
                    </w:rPr>
                    <w:t>装机容</w:t>
                  </w:r>
                  <w:r>
                    <w:rPr>
                      <w:rFonts w:hint="eastAsia"/>
                      <w:color w:val="FF0000"/>
                      <w:kern w:val="0"/>
                      <w:sz w:val="18"/>
                      <w:szCs w:val="18"/>
                      <w:u w:val="none"/>
                    </w:rPr>
                    <w:t>量</w:t>
                  </w:r>
                </w:p>
              </w:tc>
              <w:tc>
                <w:tcPr>
                  <w:tcW w:w="643" w:type="pct"/>
                  <w:tcBorders>
                    <w:tl2br w:val="nil"/>
                    <w:tr2bl w:val="nil"/>
                  </w:tcBorders>
                  <w:vAlign w:val="center"/>
                </w:tcPr>
                <w:p w14:paraId="519ED8A0">
                  <w:pPr>
                    <w:adjustRightInd w:val="0"/>
                    <w:snapToGrid w:val="0"/>
                    <w:jc w:val="center"/>
                    <w:rPr>
                      <w:color w:val="FF0000"/>
                      <w:kern w:val="0"/>
                      <w:sz w:val="18"/>
                      <w:szCs w:val="18"/>
                      <w:u w:val="none"/>
                    </w:rPr>
                  </w:pPr>
                  <w:r>
                    <w:rPr>
                      <w:color w:val="FF0000"/>
                      <w:kern w:val="0"/>
                      <w:sz w:val="18"/>
                      <w:szCs w:val="18"/>
                      <w:u w:val="none"/>
                    </w:rPr>
                    <w:t>MW</w:t>
                  </w:r>
                </w:p>
              </w:tc>
              <w:tc>
                <w:tcPr>
                  <w:tcW w:w="944" w:type="pct"/>
                  <w:tcBorders>
                    <w:tl2br w:val="nil"/>
                    <w:tr2bl w:val="nil"/>
                  </w:tcBorders>
                  <w:vAlign w:val="center"/>
                </w:tcPr>
                <w:p w14:paraId="2919CF9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80</w:t>
                  </w:r>
                </w:p>
              </w:tc>
              <w:tc>
                <w:tcPr>
                  <w:tcW w:w="653" w:type="pct"/>
                  <w:tcBorders>
                    <w:tl2br w:val="nil"/>
                    <w:tr2bl w:val="nil"/>
                  </w:tcBorders>
                  <w:vAlign w:val="center"/>
                </w:tcPr>
                <w:p w14:paraId="73EF0E2A">
                  <w:pPr>
                    <w:adjustRightInd w:val="0"/>
                    <w:snapToGrid w:val="0"/>
                    <w:jc w:val="center"/>
                    <w:rPr>
                      <w:color w:val="FF0000"/>
                      <w:sz w:val="18"/>
                      <w:szCs w:val="18"/>
                      <w:highlight w:val="yellow"/>
                      <w:u w:val="none"/>
                    </w:rPr>
                  </w:pPr>
                </w:p>
              </w:tc>
            </w:tr>
            <w:tr w14:paraId="1A6E5E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56A6E767">
                  <w:pPr>
                    <w:jc w:val="center"/>
                    <w:rPr>
                      <w:color w:val="FF0000"/>
                      <w:kern w:val="0"/>
                      <w:sz w:val="18"/>
                      <w:szCs w:val="18"/>
                      <w:u w:val="none"/>
                    </w:rPr>
                  </w:pPr>
                </w:p>
              </w:tc>
              <w:tc>
                <w:tcPr>
                  <w:tcW w:w="2174" w:type="pct"/>
                  <w:gridSpan w:val="4"/>
                  <w:tcBorders>
                    <w:tl2br w:val="nil"/>
                    <w:tr2bl w:val="nil"/>
                  </w:tcBorders>
                  <w:vAlign w:val="center"/>
                </w:tcPr>
                <w:p w14:paraId="250015A3">
                  <w:pPr>
                    <w:adjustRightInd w:val="0"/>
                    <w:snapToGrid w:val="0"/>
                    <w:jc w:val="center"/>
                    <w:rPr>
                      <w:color w:val="FF0000"/>
                      <w:kern w:val="0"/>
                      <w:sz w:val="18"/>
                      <w:szCs w:val="18"/>
                      <w:u w:val="none"/>
                    </w:rPr>
                  </w:pPr>
                  <w:r>
                    <w:rPr>
                      <w:color w:val="FF0000"/>
                      <w:kern w:val="0"/>
                      <w:sz w:val="18"/>
                      <w:szCs w:val="18"/>
                      <w:u w:val="none"/>
                    </w:rPr>
                    <w:t>年上网电量</w:t>
                  </w:r>
                </w:p>
              </w:tc>
              <w:tc>
                <w:tcPr>
                  <w:tcW w:w="643" w:type="pct"/>
                  <w:tcBorders>
                    <w:tl2br w:val="nil"/>
                    <w:tr2bl w:val="nil"/>
                  </w:tcBorders>
                  <w:vAlign w:val="center"/>
                </w:tcPr>
                <w:p w14:paraId="7DC3DC68">
                  <w:pPr>
                    <w:adjustRightInd w:val="0"/>
                    <w:snapToGrid w:val="0"/>
                    <w:jc w:val="center"/>
                    <w:rPr>
                      <w:color w:val="FF0000"/>
                      <w:kern w:val="0"/>
                      <w:sz w:val="18"/>
                      <w:szCs w:val="18"/>
                      <w:u w:val="none"/>
                    </w:rPr>
                  </w:pPr>
                  <w:r>
                    <w:rPr>
                      <w:rFonts w:hint="eastAsia"/>
                      <w:color w:val="FF0000"/>
                      <w:kern w:val="0"/>
                      <w:sz w:val="18"/>
                      <w:szCs w:val="18"/>
                      <w:u w:val="none"/>
                    </w:rPr>
                    <w:t>GW·h</w:t>
                  </w:r>
                </w:p>
              </w:tc>
              <w:tc>
                <w:tcPr>
                  <w:tcW w:w="944" w:type="pct"/>
                  <w:tcBorders>
                    <w:tl2br w:val="nil"/>
                    <w:tr2bl w:val="nil"/>
                  </w:tcBorders>
                  <w:vAlign w:val="center"/>
                </w:tcPr>
                <w:p w14:paraId="7FB86C3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152.64</w:t>
                  </w:r>
                </w:p>
              </w:tc>
              <w:tc>
                <w:tcPr>
                  <w:tcW w:w="653" w:type="pct"/>
                  <w:tcBorders>
                    <w:tl2br w:val="nil"/>
                    <w:tr2bl w:val="nil"/>
                  </w:tcBorders>
                  <w:vAlign w:val="center"/>
                </w:tcPr>
                <w:p w14:paraId="1AC30712">
                  <w:pPr>
                    <w:adjustRightInd w:val="0"/>
                    <w:snapToGrid w:val="0"/>
                    <w:jc w:val="center"/>
                    <w:rPr>
                      <w:color w:val="FF0000"/>
                      <w:sz w:val="18"/>
                      <w:szCs w:val="18"/>
                      <w:highlight w:val="yellow"/>
                      <w:u w:val="none"/>
                    </w:rPr>
                  </w:pPr>
                </w:p>
              </w:tc>
            </w:tr>
            <w:tr w14:paraId="2D3380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C88895B">
                  <w:pPr>
                    <w:jc w:val="center"/>
                    <w:rPr>
                      <w:color w:val="FF0000"/>
                      <w:kern w:val="0"/>
                      <w:sz w:val="18"/>
                      <w:szCs w:val="18"/>
                      <w:u w:val="none"/>
                    </w:rPr>
                  </w:pPr>
                </w:p>
              </w:tc>
              <w:tc>
                <w:tcPr>
                  <w:tcW w:w="2174" w:type="pct"/>
                  <w:gridSpan w:val="4"/>
                  <w:tcBorders>
                    <w:tl2br w:val="nil"/>
                    <w:tr2bl w:val="nil"/>
                  </w:tcBorders>
                  <w:vAlign w:val="center"/>
                </w:tcPr>
                <w:p w14:paraId="4A1C93FA">
                  <w:pPr>
                    <w:adjustRightInd w:val="0"/>
                    <w:snapToGrid w:val="0"/>
                    <w:jc w:val="center"/>
                    <w:rPr>
                      <w:color w:val="FF0000"/>
                      <w:kern w:val="0"/>
                      <w:sz w:val="18"/>
                      <w:szCs w:val="18"/>
                      <w:u w:val="none"/>
                    </w:rPr>
                  </w:pPr>
                  <w:r>
                    <w:rPr>
                      <w:color w:val="FF0000"/>
                      <w:kern w:val="0"/>
                      <w:sz w:val="18"/>
                      <w:szCs w:val="18"/>
                      <w:u w:val="none"/>
                    </w:rPr>
                    <w:t>年等效满负荷小时</w:t>
                  </w:r>
                </w:p>
              </w:tc>
              <w:tc>
                <w:tcPr>
                  <w:tcW w:w="643" w:type="pct"/>
                  <w:tcBorders>
                    <w:tl2br w:val="nil"/>
                    <w:tr2bl w:val="nil"/>
                  </w:tcBorders>
                  <w:vAlign w:val="center"/>
                </w:tcPr>
                <w:p w14:paraId="7EC72665">
                  <w:pPr>
                    <w:adjustRightInd w:val="0"/>
                    <w:snapToGrid w:val="0"/>
                    <w:jc w:val="center"/>
                    <w:rPr>
                      <w:color w:val="FF0000"/>
                      <w:kern w:val="0"/>
                      <w:sz w:val="18"/>
                      <w:szCs w:val="18"/>
                      <w:u w:val="none"/>
                    </w:rPr>
                  </w:pPr>
                  <w:r>
                    <w:rPr>
                      <w:color w:val="FF0000"/>
                      <w:kern w:val="0"/>
                      <w:sz w:val="18"/>
                      <w:szCs w:val="18"/>
                      <w:u w:val="none"/>
                    </w:rPr>
                    <w:t>h</w:t>
                  </w:r>
                </w:p>
              </w:tc>
              <w:tc>
                <w:tcPr>
                  <w:tcW w:w="944" w:type="pct"/>
                  <w:tcBorders>
                    <w:tl2br w:val="nil"/>
                    <w:tr2bl w:val="nil"/>
                  </w:tcBorders>
                  <w:vAlign w:val="center"/>
                </w:tcPr>
                <w:p w14:paraId="4AF3C38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1908</w:t>
                  </w:r>
                </w:p>
              </w:tc>
              <w:tc>
                <w:tcPr>
                  <w:tcW w:w="653" w:type="pct"/>
                  <w:tcBorders>
                    <w:tl2br w:val="nil"/>
                    <w:tr2bl w:val="nil"/>
                  </w:tcBorders>
                  <w:vAlign w:val="center"/>
                </w:tcPr>
                <w:p w14:paraId="15F2510E">
                  <w:pPr>
                    <w:adjustRightInd w:val="0"/>
                    <w:snapToGrid w:val="0"/>
                    <w:jc w:val="center"/>
                    <w:rPr>
                      <w:color w:val="FF0000"/>
                      <w:sz w:val="18"/>
                      <w:szCs w:val="18"/>
                      <w:highlight w:val="yellow"/>
                      <w:u w:val="none"/>
                    </w:rPr>
                  </w:pPr>
                </w:p>
              </w:tc>
            </w:tr>
            <w:tr w14:paraId="65D79A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36F634C4">
                  <w:pPr>
                    <w:jc w:val="center"/>
                    <w:rPr>
                      <w:color w:val="FF0000"/>
                      <w:kern w:val="0"/>
                      <w:sz w:val="18"/>
                      <w:szCs w:val="18"/>
                      <w:u w:val="none"/>
                    </w:rPr>
                  </w:pPr>
                </w:p>
              </w:tc>
              <w:tc>
                <w:tcPr>
                  <w:tcW w:w="977" w:type="pct"/>
                  <w:gridSpan w:val="2"/>
                  <w:vMerge w:val="restart"/>
                  <w:tcBorders>
                    <w:tl2br w:val="nil"/>
                    <w:tr2bl w:val="nil"/>
                  </w:tcBorders>
                  <w:vAlign w:val="center"/>
                </w:tcPr>
                <w:p w14:paraId="1FC83097">
                  <w:pPr>
                    <w:adjustRightInd w:val="0"/>
                    <w:snapToGrid w:val="0"/>
                    <w:jc w:val="center"/>
                    <w:rPr>
                      <w:color w:val="FF0000"/>
                      <w:kern w:val="0"/>
                      <w:sz w:val="18"/>
                      <w:szCs w:val="18"/>
                      <w:u w:val="none"/>
                    </w:rPr>
                  </w:pPr>
                  <w:r>
                    <w:rPr>
                      <w:color w:val="FF0000"/>
                      <w:kern w:val="0"/>
                      <w:sz w:val="18"/>
                      <w:szCs w:val="18"/>
                      <w:u w:val="none"/>
                    </w:rPr>
                    <w:t>盈利能力指标</w:t>
                  </w:r>
                </w:p>
              </w:tc>
              <w:tc>
                <w:tcPr>
                  <w:tcW w:w="1197" w:type="pct"/>
                  <w:gridSpan w:val="2"/>
                  <w:tcBorders>
                    <w:tl2br w:val="nil"/>
                    <w:tr2bl w:val="nil"/>
                  </w:tcBorders>
                  <w:vAlign w:val="center"/>
                </w:tcPr>
                <w:p w14:paraId="4A6F1E22">
                  <w:pPr>
                    <w:adjustRightInd w:val="0"/>
                    <w:snapToGrid w:val="0"/>
                    <w:jc w:val="center"/>
                    <w:rPr>
                      <w:color w:val="FF0000"/>
                      <w:kern w:val="0"/>
                      <w:sz w:val="18"/>
                      <w:szCs w:val="18"/>
                      <w:u w:val="none"/>
                    </w:rPr>
                  </w:pPr>
                  <w:r>
                    <w:rPr>
                      <w:rFonts w:hint="eastAsia"/>
                      <w:color w:val="FF0000"/>
                      <w:kern w:val="0"/>
                      <w:sz w:val="18"/>
                      <w:szCs w:val="18"/>
                      <w:u w:val="none"/>
                      <w:lang w:val="en-US" w:eastAsia="zh-CN"/>
                    </w:rPr>
                    <w:t>投资财务</w:t>
                  </w:r>
                  <w:r>
                    <w:rPr>
                      <w:rFonts w:hint="eastAsia"/>
                      <w:color w:val="FF0000"/>
                      <w:kern w:val="0"/>
                      <w:sz w:val="18"/>
                      <w:szCs w:val="18"/>
                      <w:u w:val="none"/>
                    </w:rPr>
                    <w:t>内部收益率（税后</w:t>
                  </w:r>
                  <w:r>
                    <w:rPr>
                      <w:rFonts w:hint="eastAsia"/>
                      <w:color w:val="FF0000"/>
                      <w:kern w:val="0"/>
                      <w:sz w:val="18"/>
                      <w:szCs w:val="18"/>
                      <w:u w:val="none"/>
                      <w:lang w:eastAsia="zh-CN"/>
                    </w:rPr>
                    <w:t>，</w:t>
                  </w:r>
                  <w:r>
                    <w:rPr>
                      <w:rFonts w:hint="eastAsia"/>
                      <w:color w:val="FF0000"/>
                      <w:kern w:val="0"/>
                      <w:sz w:val="18"/>
                      <w:szCs w:val="18"/>
                      <w:u w:val="none"/>
                      <w:lang w:val="en-US" w:eastAsia="zh-CN"/>
                    </w:rPr>
                    <w:t>下同</w:t>
                  </w:r>
                  <w:r>
                    <w:rPr>
                      <w:rFonts w:hint="eastAsia"/>
                      <w:color w:val="FF0000"/>
                      <w:kern w:val="0"/>
                      <w:sz w:val="18"/>
                      <w:szCs w:val="18"/>
                      <w:u w:val="none"/>
                    </w:rPr>
                    <w:t>）</w:t>
                  </w:r>
                </w:p>
              </w:tc>
              <w:tc>
                <w:tcPr>
                  <w:tcW w:w="643" w:type="pct"/>
                  <w:tcBorders>
                    <w:tl2br w:val="nil"/>
                    <w:tr2bl w:val="nil"/>
                  </w:tcBorders>
                  <w:vAlign w:val="center"/>
                </w:tcPr>
                <w:p w14:paraId="54BD04BF">
                  <w:pPr>
                    <w:adjustRightInd w:val="0"/>
                    <w:snapToGrid w:val="0"/>
                    <w:jc w:val="center"/>
                    <w:rPr>
                      <w:color w:val="FF0000"/>
                      <w:kern w:val="0"/>
                      <w:sz w:val="18"/>
                      <w:szCs w:val="18"/>
                      <w:u w:val="none"/>
                    </w:rPr>
                  </w:pPr>
                  <w:r>
                    <w:rPr>
                      <w:color w:val="FF0000"/>
                      <w:kern w:val="0"/>
                      <w:sz w:val="18"/>
                      <w:szCs w:val="18"/>
                      <w:u w:val="none"/>
                    </w:rPr>
                    <w:t>%</w:t>
                  </w:r>
                </w:p>
              </w:tc>
              <w:tc>
                <w:tcPr>
                  <w:tcW w:w="944" w:type="pct"/>
                  <w:tcBorders>
                    <w:tl2br w:val="nil"/>
                    <w:tr2bl w:val="nil"/>
                  </w:tcBorders>
                  <w:vAlign w:val="center"/>
                </w:tcPr>
                <w:p w14:paraId="5353B62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5.41</w:t>
                  </w:r>
                </w:p>
              </w:tc>
              <w:tc>
                <w:tcPr>
                  <w:tcW w:w="653" w:type="pct"/>
                  <w:vMerge w:val="restart"/>
                  <w:tcBorders>
                    <w:tl2br w:val="nil"/>
                    <w:tr2bl w:val="nil"/>
                  </w:tcBorders>
                  <w:vAlign w:val="center"/>
                </w:tcPr>
                <w:p w14:paraId="1AAEBD0E">
                  <w:pPr>
                    <w:adjustRightInd w:val="0"/>
                    <w:snapToGrid w:val="0"/>
                    <w:jc w:val="center"/>
                    <w:rPr>
                      <w:rFonts w:hint="default"/>
                      <w:color w:val="FF0000"/>
                      <w:sz w:val="18"/>
                      <w:szCs w:val="18"/>
                      <w:u w:val="none"/>
                      <w:lang w:val="en-US" w:eastAsia="zh-CN"/>
                    </w:rPr>
                  </w:pPr>
                  <w:r>
                    <w:rPr>
                      <w:rFonts w:hint="eastAsia"/>
                      <w:color w:val="FF0000"/>
                      <w:sz w:val="18"/>
                      <w:szCs w:val="18"/>
                      <w:u w:val="none"/>
                      <w:lang w:val="en-US" w:eastAsia="zh-CN"/>
                    </w:rPr>
                    <w:t>按0.45元/kWh计</w:t>
                  </w:r>
                </w:p>
              </w:tc>
            </w:tr>
            <w:tr w14:paraId="5039FA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2362C17">
                  <w:pPr>
                    <w:jc w:val="center"/>
                    <w:rPr>
                      <w:color w:val="FF0000"/>
                      <w:kern w:val="0"/>
                      <w:sz w:val="18"/>
                      <w:szCs w:val="18"/>
                      <w:u w:val="none"/>
                    </w:rPr>
                  </w:pPr>
                </w:p>
              </w:tc>
              <w:tc>
                <w:tcPr>
                  <w:tcW w:w="977" w:type="pct"/>
                  <w:gridSpan w:val="2"/>
                  <w:vMerge w:val="continue"/>
                  <w:tcBorders>
                    <w:tl2br w:val="nil"/>
                    <w:tr2bl w:val="nil"/>
                  </w:tcBorders>
                  <w:vAlign w:val="center"/>
                </w:tcPr>
                <w:p w14:paraId="7E21015B">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7C470D9D">
                  <w:pPr>
                    <w:adjustRightInd w:val="0"/>
                    <w:snapToGrid w:val="0"/>
                    <w:jc w:val="center"/>
                    <w:rPr>
                      <w:rFonts w:hint="default"/>
                      <w:color w:val="FF0000"/>
                      <w:kern w:val="0"/>
                      <w:sz w:val="18"/>
                      <w:szCs w:val="18"/>
                      <w:u w:val="none"/>
                      <w:lang w:val="en-US" w:eastAsia="zh-CN"/>
                    </w:rPr>
                  </w:pPr>
                  <w:r>
                    <w:rPr>
                      <w:rFonts w:hint="eastAsia"/>
                      <w:color w:val="FF0000"/>
                      <w:kern w:val="0"/>
                      <w:sz w:val="18"/>
                      <w:szCs w:val="18"/>
                      <w:u w:val="none"/>
                      <w:lang w:val="en-US" w:eastAsia="zh-CN"/>
                    </w:rPr>
                    <w:t>资本金财务内部收益率</w:t>
                  </w:r>
                </w:p>
              </w:tc>
              <w:tc>
                <w:tcPr>
                  <w:tcW w:w="643" w:type="pct"/>
                  <w:tcBorders>
                    <w:tl2br w:val="nil"/>
                    <w:tr2bl w:val="nil"/>
                  </w:tcBorders>
                  <w:vAlign w:val="center"/>
                </w:tcPr>
                <w:p w14:paraId="6504820C">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w:t>
                  </w:r>
                </w:p>
              </w:tc>
              <w:tc>
                <w:tcPr>
                  <w:tcW w:w="944" w:type="pct"/>
                  <w:tcBorders>
                    <w:tl2br w:val="nil"/>
                    <w:tr2bl w:val="nil"/>
                  </w:tcBorders>
                  <w:vAlign w:val="center"/>
                </w:tcPr>
                <w:p w14:paraId="629F62CA">
                  <w:pPr>
                    <w:adjustRightInd w:val="0"/>
                    <w:snapToGrid w:val="0"/>
                    <w:jc w:val="center"/>
                    <w:rPr>
                      <w:rFonts w:hint="default"/>
                      <w:color w:val="FF0000"/>
                      <w:sz w:val="18"/>
                      <w:szCs w:val="18"/>
                      <w:u w:val="none"/>
                      <w:lang w:val="en-US" w:eastAsia="zh-CN"/>
                    </w:rPr>
                  </w:pPr>
                  <w:r>
                    <w:rPr>
                      <w:rFonts w:hint="eastAsia"/>
                      <w:color w:val="FF0000"/>
                      <w:sz w:val="18"/>
                      <w:szCs w:val="18"/>
                      <w:u w:val="none"/>
                      <w:lang w:val="en-US" w:eastAsia="zh-CN"/>
                    </w:rPr>
                    <w:t>8.02</w:t>
                  </w:r>
                </w:p>
              </w:tc>
              <w:tc>
                <w:tcPr>
                  <w:tcW w:w="653" w:type="pct"/>
                  <w:vMerge w:val="continue"/>
                  <w:tcBorders>
                    <w:tl2br w:val="nil"/>
                    <w:tr2bl w:val="nil"/>
                  </w:tcBorders>
                  <w:vAlign w:val="center"/>
                </w:tcPr>
                <w:p w14:paraId="28C2B98A">
                  <w:pPr>
                    <w:adjustRightInd w:val="0"/>
                    <w:snapToGrid w:val="0"/>
                    <w:jc w:val="center"/>
                    <w:rPr>
                      <w:rFonts w:hint="eastAsia"/>
                      <w:color w:val="FF0000"/>
                      <w:sz w:val="18"/>
                      <w:szCs w:val="18"/>
                      <w:u w:val="none"/>
                      <w:lang w:val="en-US" w:eastAsia="zh-CN"/>
                    </w:rPr>
                  </w:pPr>
                </w:p>
              </w:tc>
            </w:tr>
            <w:tr w14:paraId="272955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7E6309B2">
                  <w:pPr>
                    <w:jc w:val="center"/>
                    <w:rPr>
                      <w:color w:val="FF0000"/>
                      <w:kern w:val="0"/>
                      <w:sz w:val="18"/>
                      <w:szCs w:val="18"/>
                      <w:u w:val="none"/>
                    </w:rPr>
                  </w:pPr>
                </w:p>
              </w:tc>
              <w:tc>
                <w:tcPr>
                  <w:tcW w:w="977" w:type="pct"/>
                  <w:gridSpan w:val="2"/>
                  <w:vMerge w:val="continue"/>
                  <w:tcBorders>
                    <w:tl2br w:val="nil"/>
                    <w:tr2bl w:val="nil"/>
                  </w:tcBorders>
                  <w:vAlign w:val="center"/>
                </w:tcPr>
                <w:p w14:paraId="06EBDA49">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642B7757">
                  <w:pPr>
                    <w:adjustRightInd w:val="0"/>
                    <w:snapToGrid w:val="0"/>
                    <w:jc w:val="center"/>
                    <w:rPr>
                      <w:rFonts w:hint="default" w:eastAsia="宋体"/>
                      <w:color w:val="FF0000"/>
                      <w:kern w:val="0"/>
                      <w:sz w:val="18"/>
                      <w:szCs w:val="18"/>
                      <w:u w:val="none"/>
                      <w:lang w:val="en-US" w:eastAsia="zh-CN"/>
                    </w:rPr>
                  </w:pPr>
                  <w:r>
                    <w:rPr>
                      <w:rFonts w:hint="eastAsia"/>
                      <w:color w:val="FF0000"/>
                      <w:kern w:val="0"/>
                      <w:sz w:val="18"/>
                      <w:szCs w:val="18"/>
                      <w:u w:val="none"/>
                      <w:lang w:val="en-US" w:eastAsia="zh-CN"/>
                    </w:rPr>
                    <w:t>投资回报期（税后）</w:t>
                  </w:r>
                </w:p>
              </w:tc>
              <w:tc>
                <w:tcPr>
                  <w:tcW w:w="643" w:type="pct"/>
                  <w:tcBorders>
                    <w:tl2br w:val="nil"/>
                    <w:tr2bl w:val="nil"/>
                  </w:tcBorders>
                  <w:vAlign w:val="center"/>
                </w:tcPr>
                <w:p w14:paraId="015056EE">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年</w:t>
                  </w:r>
                </w:p>
              </w:tc>
              <w:tc>
                <w:tcPr>
                  <w:tcW w:w="944" w:type="pct"/>
                  <w:tcBorders>
                    <w:tl2br w:val="nil"/>
                    <w:tr2bl w:val="nil"/>
                  </w:tcBorders>
                  <w:vAlign w:val="center"/>
                </w:tcPr>
                <w:p w14:paraId="6BC71D6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13</w:t>
                  </w:r>
                </w:p>
              </w:tc>
              <w:tc>
                <w:tcPr>
                  <w:tcW w:w="653" w:type="pct"/>
                  <w:vMerge w:val="continue"/>
                  <w:tcBorders>
                    <w:tl2br w:val="nil"/>
                    <w:tr2bl w:val="nil"/>
                  </w:tcBorders>
                  <w:vAlign w:val="center"/>
                </w:tcPr>
                <w:p w14:paraId="065A9D0F">
                  <w:pPr>
                    <w:adjustRightInd w:val="0"/>
                    <w:snapToGrid w:val="0"/>
                    <w:jc w:val="center"/>
                    <w:rPr>
                      <w:rFonts w:hint="eastAsia"/>
                      <w:color w:val="FF0000"/>
                      <w:sz w:val="18"/>
                      <w:szCs w:val="18"/>
                      <w:u w:val="none"/>
                    </w:rPr>
                  </w:pPr>
                </w:p>
              </w:tc>
            </w:tr>
            <w:tr w14:paraId="229FAA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A1CA4EA">
                  <w:pPr>
                    <w:jc w:val="center"/>
                    <w:rPr>
                      <w:color w:val="FF0000"/>
                      <w:kern w:val="0"/>
                      <w:sz w:val="18"/>
                      <w:szCs w:val="18"/>
                      <w:u w:val="none"/>
                    </w:rPr>
                  </w:pPr>
                </w:p>
              </w:tc>
              <w:tc>
                <w:tcPr>
                  <w:tcW w:w="977" w:type="pct"/>
                  <w:gridSpan w:val="2"/>
                  <w:vMerge w:val="continue"/>
                  <w:tcBorders>
                    <w:tl2br w:val="nil"/>
                    <w:tr2bl w:val="nil"/>
                  </w:tcBorders>
                  <w:vAlign w:val="center"/>
                </w:tcPr>
                <w:p w14:paraId="24D6639E">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09F0D4A5">
                  <w:pPr>
                    <w:adjustRightInd w:val="0"/>
                    <w:snapToGrid w:val="0"/>
                    <w:jc w:val="center"/>
                    <w:rPr>
                      <w:rFonts w:hint="default" w:eastAsia="宋体"/>
                      <w:color w:val="FF0000"/>
                      <w:kern w:val="0"/>
                      <w:sz w:val="18"/>
                      <w:szCs w:val="18"/>
                      <w:u w:val="none"/>
                      <w:lang w:val="en-US" w:eastAsia="zh-CN"/>
                    </w:rPr>
                  </w:pPr>
                  <w:r>
                    <w:rPr>
                      <w:rFonts w:hint="eastAsia"/>
                      <w:color w:val="FF0000"/>
                      <w:kern w:val="0"/>
                      <w:sz w:val="18"/>
                      <w:szCs w:val="18"/>
                      <w:u w:val="none"/>
                      <w:lang w:val="en-US" w:eastAsia="zh-CN"/>
                    </w:rPr>
                    <w:t>总投资收益率</w:t>
                  </w:r>
                </w:p>
              </w:tc>
              <w:tc>
                <w:tcPr>
                  <w:tcW w:w="643" w:type="pct"/>
                  <w:tcBorders>
                    <w:tl2br w:val="nil"/>
                    <w:tr2bl w:val="nil"/>
                  </w:tcBorders>
                  <w:vAlign w:val="center"/>
                </w:tcPr>
                <w:p w14:paraId="295E7A88">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w:t>
                  </w:r>
                </w:p>
              </w:tc>
              <w:tc>
                <w:tcPr>
                  <w:tcW w:w="944" w:type="pct"/>
                  <w:tcBorders>
                    <w:tl2br w:val="nil"/>
                    <w:tr2bl w:val="nil"/>
                  </w:tcBorders>
                  <w:vAlign w:val="center"/>
                </w:tcPr>
                <w:p w14:paraId="25DC306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3.78</w:t>
                  </w:r>
                </w:p>
              </w:tc>
              <w:tc>
                <w:tcPr>
                  <w:tcW w:w="653" w:type="pct"/>
                  <w:vMerge w:val="continue"/>
                  <w:tcBorders>
                    <w:tl2br w:val="nil"/>
                    <w:tr2bl w:val="nil"/>
                  </w:tcBorders>
                  <w:vAlign w:val="center"/>
                </w:tcPr>
                <w:p w14:paraId="509AE8C5">
                  <w:pPr>
                    <w:adjustRightInd w:val="0"/>
                    <w:snapToGrid w:val="0"/>
                    <w:jc w:val="center"/>
                    <w:rPr>
                      <w:rFonts w:hint="eastAsia"/>
                      <w:color w:val="FF0000"/>
                      <w:sz w:val="18"/>
                      <w:szCs w:val="18"/>
                      <w:u w:val="none"/>
                    </w:rPr>
                  </w:pPr>
                </w:p>
              </w:tc>
            </w:tr>
            <w:tr w14:paraId="032C85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61AAA658">
                  <w:pPr>
                    <w:jc w:val="center"/>
                    <w:rPr>
                      <w:color w:val="FF0000"/>
                      <w:kern w:val="0"/>
                      <w:sz w:val="18"/>
                      <w:szCs w:val="18"/>
                      <w:u w:val="none"/>
                    </w:rPr>
                  </w:pPr>
                </w:p>
              </w:tc>
              <w:tc>
                <w:tcPr>
                  <w:tcW w:w="977" w:type="pct"/>
                  <w:gridSpan w:val="2"/>
                  <w:vMerge w:val="continue"/>
                  <w:tcBorders>
                    <w:tl2br w:val="nil"/>
                    <w:tr2bl w:val="nil"/>
                  </w:tcBorders>
                  <w:vAlign w:val="center"/>
                </w:tcPr>
                <w:p w14:paraId="381A5179">
                  <w:pPr>
                    <w:adjustRightInd w:val="0"/>
                    <w:snapToGrid w:val="0"/>
                    <w:jc w:val="center"/>
                    <w:rPr>
                      <w:color w:val="FF0000"/>
                      <w:kern w:val="0"/>
                      <w:sz w:val="18"/>
                      <w:szCs w:val="18"/>
                      <w:u w:val="none"/>
                    </w:rPr>
                  </w:pPr>
                </w:p>
              </w:tc>
              <w:tc>
                <w:tcPr>
                  <w:tcW w:w="1197" w:type="pct"/>
                  <w:gridSpan w:val="2"/>
                  <w:tcBorders>
                    <w:tl2br w:val="nil"/>
                    <w:tr2bl w:val="nil"/>
                  </w:tcBorders>
                  <w:vAlign w:val="center"/>
                </w:tcPr>
                <w:p w14:paraId="09A65A74">
                  <w:pPr>
                    <w:adjustRightInd w:val="0"/>
                    <w:snapToGrid w:val="0"/>
                    <w:jc w:val="center"/>
                    <w:rPr>
                      <w:rFonts w:hint="default" w:eastAsia="宋体"/>
                      <w:color w:val="FF0000"/>
                      <w:kern w:val="0"/>
                      <w:sz w:val="18"/>
                      <w:szCs w:val="18"/>
                      <w:u w:val="none"/>
                      <w:lang w:val="en-US" w:eastAsia="zh-CN"/>
                    </w:rPr>
                  </w:pPr>
                  <w:r>
                    <w:rPr>
                      <w:rFonts w:hint="eastAsia"/>
                      <w:color w:val="FF0000"/>
                      <w:kern w:val="0"/>
                      <w:sz w:val="18"/>
                      <w:szCs w:val="18"/>
                      <w:u w:val="none"/>
                      <w:lang w:val="en-US" w:eastAsia="zh-CN"/>
                    </w:rPr>
                    <w:t>资本金净利润率</w:t>
                  </w:r>
                </w:p>
              </w:tc>
              <w:tc>
                <w:tcPr>
                  <w:tcW w:w="643" w:type="pct"/>
                  <w:tcBorders>
                    <w:tl2br w:val="nil"/>
                    <w:tr2bl w:val="nil"/>
                  </w:tcBorders>
                  <w:vAlign w:val="center"/>
                </w:tcPr>
                <w:p w14:paraId="50783A19">
                  <w:pPr>
                    <w:adjustRightInd w:val="0"/>
                    <w:snapToGrid w:val="0"/>
                    <w:jc w:val="center"/>
                    <w:rPr>
                      <w:rFonts w:hint="eastAsia" w:eastAsia="宋体"/>
                      <w:color w:val="FF0000"/>
                      <w:kern w:val="0"/>
                      <w:sz w:val="18"/>
                      <w:szCs w:val="18"/>
                      <w:u w:val="none"/>
                      <w:lang w:val="en-US" w:eastAsia="zh-CN"/>
                    </w:rPr>
                  </w:pPr>
                  <w:r>
                    <w:rPr>
                      <w:rFonts w:hint="eastAsia"/>
                      <w:color w:val="FF0000"/>
                      <w:kern w:val="0"/>
                      <w:sz w:val="18"/>
                      <w:szCs w:val="18"/>
                      <w:u w:val="none"/>
                      <w:lang w:val="en-US" w:eastAsia="zh-CN"/>
                    </w:rPr>
                    <w:t>%</w:t>
                  </w:r>
                </w:p>
              </w:tc>
              <w:tc>
                <w:tcPr>
                  <w:tcW w:w="944" w:type="pct"/>
                  <w:tcBorders>
                    <w:tl2br w:val="nil"/>
                    <w:tr2bl w:val="nil"/>
                  </w:tcBorders>
                  <w:vAlign w:val="center"/>
                </w:tcPr>
                <w:p w14:paraId="48DF0F8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9.6</w:t>
                  </w:r>
                </w:p>
              </w:tc>
              <w:tc>
                <w:tcPr>
                  <w:tcW w:w="653" w:type="pct"/>
                  <w:vMerge w:val="continue"/>
                  <w:tcBorders>
                    <w:tl2br w:val="nil"/>
                    <w:tr2bl w:val="nil"/>
                  </w:tcBorders>
                  <w:vAlign w:val="center"/>
                </w:tcPr>
                <w:p w14:paraId="79A84ECD">
                  <w:pPr>
                    <w:adjustRightInd w:val="0"/>
                    <w:snapToGrid w:val="0"/>
                    <w:jc w:val="center"/>
                    <w:rPr>
                      <w:rFonts w:hint="eastAsia"/>
                      <w:color w:val="FF0000"/>
                      <w:sz w:val="18"/>
                      <w:szCs w:val="18"/>
                      <w:u w:val="none"/>
                    </w:rPr>
                  </w:pPr>
                </w:p>
              </w:tc>
            </w:tr>
            <w:tr w14:paraId="526A21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 w:hRule="atLeast"/>
              </w:trPr>
              <w:tc>
                <w:tcPr>
                  <w:tcW w:w="583" w:type="pct"/>
                  <w:vMerge w:val="continue"/>
                  <w:tcBorders>
                    <w:tl2br w:val="nil"/>
                    <w:tr2bl w:val="nil"/>
                  </w:tcBorders>
                  <w:vAlign w:val="center"/>
                </w:tcPr>
                <w:p w14:paraId="265649DA">
                  <w:pPr>
                    <w:jc w:val="center"/>
                    <w:rPr>
                      <w:color w:val="FF0000"/>
                      <w:kern w:val="0"/>
                      <w:sz w:val="18"/>
                      <w:szCs w:val="18"/>
                      <w:u w:val="none"/>
                    </w:rPr>
                  </w:pPr>
                </w:p>
              </w:tc>
              <w:tc>
                <w:tcPr>
                  <w:tcW w:w="977" w:type="pct"/>
                  <w:gridSpan w:val="2"/>
                  <w:tcBorders>
                    <w:tl2br w:val="nil"/>
                    <w:tr2bl w:val="nil"/>
                  </w:tcBorders>
                  <w:vAlign w:val="center"/>
                </w:tcPr>
                <w:p w14:paraId="6981F2D9">
                  <w:pPr>
                    <w:adjustRightInd w:val="0"/>
                    <w:snapToGrid w:val="0"/>
                    <w:jc w:val="center"/>
                    <w:rPr>
                      <w:color w:val="FF0000"/>
                      <w:kern w:val="0"/>
                      <w:sz w:val="18"/>
                      <w:szCs w:val="18"/>
                      <w:u w:val="none"/>
                    </w:rPr>
                  </w:pPr>
                  <w:r>
                    <w:rPr>
                      <w:color w:val="FF0000"/>
                      <w:kern w:val="0"/>
                      <w:sz w:val="18"/>
                      <w:szCs w:val="18"/>
                      <w:u w:val="none"/>
                    </w:rPr>
                    <w:t>清偿能力</w:t>
                  </w:r>
                </w:p>
              </w:tc>
              <w:tc>
                <w:tcPr>
                  <w:tcW w:w="1197" w:type="pct"/>
                  <w:gridSpan w:val="2"/>
                  <w:tcBorders>
                    <w:tl2br w:val="nil"/>
                    <w:tr2bl w:val="nil"/>
                  </w:tcBorders>
                  <w:vAlign w:val="center"/>
                </w:tcPr>
                <w:p w14:paraId="124C22AB">
                  <w:pPr>
                    <w:adjustRightInd w:val="0"/>
                    <w:snapToGrid w:val="0"/>
                    <w:jc w:val="center"/>
                    <w:rPr>
                      <w:color w:val="FF0000"/>
                      <w:kern w:val="0"/>
                      <w:sz w:val="18"/>
                      <w:szCs w:val="18"/>
                      <w:u w:val="none"/>
                    </w:rPr>
                  </w:pPr>
                  <w:r>
                    <w:rPr>
                      <w:color w:val="FF0000"/>
                      <w:kern w:val="0"/>
                      <w:sz w:val="18"/>
                      <w:szCs w:val="18"/>
                      <w:u w:val="none"/>
                    </w:rPr>
                    <w:t>资产负债率（最大值）</w:t>
                  </w:r>
                </w:p>
              </w:tc>
              <w:tc>
                <w:tcPr>
                  <w:tcW w:w="643" w:type="pct"/>
                  <w:tcBorders>
                    <w:tl2br w:val="nil"/>
                    <w:tr2bl w:val="nil"/>
                  </w:tcBorders>
                  <w:vAlign w:val="center"/>
                </w:tcPr>
                <w:p w14:paraId="1A49C059">
                  <w:pPr>
                    <w:adjustRightInd w:val="0"/>
                    <w:snapToGrid w:val="0"/>
                    <w:jc w:val="center"/>
                    <w:rPr>
                      <w:color w:val="FF0000"/>
                      <w:kern w:val="0"/>
                      <w:sz w:val="18"/>
                      <w:szCs w:val="18"/>
                      <w:u w:val="none"/>
                    </w:rPr>
                  </w:pPr>
                  <w:r>
                    <w:rPr>
                      <w:color w:val="FF0000"/>
                      <w:kern w:val="0"/>
                      <w:sz w:val="18"/>
                      <w:szCs w:val="18"/>
                      <w:u w:val="none"/>
                    </w:rPr>
                    <w:t>%</w:t>
                  </w:r>
                </w:p>
              </w:tc>
              <w:tc>
                <w:tcPr>
                  <w:tcW w:w="944" w:type="pct"/>
                  <w:tcBorders>
                    <w:tl2br w:val="nil"/>
                    <w:tr2bl w:val="nil"/>
                  </w:tcBorders>
                  <w:vAlign w:val="center"/>
                </w:tcPr>
                <w:p w14:paraId="161D76D5">
                  <w:pPr>
                    <w:adjustRightInd w:val="0"/>
                    <w:snapToGrid w:val="0"/>
                    <w:jc w:val="center"/>
                    <w:rPr>
                      <w:color w:val="FF0000"/>
                      <w:sz w:val="18"/>
                      <w:szCs w:val="18"/>
                      <w:u w:val="none"/>
                    </w:rPr>
                  </w:pPr>
                  <w:r>
                    <w:rPr>
                      <w:rFonts w:hint="eastAsia"/>
                      <w:color w:val="FF0000"/>
                      <w:sz w:val="18"/>
                      <w:szCs w:val="18"/>
                      <w:u w:val="none"/>
                    </w:rPr>
                    <w:t>8</w:t>
                  </w:r>
                  <w:r>
                    <w:rPr>
                      <w:color w:val="FF0000"/>
                      <w:sz w:val="18"/>
                      <w:szCs w:val="18"/>
                      <w:u w:val="none"/>
                    </w:rPr>
                    <w:t>0</w:t>
                  </w:r>
                </w:p>
              </w:tc>
              <w:tc>
                <w:tcPr>
                  <w:tcW w:w="653" w:type="pct"/>
                  <w:vMerge w:val="continue"/>
                  <w:tcBorders>
                    <w:tl2br w:val="nil"/>
                    <w:tr2bl w:val="nil"/>
                  </w:tcBorders>
                  <w:vAlign w:val="center"/>
                </w:tcPr>
                <w:p w14:paraId="1510FB50">
                  <w:pPr>
                    <w:adjustRightInd w:val="0"/>
                    <w:snapToGrid w:val="0"/>
                    <w:jc w:val="center"/>
                    <w:rPr>
                      <w:rFonts w:hint="eastAsia"/>
                      <w:color w:val="FF0000"/>
                      <w:sz w:val="18"/>
                      <w:szCs w:val="18"/>
                      <w:u w:val="none"/>
                    </w:rPr>
                  </w:pPr>
                </w:p>
              </w:tc>
            </w:tr>
          </w:tbl>
          <w:p w14:paraId="0D6E8DF8">
            <w:pPr>
              <w:spacing w:line="408" w:lineRule="auto"/>
              <w:jc w:val="left"/>
              <w:rPr>
                <w:b/>
                <w:bCs/>
                <w:sz w:val="24"/>
                <w:u w:val="none"/>
              </w:rPr>
            </w:pPr>
            <w:r>
              <w:rPr>
                <w:b/>
                <w:bCs/>
                <w:sz w:val="24"/>
                <w:u w:val="none"/>
              </w:rPr>
              <w:t>3</w:t>
            </w:r>
            <w:r>
              <w:rPr>
                <w:rFonts w:hint="eastAsia"/>
                <w:b/>
                <w:bCs/>
                <w:sz w:val="24"/>
                <w:u w:val="none"/>
                <w:lang w:eastAsia="zh-CN"/>
              </w:rPr>
              <w:t>、</w:t>
            </w:r>
            <w:r>
              <w:rPr>
                <w:rFonts w:hint="eastAsia"/>
                <w:b/>
                <w:bCs/>
                <w:sz w:val="24"/>
                <w:u w:val="none"/>
              </w:rPr>
              <w:t>工程占地和拆迁</w:t>
            </w:r>
          </w:p>
          <w:p w14:paraId="6E54D719">
            <w:pPr>
              <w:pStyle w:val="62"/>
              <w:ind w:firstLine="480"/>
              <w:rPr>
                <w:rFonts w:hAnsi="宋体" w:cs="Times New Roman"/>
                <w:u w:val="none"/>
              </w:rPr>
            </w:pPr>
            <w:r>
              <w:rPr>
                <w:rFonts w:hAnsi="宋体" w:cs="Times New Roman"/>
                <w:u w:val="none"/>
              </w:rPr>
              <w:t>（1）工程占地</w:t>
            </w:r>
          </w:p>
          <w:p w14:paraId="25EB327C">
            <w:pPr>
              <w:pStyle w:val="62"/>
              <w:ind w:firstLine="480"/>
              <w:rPr>
                <w:rFonts w:hint="default" w:cs="Times New Roman" w:eastAsiaTheme="minorEastAsia"/>
                <w:color w:val="FF0000"/>
                <w:u w:val="none"/>
                <w:lang w:val="en-US" w:eastAsia="zh-CN"/>
              </w:rPr>
            </w:pPr>
            <w:r>
              <w:rPr>
                <w:rFonts w:hint="eastAsia" w:cs="Times New Roman" w:eastAsiaTheme="minorEastAsia"/>
                <w:color w:val="FF0000"/>
                <w:u w:val="none"/>
                <w:lang w:val="en-US" w:eastAsia="zh-CN"/>
              </w:rPr>
              <w:t>项目总占地面积38.79hm</w:t>
            </w:r>
            <w:r>
              <w:rPr>
                <w:rFonts w:hint="eastAsia" w:cs="Times New Roman" w:eastAsiaTheme="minorEastAsia"/>
                <w:color w:val="FF0000"/>
                <w:u w:val="none"/>
                <w:vertAlign w:val="superscript"/>
                <w:lang w:val="en-US" w:eastAsia="zh-CN"/>
              </w:rPr>
              <w:t>2</w:t>
            </w:r>
            <w:r>
              <w:rPr>
                <w:rFonts w:hint="eastAsia" w:cs="Times New Roman" w:eastAsiaTheme="minorEastAsia"/>
                <w:color w:val="FF0000"/>
                <w:u w:val="none"/>
                <w:lang w:val="en-US" w:eastAsia="zh-CN"/>
              </w:rPr>
              <w:t>，其中永久占地主要为风机机组基础及箱式变电站、升压站区，占地面积为1.46hm</w:t>
            </w:r>
            <w:r>
              <w:rPr>
                <w:rFonts w:hint="eastAsia" w:cs="Times New Roman" w:eastAsiaTheme="minorEastAsia"/>
                <w:color w:val="FF0000"/>
                <w:u w:val="none"/>
                <w:vertAlign w:val="superscript"/>
                <w:lang w:val="en-US" w:eastAsia="zh-CN"/>
              </w:rPr>
              <w:t>2</w:t>
            </w:r>
            <w:r>
              <w:rPr>
                <w:rFonts w:hint="eastAsia" w:cs="Times New Roman" w:eastAsiaTheme="minorEastAsia"/>
                <w:color w:val="FF0000"/>
                <w:u w:val="none"/>
                <w:lang w:val="en-US" w:eastAsia="zh-CN"/>
              </w:rPr>
              <w:t>；临时占地主要为风机机组安装场地、检修道路、集电线路、施工临建设施区以及弃渣场，占地面积为37.33hm</w:t>
            </w:r>
            <w:r>
              <w:rPr>
                <w:rFonts w:hint="eastAsia" w:cs="Times New Roman" w:eastAsiaTheme="minorEastAsia"/>
                <w:color w:val="FF0000"/>
                <w:u w:val="none"/>
                <w:vertAlign w:val="superscript"/>
                <w:lang w:val="en-US" w:eastAsia="zh-CN"/>
              </w:rPr>
              <w:t>2</w:t>
            </w:r>
            <w:r>
              <w:rPr>
                <w:rFonts w:hint="eastAsia" w:cs="Times New Roman" w:eastAsiaTheme="minorEastAsia"/>
                <w:color w:val="FF0000"/>
                <w:u w:val="none"/>
                <w:lang w:val="en-US" w:eastAsia="zh-CN"/>
              </w:rPr>
              <w:t>。占地类型均为林地和灌草地。具体如下：</w:t>
            </w:r>
          </w:p>
          <w:p w14:paraId="09E474F7">
            <w:pPr>
              <w:ind w:firstLine="422" w:firstLineChars="200"/>
              <w:jc w:val="center"/>
              <w:rPr>
                <w:b/>
                <w:bCs/>
                <w:color w:val="FF0000"/>
                <w:szCs w:val="21"/>
                <w:u w:val="none"/>
                <w:vertAlign w:val="superscript"/>
              </w:rPr>
            </w:pPr>
            <w:r>
              <w:rPr>
                <w:b/>
                <w:bCs/>
                <w:color w:val="FF0000"/>
                <w:szCs w:val="21"/>
                <w:u w:val="none"/>
              </w:rPr>
              <w:t>表</w:t>
            </w:r>
            <w:r>
              <w:rPr>
                <w:rFonts w:hint="eastAsia"/>
                <w:b/>
                <w:bCs/>
                <w:color w:val="FF0000"/>
                <w:szCs w:val="21"/>
                <w:u w:val="none"/>
              </w:rPr>
              <w:t>2</w:t>
            </w:r>
            <w:r>
              <w:rPr>
                <w:rFonts w:hint="eastAsia"/>
                <w:b/>
                <w:bCs/>
                <w:color w:val="FF0000"/>
                <w:szCs w:val="21"/>
                <w:u w:val="none"/>
                <w:lang w:val="en-US" w:eastAsia="zh-CN"/>
              </w:rPr>
              <w:t>-</w:t>
            </w:r>
            <w:r>
              <w:rPr>
                <w:b/>
                <w:bCs/>
                <w:color w:val="FF0000"/>
                <w:szCs w:val="21"/>
                <w:u w:val="none"/>
              </w:rPr>
              <w:t>3</w:t>
            </w:r>
            <w:r>
              <w:rPr>
                <w:rFonts w:hint="eastAsia"/>
                <w:b/>
                <w:bCs/>
                <w:color w:val="FF0000"/>
                <w:szCs w:val="21"/>
                <w:u w:val="none"/>
                <w:lang w:val="en-US" w:eastAsia="zh-CN"/>
              </w:rPr>
              <w:t xml:space="preserve">  </w:t>
            </w:r>
            <w:r>
              <w:rPr>
                <w:b/>
                <w:bCs/>
                <w:color w:val="FF0000"/>
                <w:szCs w:val="21"/>
                <w:u w:val="none"/>
              </w:rPr>
              <w:t>风电场工程占地面积一览表</w:t>
            </w:r>
            <w:r>
              <w:rPr>
                <w:rFonts w:hint="eastAsia"/>
                <w:b/>
                <w:bCs/>
                <w:color w:val="FF0000"/>
                <w:szCs w:val="21"/>
                <w:u w:val="none"/>
                <w:lang w:val="en-US" w:eastAsia="zh-CN"/>
              </w:rPr>
              <w:t xml:space="preserve">  </w:t>
            </w:r>
            <w:r>
              <w:rPr>
                <w:b/>
                <w:bCs/>
                <w:color w:val="FF0000"/>
                <w:szCs w:val="21"/>
                <w:u w:val="none"/>
              </w:rPr>
              <w:t>单位：hm</w:t>
            </w:r>
            <w:r>
              <w:rPr>
                <w:b/>
                <w:bCs/>
                <w:color w:val="FF0000"/>
                <w:szCs w:val="21"/>
                <w:u w:val="none"/>
                <w:vertAlign w:val="superscript"/>
              </w:rPr>
              <w:t>2</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1626"/>
              <w:gridCol w:w="1229"/>
              <w:gridCol w:w="1229"/>
              <w:gridCol w:w="1229"/>
              <w:gridCol w:w="1229"/>
              <w:gridCol w:w="1232"/>
            </w:tblGrid>
            <w:tr w14:paraId="2E345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vMerge w:val="restart"/>
                  <w:tcBorders>
                    <w:top w:val="single" w:color="auto" w:sz="12" w:space="0"/>
                  </w:tcBorders>
                  <w:vAlign w:val="center"/>
                </w:tcPr>
                <w:p w14:paraId="2EDE4B50">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项目分区</w:t>
                  </w:r>
                </w:p>
              </w:tc>
              <w:tc>
                <w:tcPr>
                  <w:tcW w:w="1428" w:type="pct"/>
                  <w:gridSpan w:val="2"/>
                  <w:tcBorders>
                    <w:top w:val="single" w:color="auto" w:sz="12" w:space="0"/>
                    <w:bottom w:val="single" w:color="auto" w:sz="4" w:space="0"/>
                  </w:tcBorders>
                  <w:vAlign w:val="center"/>
                </w:tcPr>
                <w:p w14:paraId="55AF624B">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占地面积</w:t>
                  </w:r>
                </w:p>
              </w:tc>
              <w:tc>
                <w:tcPr>
                  <w:tcW w:w="2144" w:type="pct"/>
                  <w:gridSpan w:val="3"/>
                  <w:tcBorders>
                    <w:top w:val="single" w:color="auto" w:sz="12" w:space="0"/>
                    <w:bottom w:val="single" w:color="auto" w:sz="4" w:space="0"/>
                    <w:right w:val="nil"/>
                  </w:tcBorders>
                  <w:vAlign w:val="center"/>
                </w:tcPr>
                <w:p w14:paraId="33C6B813">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占地类型</w:t>
                  </w:r>
                </w:p>
              </w:tc>
            </w:tr>
            <w:tr w14:paraId="1B554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vMerge w:val="continue"/>
                  <w:tcBorders>
                    <w:left w:val="nil"/>
                    <w:bottom w:val="single" w:color="auto" w:sz="4" w:space="0"/>
                  </w:tcBorders>
                  <w:vAlign w:val="center"/>
                </w:tcPr>
                <w:p w14:paraId="1412406F">
                  <w:pPr>
                    <w:adjustRightInd w:val="0"/>
                    <w:snapToGrid w:val="0"/>
                    <w:jc w:val="center"/>
                    <w:rPr>
                      <w:rFonts w:hAnsi="宋体"/>
                      <w:color w:val="FF0000"/>
                      <w:sz w:val="18"/>
                      <w:szCs w:val="18"/>
                      <w:u w:val="none"/>
                    </w:rPr>
                  </w:pPr>
                </w:p>
              </w:tc>
              <w:tc>
                <w:tcPr>
                  <w:tcW w:w="714" w:type="pct"/>
                  <w:tcBorders>
                    <w:top w:val="single" w:color="auto" w:sz="4" w:space="0"/>
                    <w:bottom w:val="single" w:color="auto" w:sz="4" w:space="0"/>
                  </w:tcBorders>
                  <w:vAlign w:val="center"/>
                </w:tcPr>
                <w:p w14:paraId="1F52CA1A">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永久</w:t>
                  </w:r>
                </w:p>
              </w:tc>
              <w:tc>
                <w:tcPr>
                  <w:tcW w:w="714" w:type="pct"/>
                  <w:tcBorders>
                    <w:top w:val="single" w:color="auto" w:sz="4" w:space="0"/>
                    <w:bottom w:val="single" w:color="auto" w:sz="4" w:space="0"/>
                  </w:tcBorders>
                  <w:vAlign w:val="center"/>
                </w:tcPr>
                <w:p w14:paraId="416918C5">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临时</w:t>
                  </w:r>
                </w:p>
              </w:tc>
              <w:tc>
                <w:tcPr>
                  <w:tcW w:w="714" w:type="pct"/>
                  <w:tcBorders>
                    <w:top w:val="single" w:color="auto" w:sz="4" w:space="0"/>
                    <w:bottom w:val="single" w:color="auto" w:sz="4" w:space="0"/>
                  </w:tcBorders>
                  <w:vAlign w:val="center"/>
                </w:tcPr>
                <w:p w14:paraId="67AE9F4C">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林地</w:t>
                  </w:r>
                </w:p>
              </w:tc>
              <w:tc>
                <w:tcPr>
                  <w:tcW w:w="714" w:type="pct"/>
                  <w:tcBorders>
                    <w:top w:val="single" w:color="auto" w:sz="4" w:space="0"/>
                    <w:bottom w:val="single" w:color="auto" w:sz="4" w:space="0"/>
                  </w:tcBorders>
                  <w:vAlign w:val="center"/>
                </w:tcPr>
                <w:p w14:paraId="2C71E897">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灌草地</w:t>
                  </w:r>
                </w:p>
              </w:tc>
              <w:tc>
                <w:tcPr>
                  <w:tcW w:w="716" w:type="pct"/>
                  <w:tcBorders>
                    <w:top w:val="single" w:color="auto" w:sz="4" w:space="0"/>
                    <w:bottom w:val="single" w:color="auto" w:sz="4" w:space="0"/>
                    <w:right w:val="nil"/>
                  </w:tcBorders>
                  <w:vAlign w:val="center"/>
                </w:tcPr>
                <w:p w14:paraId="263BE981">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合计</w:t>
                  </w:r>
                </w:p>
              </w:tc>
            </w:tr>
            <w:tr w14:paraId="448A1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restart"/>
                  <w:tcBorders>
                    <w:top w:val="single" w:color="auto" w:sz="4" w:space="0"/>
                    <w:left w:val="nil"/>
                  </w:tcBorders>
                  <w:vAlign w:val="center"/>
                </w:tcPr>
                <w:p w14:paraId="0DD467D3">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风机机组区</w:t>
                  </w:r>
                </w:p>
              </w:tc>
              <w:tc>
                <w:tcPr>
                  <w:tcW w:w="945" w:type="pct"/>
                  <w:tcBorders>
                    <w:top w:val="single" w:color="auto" w:sz="4" w:space="0"/>
                  </w:tcBorders>
                  <w:vAlign w:val="center"/>
                </w:tcPr>
                <w:p w14:paraId="1C74D901">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风机及箱变基础</w:t>
                  </w:r>
                </w:p>
              </w:tc>
              <w:tc>
                <w:tcPr>
                  <w:tcW w:w="714" w:type="pct"/>
                  <w:tcBorders>
                    <w:top w:val="single" w:color="auto" w:sz="4" w:space="0"/>
                  </w:tcBorders>
                  <w:vAlign w:val="center"/>
                </w:tcPr>
                <w:p w14:paraId="74C3B1E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0.36</w:t>
                  </w:r>
                </w:p>
              </w:tc>
              <w:tc>
                <w:tcPr>
                  <w:tcW w:w="714" w:type="pct"/>
                  <w:tcBorders>
                    <w:top w:val="single" w:color="auto" w:sz="4" w:space="0"/>
                  </w:tcBorders>
                  <w:vAlign w:val="center"/>
                </w:tcPr>
                <w:p w14:paraId="463F71F3">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tcBorders>
                    <w:top w:val="single" w:color="auto" w:sz="4" w:space="0"/>
                  </w:tcBorders>
                  <w:vAlign w:val="center"/>
                </w:tcPr>
                <w:p w14:paraId="67DA4A7C">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0.18</w:t>
                  </w:r>
                </w:p>
              </w:tc>
              <w:tc>
                <w:tcPr>
                  <w:tcW w:w="714" w:type="pct"/>
                  <w:tcBorders>
                    <w:top w:val="single" w:color="auto" w:sz="4" w:space="0"/>
                  </w:tcBorders>
                  <w:vAlign w:val="center"/>
                </w:tcPr>
                <w:p w14:paraId="41A95B3A">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0.18</w:t>
                  </w:r>
                </w:p>
              </w:tc>
              <w:tc>
                <w:tcPr>
                  <w:tcW w:w="716" w:type="pct"/>
                  <w:tcBorders>
                    <w:top w:val="single" w:color="auto" w:sz="4" w:space="0"/>
                    <w:right w:val="nil"/>
                  </w:tcBorders>
                  <w:vAlign w:val="center"/>
                </w:tcPr>
                <w:p w14:paraId="4D0D2158">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0.36</w:t>
                  </w:r>
                </w:p>
              </w:tc>
            </w:tr>
            <w:tr w14:paraId="0F1A7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5F7A3D96">
                  <w:pPr>
                    <w:adjustRightInd w:val="0"/>
                    <w:snapToGrid w:val="0"/>
                    <w:jc w:val="center"/>
                    <w:rPr>
                      <w:rFonts w:hAnsi="宋体"/>
                      <w:color w:val="FF0000"/>
                      <w:sz w:val="18"/>
                      <w:szCs w:val="18"/>
                      <w:u w:val="none"/>
                    </w:rPr>
                  </w:pPr>
                </w:p>
              </w:tc>
              <w:tc>
                <w:tcPr>
                  <w:tcW w:w="945" w:type="pct"/>
                  <w:vAlign w:val="center"/>
                </w:tcPr>
                <w:p w14:paraId="086F5139">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风机安装场区</w:t>
                  </w:r>
                </w:p>
              </w:tc>
              <w:tc>
                <w:tcPr>
                  <w:tcW w:w="714" w:type="pct"/>
                  <w:vAlign w:val="center"/>
                </w:tcPr>
                <w:p w14:paraId="32ED504D">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23304CC2">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5.69</w:t>
                  </w:r>
                </w:p>
              </w:tc>
              <w:tc>
                <w:tcPr>
                  <w:tcW w:w="714" w:type="pct"/>
                  <w:vAlign w:val="center"/>
                </w:tcPr>
                <w:p w14:paraId="21ABC7A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1.71</w:t>
                  </w:r>
                </w:p>
              </w:tc>
              <w:tc>
                <w:tcPr>
                  <w:tcW w:w="714" w:type="pct"/>
                  <w:vAlign w:val="center"/>
                </w:tcPr>
                <w:p w14:paraId="3326AB3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3.98</w:t>
                  </w:r>
                </w:p>
              </w:tc>
              <w:tc>
                <w:tcPr>
                  <w:tcW w:w="716" w:type="pct"/>
                  <w:tcBorders>
                    <w:right w:val="nil"/>
                  </w:tcBorders>
                  <w:vAlign w:val="center"/>
                </w:tcPr>
                <w:p w14:paraId="1C2A0FAA">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5.69</w:t>
                  </w:r>
                </w:p>
              </w:tc>
            </w:tr>
            <w:tr w14:paraId="40DD6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2FD8EE87">
                  <w:pPr>
                    <w:adjustRightInd w:val="0"/>
                    <w:snapToGrid w:val="0"/>
                    <w:jc w:val="center"/>
                    <w:rPr>
                      <w:rFonts w:hAnsi="宋体"/>
                      <w:color w:val="FF0000"/>
                      <w:sz w:val="18"/>
                      <w:szCs w:val="18"/>
                      <w:u w:val="none"/>
                    </w:rPr>
                  </w:pPr>
                </w:p>
              </w:tc>
              <w:tc>
                <w:tcPr>
                  <w:tcW w:w="945" w:type="pct"/>
                  <w:vAlign w:val="center"/>
                </w:tcPr>
                <w:p w14:paraId="2078C885">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小计</w:t>
                  </w:r>
                </w:p>
              </w:tc>
              <w:tc>
                <w:tcPr>
                  <w:tcW w:w="714" w:type="pct"/>
                  <w:vAlign w:val="center"/>
                </w:tcPr>
                <w:p w14:paraId="6CD6143F">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0.36</w:t>
                  </w:r>
                </w:p>
              </w:tc>
              <w:tc>
                <w:tcPr>
                  <w:tcW w:w="714" w:type="pct"/>
                  <w:vAlign w:val="center"/>
                </w:tcPr>
                <w:p w14:paraId="148289D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5.69</w:t>
                  </w:r>
                </w:p>
              </w:tc>
              <w:tc>
                <w:tcPr>
                  <w:tcW w:w="714" w:type="pct"/>
                  <w:vAlign w:val="center"/>
                </w:tcPr>
                <w:p w14:paraId="7FD6EAE3">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1.89</w:t>
                  </w:r>
                </w:p>
              </w:tc>
              <w:tc>
                <w:tcPr>
                  <w:tcW w:w="714" w:type="pct"/>
                  <w:vAlign w:val="center"/>
                </w:tcPr>
                <w:p w14:paraId="3D081731">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4.16</w:t>
                  </w:r>
                </w:p>
              </w:tc>
              <w:tc>
                <w:tcPr>
                  <w:tcW w:w="716" w:type="pct"/>
                  <w:tcBorders>
                    <w:right w:val="nil"/>
                  </w:tcBorders>
                  <w:vAlign w:val="center"/>
                </w:tcPr>
                <w:p w14:paraId="7CFFBDC8">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6.05</w:t>
                  </w:r>
                </w:p>
              </w:tc>
            </w:tr>
            <w:tr w14:paraId="5AB2F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02CFFA89">
                  <w:pPr>
                    <w:adjustRightInd w:val="0"/>
                    <w:snapToGrid w:val="0"/>
                    <w:jc w:val="center"/>
                    <w:rPr>
                      <w:rFonts w:hint="eastAsia" w:hAnsi="宋体"/>
                      <w:color w:val="FF0000"/>
                      <w:sz w:val="18"/>
                      <w:szCs w:val="18"/>
                      <w:u w:val="none"/>
                      <w:lang w:val="en-US" w:eastAsia="zh-CN"/>
                    </w:rPr>
                  </w:pPr>
                  <w:r>
                    <w:rPr>
                      <w:rFonts w:hint="eastAsia" w:hAnsi="宋体"/>
                      <w:color w:val="FF0000"/>
                      <w:sz w:val="18"/>
                      <w:szCs w:val="18"/>
                      <w:u w:val="none"/>
                      <w:lang w:val="en-US" w:eastAsia="zh-CN"/>
                    </w:rPr>
                    <w:t>升压站区</w:t>
                  </w:r>
                </w:p>
              </w:tc>
              <w:tc>
                <w:tcPr>
                  <w:tcW w:w="714" w:type="pct"/>
                  <w:vAlign w:val="center"/>
                </w:tcPr>
                <w:p w14:paraId="02D81C51">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0.93</w:t>
                  </w:r>
                </w:p>
              </w:tc>
              <w:tc>
                <w:tcPr>
                  <w:tcW w:w="714" w:type="pct"/>
                  <w:vAlign w:val="center"/>
                </w:tcPr>
                <w:p w14:paraId="1D8A0AE8">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10BC6FB7">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0.28</w:t>
                  </w:r>
                </w:p>
              </w:tc>
              <w:tc>
                <w:tcPr>
                  <w:tcW w:w="714" w:type="pct"/>
                  <w:vAlign w:val="center"/>
                </w:tcPr>
                <w:p w14:paraId="00E9F3BE">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0.65</w:t>
                  </w:r>
                </w:p>
              </w:tc>
              <w:tc>
                <w:tcPr>
                  <w:tcW w:w="716" w:type="pct"/>
                  <w:tcBorders>
                    <w:right w:val="nil"/>
                  </w:tcBorders>
                  <w:vAlign w:val="center"/>
                </w:tcPr>
                <w:p w14:paraId="41F56C27">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0.93</w:t>
                  </w:r>
                </w:p>
              </w:tc>
            </w:tr>
            <w:tr w14:paraId="52245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restart"/>
                  <w:tcBorders>
                    <w:left w:val="nil"/>
                  </w:tcBorders>
                  <w:vAlign w:val="center"/>
                </w:tcPr>
                <w:p w14:paraId="22305E73">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道路工程区</w:t>
                  </w:r>
                </w:p>
              </w:tc>
              <w:tc>
                <w:tcPr>
                  <w:tcW w:w="945" w:type="pct"/>
                  <w:vAlign w:val="center"/>
                </w:tcPr>
                <w:p w14:paraId="2432D8D9">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改造道路</w:t>
                  </w:r>
                </w:p>
              </w:tc>
              <w:tc>
                <w:tcPr>
                  <w:tcW w:w="714" w:type="pct"/>
                  <w:vAlign w:val="center"/>
                </w:tcPr>
                <w:p w14:paraId="76174209">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2EF713A4">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2.36</w:t>
                  </w:r>
                </w:p>
              </w:tc>
              <w:tc>
                <w:tcPr>
                  <w:tcW w:w="714" w:type="pct"/>
                  <w:vAlign w:val="center"/>
                </w:tcPr>
                <w:p w14:paraId="1CCA2BA5">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0.71</w:t>
                  </w:r>
                </w:p>
              </w:tc>
              <w:tc>
                <w:tcPr>
                  <w:tcW w:w="714" w:type="pct"/>
                  <w:vAlign w:val="center"/>
                </w:tcPr>
                <w:p w14:paraId="1CB186D2">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1.65</w:t>
                  </w:r>
                </w:p>
              </w:tc>
              <w:tc>
                <w:tcPr>
                  <w:tcW w:w="716" w:type="pct"/>
                  <w:tcBorders>
                    <w:right w:val="nil"/>
                  </w:tcBorders>
                  <w:vAlign w:val="center"/>
                </w:tcPr>
                <w:p w14:paraId="30486374">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2.36</w:t>
                  </w:r>
                </w:p>
              </w:tc>
            </w:tr>
            <w:tr w14:paraId="68671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3338C294">
                  <w:pPr>
                    <w:adjustRightInd w:val="0"/>
                    <w:snapToGrid w:val="0"/>
                    <w:jc w:val="center"/>
                    <w:rPr>
                      <w:rFonts w:hAnsi="宋体"/>
                      <w:color w:val="FF0000"/>
                      <w:sz w:val="18"/>
                      <w:szCs w:val="18"/>
                      <w:u w:val="none"/>
                    </w:rPr>
                  </w:pPr>
                </w:p>
              </w:tc>
              <w:tc>
                <w:tcPr>
                  <w:tcW w:w="945" w:type="pct"/>
                  <w:vAlign w:val="center"/>
                </w:tcPr>
                <w:p w14:paraId="2C37897D">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场内道路</w:t>
                  </w:r>
                </w:p>
              </w:tc>
              <w:tc>
                <w:tcPr>
                  <w:tcW w:w="714" w:type="pct"/>
                  <w:vAlign w:val="center"/>
                </w:tcPr>
                <w:p w14:paraId="4A5A2E8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0.17</w:t>
                  </w:r>
                </w:p>
              </w:tc>
              <w:tc>
                <w:tcPr>
                  <w:tcW w:w="714" w:type="pct"/>
                  <w:vAlign w:val="center"/>
                </w:tcPr>
                <w:p w14:paraId="52E8AD18">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22.82</w:t>
                  </w:r>
                </w:p>
              </w:tc>
              <w:tc>
                <w:tcPr>
                  <w:tcW w:w="714" w:type="pct"/>
                  <w:vAlign w:val="center"/>
                </w:tcPr>
                <w:p w14:paraId="21244F0F">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9.93</w:t>
                  </w:r>
                </w:p>
              </w:tc>
              <w:tc>
                <w:tcPr>
                  <w:tcW w:w="714" w:type="pct"/>
                  <w:vAlign w:val="center"/>
                </w:tcPr>
                <w:p w14:paraId="5AD8A1EF">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13.06</w:t>
                  </w:r>
                </w:p>
              </w:tc>
              <w:tc>
                <w:tcPr>
                  <w:tcW w:w="716" w:type="pct"/>
                  <w:tcBorders>
                    <w:right w:val="nil"/>
                  </w:tcBorders>
                  <w:vAlign w:val="center"/>
                </w:tcPr>
                <w:p w14:paraId="657C1FF6">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22.99</w:t>
                  </w:r>
                </w:p>
              </w:tc>
            </w:tr>
            <w:tr w14:paraId="4C361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81" w:type="pct"/>
                  <w:vMerge w:val="continue"/>
                  <w:tcBorders>
                    <w:left w:val="nil"/>
                  </w:tcBorders>
                  <w:vAlign w:val="center"/>
                </w:tcPr>
                <w:p w14:paraId="7E24DD04">
                  <w:pPr>
                    <w:adjustRightInd w:val="0"/>
                    <w:snapToGrid w:val="0"/>
                    <w:jc w:val="center"/>
                    <w:rPr>
                      <w:rFonts w:hAnsi="宋体"/>
                      <w:color w:val="FF0000"/>
                      <w:sz w:val="18"/>
                      <w:szCs w:val="18"/>
                      <w:u w:val="none"/>
                    </w:rPr>
                  </w:pPr>
                </w:p>
              </w:tc>
              <w:tc>
                <w:tcPr>
                  <w:tcW w:w="945" w:type="pct"/>
                  <w:vAlign w:val="center"/>
                </w:tcPr>
                <w:p w14:paraId="41A79B15">
                  <w:pPr>
                    <w:adjustRightInd w:val="0"/>
                    <w:snapToGrid w:val="0"/>
                    <w:jc w:val="center"/>
                    <w:rPr>
                      <w:rFonts w:hint="eastAsia" w:hAnsi="宋体" w:eastAsia="宋体"/>
                      <w:color w:val="FF0000"/>
                      <w:sz w:val="18"/>
                      <w:szCs w:val="18"/>
                      <w:u w:val="none"/>
                      <w:lang w:val="en-US" w:eastAsia="zh-CN"/>
                    </w:rPr>
                  </w:pPr>
                  <w:r>
                    <w:rPr>
                      <w:rFonts w:hint="eastAsia" w:hAnsi="宋体"/>
                      <w:color w:val="FF0000"/>
                      <w:sz w:val="18"/>
                      <w:szCs w:val="18"/>
                      <w:u w:val="none"/>
                      <w:lang w:val="en-US" w:eastAsia="zh-CN"/>
                    </w:rPr>
                    <w:t>小计</w:t>
                  </w:r>
                </w:p>
              </w:tc>
              <w:tc>
                <w:tcPr>
                  <w:tcW w:w="714" w:type="pct"/>
                  <w:vAlign w:val="center"/>
                </w:tcPr>
                <w:p w14:paraId="22E1BDD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0.17</w:t>
                  </w:r>
                </w:p>
              </w:tc>
              <w:tc>
                <w:tcPr>
                  <w:tcW w:w="714" w:type="pct"/>
                  <w:vAlign w:val="center"/>
                </w:tcPr>
                <w:p w14:paraId="2D7928E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25.18</w:t>
                  </w:r>
                </w:p>
              </w:tc>
              <w:tc>
                <w:tcPr>
                  <w:tcW w:w="714" w:type="pct"/>
                  <w:vAlign w:val="center"/>
                </w:tcPr>
                <w:p w14:paraId="2E0EC29D">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10.64</w:t>
                  </w:r>
                </w:p>
              </w:tc>
              <w:tc>
                <w:tcPr>
                  <w:tcW w:w="714" w:type="pct"/>
                  <w:vAlign w:val="center"/>
                </w:tcPr>
                <w:p w14:paraId="5D592883">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14.71</w:t>
                  </w:r>
                </w:p>
              </w:tc>
              <w:tc>
                <w:tcPr>
                  <w:tcW w:w="716" w:type="pct"/>
                  <w:tcBorders>
                    <w:right w:val="nil"/>
                  </w:tcBorders>
                  <w:vAlign w:val="center"/>
                </w:tcPr>
                <w:p w14:paraId="28955D6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25.18</w:t>
                  </w:r>
                </w:p>
              </w:tc>
            </w:tr>
            <w:tr w14:paraId="51C6C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1FC1DADC">
                  <w:pPr>
                    <w:adjustRightInd w:val="0"/>
                    <w:snapToGrid w:val="0"/>
                    <w:jc w:val="center"/>
                    <w:rPr>
                      <w:rFonts w:hAnsi="宋体"/>
                      <w:color w:val="FF0000"/>
                      <w:sz w:val="18"/>
                      <w:szCs w:val="18"/>
                      <w:u w:val="none"/>
                    </w:rPr>
                  </w:pPr>
                  <w:r>
                    <w:rPr>
                      <w:rFonts w:hint="eastAsia" w:hAnsi="宋体"/>
                      <w:color w:val="FF0000"/>
                      <w:sz w:val="18"/>
                      <w:szCs w:val="18"/>
                      <w:u w:val="none"/>
                      <w:lang w:val="en-US" w:eastAsia="zh-CN"/>
                    </w:rPr>
                    <w:t>集电线路</w:t>
                  </w:r>
                </w:p>
              </w:tc>
              <w:tc>
                <w:tcPr>
                  <w:tcW w:w="714" w:type="pct"/>
                  <w:vAlign w:val="center"/>
                </w:tcPr>
                <w:p w14:paraId="445B512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6D521BE1">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w:t>
                  </w:r>
                </w:p>
              </w:tc>
              <w:tc>
                <w:tcPr>
                  <w:tcW w:w="714" w:type="pct"/>
                  <w:vAlign w:val="center"/>
                </w:tcPr>
                <w:p w14:paraId="394CC60B">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0.07</w:t>
                  </w:r>
                </w:p>
              </w:tc>
              <w:tc>
                <w:tcPr>
                  <w:tcW w:w="714" w:type="pct"/>
                  <w:vAlign w:val="center"/>
                </w:tcPr>
                <w:p w14:paraId="5E275534">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0.03</w:t>
                  </w:r>
                </w:p>
              </w:tc>
              <w:tc>
                <w:tcPr>
                  <w:tcW w:w="716" w:type="pct"/>
                  <w:tcBorders>
                    <w:right w:val="nil"/>
                  </w:tcBorders>
                  <w:vAlign w:val="center"/>
                </w:tcPr>
                <w:p w14:paraId="626C61D0">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w:t>
                  </w:r>
                </w:p>
              </w:tc>
            </w:tr>
            <w:tr w14:paraId="22ABA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289F717E">
                  <w:pPr>
                    <w:adjustRightInd w:val="0"/>
                    <w:snapToGrid w:val="0"/>
                    <w:jc w:val="center"/>
                    <w:rPr>
                      <w:rFonts w:hint="default" w:hAnsi="宋体"/>
                      <w:color w:val="FF0000"/>
                      <w:sz w:val="18"/>
                      <w:szCs w:val="18"/>
                      <w:u w:val="none"/>
                      <w:lang w:val="en-US"/>
                    </w:rPr>
                  </w:pPr>
                  <w:r>
                    <w:rPr>
                      <w:rFonts w:hint="eastAsia" w:hAnsi="宋体"/>
                      <w:color w:val="FF0000"/>
                      <w:sz w:val="18"/>
                      <w:szCs w:val="18"/>
                      <w:u w:val="none"/>
                      <w:lang w:val="en-US" w:eastAsia="zh-CN"/>
                    </w:rPr>
                    <w:t>施工临建设施区</w:t>
                  </w:r>
                </w:p>
              </w:tc>
              <w:tc>
                <w:tcPr>
                  <w:tcW w:w="714" w:type="pct"/>
                  <w:vAlign w:val="center"/>
                </w:tcPr>
                <w:p w14:paraId="42FFEB1D">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2AD9EBCA">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0.4</w:t>
                  </w:r>
                </w:p>
              </w:tc>
              <w:tc>
                <w:tcPr>
                  <w:tcW w:w="714" w:type="pct"/>
                  <w:vAlign w:val="center"/>
                </w:tcPr>
                <w:p w14:paraId="090EE319">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0.28</w:t>
                  </w:r>
                </w:p>
              </w:tc>
              <w:tc>
                <w:tcPr>
                  <w:tcW w:w="714" w:type="pct"/>
                  <w:vAlign w:val="center"/>
                </w:tcPr>
                <w:p w14:paraId="18466317">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0.12</w:t>
                  </w:r>
                </w:p>
              </w:tc>
              <w:tc>
                <w:tcPr>
                  <w:tcW w:w="716" w:type="pct"/>
                  <w:tcBorders>
                    <w:right w:val="nil"/>
                  </w:tcBorders>
                  <w:vAlign w:val="center"/>
                </w:tcPr>
                <w:p w14:paraId="05B61F7F">
                  <w:pPr>
                    <w:adjustRightInd w:val="0"/>
                    <w:snapToGrid w:val="0"/>
                    <w:jc w:val="center"/>
                    <w:rPr>
                      <w:rFonts w:hint="default" w:hAnsi="宋体" w:eastAsia="宋体"/>
                      <w:color w:val="FF0000"/>
                      <w:sz w:val="18"/>
                      <w:szCs w:val="18"/>
                      <w:u w:val="none"/>
                      <w:lang w:val="en-US" w:eastAsia="zh-CN"/>
                    </w:rPr>
                  </w:pPr>
                  <w:r>
                    <w:rPr>
                      <w:rFonts w:hint="eastAsia" w:hAnsi="宋体"/>
                      <w:color w:val="FF0000"/>
                      <w:sz w:val="18"/>
                      <w:szCs w:val="18"/>
                      <w:u w:val="none"/>
                      <w:lang w:val="en-US" w:eastAsia="zh-CN"/>
                    </w:rPr>
                    <w:t>0.4</w:t>
                  </w:r>
                </w:p>
              </w:tc>
            </w:tr>
            <w:tr w14:paraId="74A95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tcBorders>
                  <w:vAlign w:val="center"/>
                </w:tcPr>
                <w:p w14:paraId="46CC3A3B">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弃渣场</w:t>
                  </w:r>
                </w:p>
              </w:tc>
              <w:tc>
                <w:tcPr>
                  <w:tcW w:w="714" w:type="pct"/>
                  <w:vAlign w:val="center"/>
                </w:tcPr>
                <w:p w14:paraId="55798B87">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w:t>
                  </w:r>
                </w:p>
              </w:tc>
              <w:tc>
                <w:tcPr>
                  <w:tcW w:w="714" w:type="pct"/>
                  <w:vAlign w:val="center"/>
                </w:tcPr>
                <w:p w14:paraId="7C3D8A71">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5.96</w:t>
                  </w:r>
                </w:p>
              </w:tc>
              <w:tc>
                <w:tcPr>
                  <w:tcW w:w="714" w:type="pct"/>
                  <w:vAlign w:val="center"/>
                </w:tcPr>
                <w:p w14:paraId="0B3EEA0D">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0.52</w:t>
                  </w:r>
                </w:p>
              </w:tc>
              <w:tc>
                <w:tcPr>
                  <w:tcW w:w="714" w:type="pct"/>
                  <w:vAlign w:val="center"/>
                </w:tcPr>
                <w:p w14:paraId="07A2125B">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5.44</w:t>
                  </w:r>
                </w:p>
              </w:tc>
              <w:tc>
                <w:tcPr>
                  <w:tcW w:w="716" w:type="pct"/>
                  <w:tcBorders>
                    <w:right w:val="nil"/>
                  </w:tcBorders>
                  <w:vAlign w:val="center"/>
                </w:tcPr>
                <w:p w14:paraId="75461043">
                  <w:pPr>
                    <w:adjustRightInd w:val="0"/>
                    <w:snapToGrid w:val="0"/>
                    <w:jc w:val="center"/>
                    <w:rPr>
                      <w:rFonts w:hint="default" w:hAnsi="宋体"/>
                      <w:color w:val="FF0000"/>
                      <w:sz w:val="18"/>
                      <w:szCs w:val="18"/>
                      <w:u w:val="none"/>
                      <w:lang w:val="en-US" w:eastAsia="zh-CN"/>
                    </w:rPr>
                  </w:pPr>
                  <w:r>
                    <w:rPr>
                      <w:rFonts w:hint="eastAsia" w:hAnsi="宋体"/>
                      <w:color w:val="FF0000"/>
                      <w:sz w:val="18"/>
                      <w:szCs w:val="18"/>
                      <w:u w:val="none"/>
                      <w:lang w:val="en-US" w:eastAsia="zh-CN"/>
                    </w:rPr>
                    <w:t>5.96</w:t>
                  </w:r>
                </w:p>
              </w:tc>
            </w:tr>
            <w:tr w14:paraId="12DC8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426" w:type="pct"/>
                  <w:gridSpan w:val="2"/>
                  <w:tcBorders>
                    <w:left w:val="nil"/>
                    <w:bottom w:val="single" w:color="auto" w:sz="12" w:space="0"/>
                  </w:tcBorders>
                  <w:vAlign w:val="center"/>
                </w:tcPr>
                <w:p w14:paraId="60D5951E">
                  <w:pPr>
                    <w:adjustRightInd w:val="0"/>
                    <w:snapToGrid w:val="0"/>
                    <w:jc w:val="center"/>
                    <w:rPr>
                      <w:rFonts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总计</w:t>
                  </w:r>
                </w:p>
              </w:tc>
              <w:tc>
                <w:tcPr>
                  <w:tcW w:w="714" w:type="pct"/>
                  <w:tcBorders>
                    <w:bottom w:val="single" w:color="auto" w:sz="12" w:space="0"/>
                  </w:tcBorders>
                  <w:vAlign w:val="center"/>
                </w:tcPr>
                <w:p w14:paraId="342B7513">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1.46</w:t>
                  </w:r>
                </w:p>
              </w:tc>
              <w:tc>
                <w:tcPr>
                  <w:tcW w:w="714" w:type="pct"/>
                  <w:tcBorders>
                    <w:bottom w:val="single" w:color="auto" w:sz="12" w:space="0"/>
                  </w:tcBorders>
                  <w:vAlign w:val="center"/>
                </w:tcPr>
                <w:p w14:paraId="6F5EB960">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37.33</w:t>
                  </w:r>
                </w:p>
              </w:tc>
              <w:tc>
                <w:tcPr>
                  <w:tcW w:w="714" w:type="pct"/>
                  <w:tcBorders>
                    <w:bottom w:val="single" w:color="auto" w:sz="12" w:space="0"/>
                  </w:tcBorders>
                  <w:vAlign w:val="center"/>
                </w:tcPr>
                <w:p w14:paraId="4095AC29">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13.68</w:t>
                  </w:r>
                </w:p>
              </w:tc>
              <w:tc>
                <w:tcPr>
                  <w:tcW w:w="714" w:type="pct"/>
                  <w:tcBorders>
                    <w:bottom w:val="single" w:color="auto" w:sz="12" w:space="0"/>
                  </w:tcBorders>
                  <w:vAlign w:val="center"/>
                </w:tcPr>
                <w:p w14:paraId="753856DE">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25.11</w:t>
                  </w:r>
                </w:p>
              </w:tc>
              <w:tc>
                <w:tcPr>
                  <w:tcW w:w="716" w:type="pct"/>
                  <w:tcBorders>
                    <w:bottom w:val="single" w:color="auto" w:sz="12" w:space="0"/>
                    <w:right w:val="nil"/>
                  </w:tcBorders>
                  <w:vAlign w:val="center"/>
                </w:tcPr>
                <w:p w14:paraId="31DBA432">
                  <w:pPr>
                    <w:adjustRightInd w:val="0"/>
                    <w:snapToGrid w:val="0"/>
                    <w:jc w:val="center"/>
                    <w:rPr>
                      <w:rFonts w:hint="default" w:ascii="Times New Roman" w:hAnsi="宋体" w:eastAsia="宋体" w:cs="Times New Roman"/>
                      <w:color w:val="FF0000"/>
                      <w:kern w:val="2"/>
                      <w:sz w:val="18"/>
                      <w:szCs w:val="18"/>
                      <w:u w:val="none"/>
                      <w:lang w:val="en-US" w:eastAsia="zh-CN" w:bidi="ar-SA"/>
                    </w:rPr>
                  </w:pPr>
                  <w:r>
                    <w:rPr>
                      <w:rFonts w:hint="eastAsia" w:hAnsi="宋体"/>
                      <w:color w:val="FF0000"/>
                      <w:sz w:val="18"/>
                      <w:szCs w:val="18"/>
                      <w:u w:val="none"/>
                      <w:lang w:val="en-US" w:eastAsia="zh-CN"/>
                    </w:rPr>
                    <w:t>38.79</w:t>
                  </w:r>
                </w:p>
              </w:tc>
            </w:tr>
          </w:tbl>
          <w:p w14:paraId="5B3C4958">
            <w:pPr>
              <w:pStyle w:val="62"/>
              <w:ind w:firstLine="480"/>
              <w:rPr>
                <w:rFonts w:hAnsi="宋体" w:cs="Times New Roman"/>
                <w:u w:val="none"/>
              </w:rPr>
            </w:pPr>
            <w:r>
              <w:rPr>
                <w:rFonts w:hint="eastAsia" w:hAnsi="宋体" w:cs="Times New Roman"/>
                <w:u w:val="none"/>
              </w:rPr>
              <w:t>（</w:t>
            </w:r>
            <w:r>
              <w:rPr>
                <w:rFonts w:hAnsi="宋体" w:cs="Times New Roman"/>
                <w:u w:val="none"/>
              </w:rPr>
              <w:t>2）拆迁</w:t>
            </w:r>
          </w:p>
          <w:p w14:paraId="23154822">
            <w:pPr>
              <w:pStyle w:val="62"/>
              <w:ind w:firstLine="480"/>
              <w:rPr>
                <w:rFonts w:hint="default" w:hAnsi="宋体" w:eastAsia="宋体" w:cs="Times New Roman"/>
                <w:u w:val="none"/>
                <w:lang w:val="en-US" w:eastAsia="zh-CN"/>
              </w:rPr>
            </w:pPr>
            <w:r>
              <w:rPr>
                <w:rFonts w:hint="eastAsia" w:hAnsi="宋体" w:cs="Times New Roman"/>
                <w:u w:val="none"/>
              </w:rPr>
              <w:t>本项目</w:t>
            </w:r>
            <w:r>
              <w:rPr>
                <w:rFonts w:hAnsi="宋体" w:cs="Times New Roman"/>
                <w:u w:val="none"/>
              </w:rPr>
              <w:t>不涉及</w:t>
            </w:r>
            <w:r>
              <w:rPr>
                <w:rFonts w:hint="eastAsia" w:hAnsi="宋体" w:cs="Times New Roman"/>
                <w:u w:val="none"/>
              </w:rPr>
              <w:t>工程拆迁</w:t>
            </w:r>
            <w:r>
              <w:rPr>
                <w:rFonts w:hint="eastAsia" w:hAnsi="宋体" w:cs="Times New Roman"/>
                <w:u w:val="none"/>
                <w:lang w:val="en-US" w:eastAsia="zh-CN"/>
              </w:rPr>
              <w:t>和移民安置</w:t>
            </w:r>
            <w:r>
              <w:rPr>
                <w:rFonts w:hAnsi="宋体" w:cs="Times New Roman"/>
                <w:u w:val="none"/>
              </w:rPr>
              <w:t>。</w:t>
            </w:r>
          </w:p>
          <w:p w14:paraId="24BECA80">
            <w:pPr>
              <w:spacing w:line="408" w:lineRule="auto"/>
              <w:jc w:val="left"/>
              <w:rPr>
                <w:b/>
                <w:bCs/>
                <w:sz w:val="24"/>
                <w:u w:val="none"/>
              </w:rPr>
            </w:pPr>
            <w:r>
              <w:rPr>
                <w:b/>
                <w:bCs/>
                <w:sz w:val="24"/>
                <w:u w:val="none"/>
              </w:rPr>
              <w:t>4</w:t>
            </w:r>
            <w:r>
              <w:rPr>
                <w:rFonts w:hint="eastAsia"/>
                <w:b/>
                <w:bCs/>
                <w:sz w:val="24"/>
                <w:u w:val="none"/>
                <w:lang w:eastAsia="zh-CN"/>
              </w:rPr>
              <w:t>、</w:t>
            </w:r>
            <w:r>
              <w:rPr>
                <w:rFonts w:hint="eastAsia"/>
                <w:b/>
                <w:bCs/>
                <w:sz w:val="24"/>
                <w:u w:val="none"/>
              </w:rPr>
              <w:t>土石方工程情况</w:t>
            </w:r>
          </w:p>
          <w:p w14:paraId="7FFE93F2">
            <w:pPr>
              <w:pStyle w:val="62"/>
              <w:ind w:firstLine="480"/>
              <w:rPr>
                <w:rFonts w:hAnsi="宋体" w:cs="Times New Roman"/>
                <w:u w:val="none"/>
              </w:rPr>
            </w:pPr>
            <w:r>
              <w:rPr>
                <w:rFonts w:hint="eastAsia" w:hAnsi="宋体" w:cs="Times New Roman"/>
                <w:u w:val="none"/>
                <w:lang w:eastAsia="zh-CN"/>
              </w:rPr>
              <w:t>（</w:t>
            </w:r>
            <w:r>
              <w:rPr>
                <w:rFonts w:hint="eastAsia" w:hAnsi="宋体" w:cs="Times New Roman"/>
                <w:u w:val="none"/>
                <w:lang w:val="en-US" w:eastAsia="zh-CN"/>
              </w:rPr>
              <w:t>1</w:t>
            </w:r>
            <w:r>
              <w:rPr>
                <w:rFonts w:hint="eastAsia" w:hAnsi="宋体" w:cs="Times New Roman"/>
                <w:u w:val="none"/>
                <w:lang w:eastAsia="zh-CN"/>
              </w:rPr>
              <w:t>）</w:t>
            </w:r>
            <w:r>
              <w:rPr>
                <w:rFonts w:hAnsi="宋体" w:cs="Times New Roman"/>
                <w:u w:val="none"/>
              </w:rPr>
              <w:t>土石方平衡</w:t>
            </w:r>
          </w:p>
          <w:p w14:paraId="05162D3E">
            <w:pPr>
              <w:pStyle w:val="62"/>
              <w:ind w:firstLine="480"/>
              <w:rPr>
                <w:rFonts w:hAnsi="宋体" w:cs="Times New Roman"/>
                <w:u w:val="none"/>
              </w:rPr>
            </w:pPr>
            <w:r>
              <w:rPr>
                <w:rFonts w:hint="eastAsia" w:hAnsi="宋体" w:cs="Times New Roman"/>
                <w:color w:val="FF0000"/>
                <w:u w:val="none"/>
              </w:rPr>
              <w:t>本项目土石方开挖总量</w:t>
            </w:r>
            <w:r>
              <w:rPr>
                <w:rFonts w:hint="eastAsia" w:hAnsi="宋体" w:cs="Times New Roman"/>
                <w:color w:val="FF0000"/>
                <w:u w:val="none"/>
                <w:lang w:val="en-US" w:eastAsia="zh-CN"/>
              </w:rPr>
              <w:t>116.12</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（含表土剥离</w:t>
            </w:r>
            <w:r>
              <w:rPr>
                <w:rFonts w:hint="eastAsia" w:hAnsi="宋体" w:cs="Times New Roman"/>
                <w:color w:val="FF0000"/>
                <w:u w:val="none"/>
                <w:lang w:val="en-US" w:eastAsia="zh-CN"/>
              </w:rPr>
              <w:t>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填方72.82</w:t>
            </w:r>
            <w:r>
              <w:rPr>
                <w:rFonts w:hint="eastAsia" w:hAnsi="宋体" w:cs="Times New Roman"/>
                <w:color w:val="FF0000"/>
                <w:u w:val="none"/>
              </w:rPr>
              <w:t>万</w:t>
            </w:r>
            <w:r>
              <w:rPr>
                <w:rFonts w:hAnsi="宋体" w:cs="Times New Roman"/>
                <w:color w:val="FF0000"/>
                <w:u w:val="none"/>
              </w:rPr>
              <w:t>m</w:t>
            </w:r>
            <w:r>
              <w:rPr>
                <w:rFonts w:hAnsi="宋体" w:cs="Times New Roman"/>
                <w:color w:val="FF0000"/>
                <w:u w:val="none"/>
                <w:vertAlign w:val="superscript"/>
              </w:rPr>
              <w:t>3</w:t>
            </w:r>
            <w:r>
              <w:rPr>
                <w:rFonts w:hint="eastAsia" w:hAnsi="宋体" w:cs="Times New Roman"/>
                <w:color w:val="FF0000"/>
                <w:u w:val="none"/>
              </w:rPr>
              <w:t>（含表土</w:t>
            </w:r>
            <w:r>
              <w:rPr>
                <w:rFonts w:hint="eastAsia" w:hAnsi="宋体" w:cs="Times New Roman"/>
                <w:color w:val="FF0000"/>
                <w:u w:val="none"/>
                <w:lang w:val="en-US" w:eastAsia="zh-CN"/>
              </w:rPr>
              <w:t>回填7.63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无借方，</w:t>
            </w:r>
            <w:r>
              <w:rPr>
                <w:rFonts w:hint="eastAsia" w:hAnsi="宋体" w:cs="Times New Roman"/>
                <w:color w:val="FF0000"/>
                <w:u w:val="none"/>
              </w:rPr>
              <w:t>弃渣</w:t>
            </w:r>
            <w:r>
              <w:rPr>
                <w:rFonts w:hint="eastAsia" w:hAnsi="宋体" w:cs="Times New Roman"/>
                <w:color w:val="FF0000"/>
                <w:u w:val="none"/>
                <w:lang w:val="en-US" w:eastAsia="zh-CN"/>
              </w:rPr>
              <w:t>43.3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设弃渣场9处（分别命名为Z1~Z9）</w:t>
            </w:r>
            <w:r>
              <w:rPr>
                <w:rFonts w:hAnsi="宋体" w:cs="Times New Roman"/>
                <w:u w:val="none"/>
              </w:rPr>
              <w:t>。</w:t>
            </w:r>
            <w:r>
              <w:rPr>
                <w:rFonts w:hint="eastAsia" w:hAnsi="宋体" w:cs="Times New Roman"/>
                <w:u w:val="none"/>
              </w:rPr>
              <w:t>根据风电机组点多分散，场内道路与风电机组配套连接全场贯通的特点，综合考虑施工时序后，对本项目土石方平衡按场内道路、风电机组区、升压站等区域进行平衡</w:t>
            </w:r>
            <w:r>
              <w:rPr>
                <w:rFonts w:hint="eastAsia" w:hAnsi="宋体" w:cs="Times New Roman"/>
                <w:u w:val="none"/>
                <w:lang w:eastAsia="zh-CN"/>
              </w:rPr>
              <w:t>。</w:t>
            </w:r>
            <w:r>
              <w:rPr>
                <w:rFonts w:hAnsi="宋体" w:cs="Times New Roman"/>
                <w:u w:val="none"/>
              </w:rPr>
              <w:t>土石方平衡情况见表</w:t>
            </w:r>
            <w:r>
              <w:rPr>
                <w:rFonts w:hint="eastAsia" w:hAnsi="宋体" w:cs="Times New Roman"/>
                <w:u w:val="none"/>
                <w:lang w:val="en-US" w:eastAsia="zh-CN"/>
              </w:rPr>
              <w:t>2-4，弃渣场见表2-5</w:t>
            </w:r>
            <w:r>
              <w:rPr>
                <w:rFonts w:hint="eastAsia" w:hAnsi="宋体" w:cs="Times New Roman"/>
                <w:u w:val="none"/>
              </w:rPr>
              <w:t>。</w:t>
            </w:r>
          </w:p>
          <w:p w14:paraId="550F4C8E">
            <w:pPr>
              <w:pStyle w:val="72"/>
              <w:keepNext/>
              <w:ind w:firstLine="86" w:firstLineChars="41"/>
              <w:jc w:val="center"/>
              <w:rPr>
                <w:rFonts w:ascii="Times New Roman" w:hAnsi="Times New Roman" w:eastAsia="宋体" w:cs="Times New Roman"/>
                <w:bCs/>
                <w:color w:val="FF0000"/>
                <w:sz w:val="22"/>
                <w:szCs w:val="22"/>
                <w:u w:val="none"/>
                <w:vertAlign w:val="superscript"/>
              </w:rPr>
            </w:pPr>
            <w:r>
              <w:rPr>
                <w:rFonts w:ascii="Times New Roman" w:hAnsi="Times New Roman" w:eastAsia="宋体" w:cs="Times New Roman"/>
                <w:b/>
                <w:bCs/>
                <w:color w:val="FF0000"/>
                <w:kern w:val="2"/>
                <w:sz w:val="21"/>
                <w:szCs w:val="21"/>
                <w:u w:val="none"/>
                <w:lang w:val="en-US" w:eastAsia="zh-CN" w:bidi="ar-SA"/>
              </w:rPr>
              <w:t>表2</w:t>
            </w:r>
            <w:r>
              <w:rPr>
                <w:rFonts w:hint="eastAsia" w:ascii="Times New Roman" w:hAnsi="Times New Roman" w:eastAsia="宋体" w:cs="Times New Roman"/>
                <w:b/>
                <w:bCs/>
                <w:color w:val="FF0000"/>
                <w:kern w:val="2"/>
                <w:sz w:val="21"/>
                <w:szCs w:val="21"/>
                <w:u w:val="none"/>
                <w:lang w:val="en-US" w:eastAsia="zh-CN" w:bidi="ar-SA"/>
              </w:rPr>
              <w:t>-</w:t>
            </w:r>
            <w:r>
              <w:rPr>
                <w:rFonts w:ascii="Times New Roman" w:hAnsi="Times New Roman" w:eastAsia="宋体" w:cs="Times New Roman"/>
                <w:b/>
                <w:bCs/>
                <w:color w:val="FF0000"/>
                <w:kern w:val="2"/>
                <w:sz w:val="21"/>
                <w:szCs w:val="21"/>
                <w:u w:val="none"/>
                <w:lang w:val="en-US" w:eastAsia="zh-CN" w:bidi="ar-SA"/>
              </w:rPr>
              <w:t>4</w:t>
            </w:r>
            <w:r>
              <w:rPr>
                <w:rFonts w:hint="eastAsia" w:ascii="Times New Roman" w:hAnsi="Times New Roman" w:eastAsia="宋体" w:cs="Times New Roman"/>
                <w:b/>
                <w:bCs/>
                <w:color w:val="FF0000"/>
                <w:kern w:val="2"/>
                <w:sz w:val="21"/>
                <w:szCs w:val="21"/>
                <w:u w:val="none"/>
                <w:lang w:val="en-US" w:eastAsia="zh-CN" w:bidi="ar-SA"/>
              </w:rPr>
              <w:t xml:space="preserve">  土石方</w:t>
            </w:r>
            <w:r>
              <w:rPr>
                <w:rFonts w:ascii="Times New Roman" w:hAnsi="Times New Roman" w:eastAsia="宋体" w:cs="Times New Roman"/>
                <w:b/>
                <w:bCs/>
                <w:color w:val="FF0000"/>
                <w:kern w:val="2"/>
                <w:sz w:val="21"/>
                <w:szCs w:val="21"/>
                <w:u w:val="none"/>
                <w:lang w:val="en-US" w:eastAsia="zh-CN" w:bidi="ar-SA"/>
              </w:rPr>
              <w:t>平衡表</w:t>
            </w:r>
            <w:r>
              <w:rPr>
                <w:rFonts w:hint="eastAsia" w:ascii="Times New Roman" w:hAnsi="Times New Roman" w:eastAsia="宋体" w:cs="Times New Roman"/>
                <w:b/>
                <w:bCs/>
                <w:color w:val="FF0000"/>
                <w:kern w:val="2"/>
                <w:sz w:val="21"/>
                <w:szCs w:val="21"/>
                <w:u w:val="none"/>
                <w:lang w:val="en-US" w:eastAsia="zh-CN" w:bidi="ar-SA"/>
              </w:rPr>
              <w:t xml:space="preserve"> </w:t>
            </w:r>
            <w:r>
              <w:rPr>
                <w:rFonts w:ascii="Times New Roman" w:hAnsi="Times New Roman" w:eastAsia="宋体" w:cs="Times New Roman"/>
                <w:b/>
                <w:bCs/>
                <w:color w:val="FF0000"/>
                <w:kern w:val="2"/>
                <w:sz w:val="21"/>
                <w:szCs w:val="21"/>
                <w:u w:val="none"/>
                <w:lang w:val="en-US" w:eastAsia="zh-CN" w:bidi="ar-SA"/>
              </w:rPr>
              <w:t xml:space="preserve"> 单位</w:t>
            </w:r>
            <w:r>
              <w:rPr>
                <w:rFonts w:hint="eastAsia" w:ascii="Times New Roman" w:hAnsi="Times New Roman" w:eastAsia="宋体" w:cs="Times New Roman"/>
                <w:b/>
                <w:bCs/>
                <w:color w:val="FF0000"/>
                <w:kern w:val="2"/>
                <w:sz w:val="21"/>
                <w:szCs w:val="21"/>
                <w:u w:val="none"/>
                <w:lang w:val="en-US" w:eastAsia="zh-CN" w:bidi="ar-SA"/>
              </w:rPr>
              <w:t>：</w:t>
            </w:r>
            <w:r>
              <w:rPr>
                <w:rFonts w:ascii="Times New Roman" w:hAnsi="Times New Roman" w:eastAsia="宋体" w:cs="Times New Roman"/>
                <w:b/>
                <w:bCs/>
                <w:color w:val="FF0000"/>
                <w:kern w:val="2"/>
                <w:sz w:val="21"/>
                <w:szCs w:val="21"/>
                <w:u w:val="none"/>
                <w:lang w:val="en-US" w:eastAsia="zh-CN" w:bidi="ar-SA"/>
              </w:rPr>
              <w:t>万m</w:t>
            </w:r>
            <w:r>
              <w:rPr>
                <w:rFonts w:ascii="Times New Roman" w:hAnsi="Times New Roman" w:eastAsia="宋体" w:cs="Times New Roman"/>
                <w:b/>
                <w:bCs/>
                <w:color w:val="FF0000"/>
                <w:kern w:val="2"/>
                <w:sz w:val="21"/>
                <w:szCs w:val="21"/>
                <w:u w:val="none"/>
                <w:vertAlign w:val="superscript"/>
                <w:lang w:val="en-US" w:eastAsia="zh-CN" w:bidi="ar-SA"/>
              </w:rPr>
              <w:t>3</w:t>
            </w:r>
          </w:p>
          <w:tbl>
            <w:tblPr>
              <w:tblStyle w:val="32"/>
              <w:tblW w:w="4999" w:type="pct"/>
              <w:tblInd w:w="5"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2658"/>
              <w:gridCol w:w="1067"/>
              <w:gridCol w:w="1067"/>
              <w:gridCol w:w="960"/>
              <w:gridCol w:w="888"/>
              <w:gridCol w:w="903"/>
              <w:gridCol w:w="1070"/>
            </w:tblGrid>
            <w:tr w14:paraId="5344F123">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BAFA3CF">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项目组成</w:t>
                  </w:r>
                </w:p>
              </w:tc>
              <w:tc>
                <w:tcPr>
                  <w:tcW w:w="619" w:type="pct"/>
                  <w:tcBorders>
                    <w:tl2br w:val="nil"/>
                    <w:tr2bl w:val="nil"/>
                  </w:tcBorders>
                  <w:vAlign w:val="center"/>
                </w:tcPr>
                <w:p w14:paraId="339E8B4C">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挖方</w:t>
                  </w:r>
                </w:p>
              </w:tc>
              <w:tc>
                <w:tcPr>
                  <w:tcW w:w="619" w:type="pct"/>
                  <w:tcBorders>
                    <w:tl2br w:val="nil"/>
                    <w:tr2bl w:val="nil"/>
                  </w:tcBorders>
                  <w:vAlign w:val="center"/>
                </w:tcPr>
                <w:p w14:paraId="224E55CC">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填方</w:t>
                  </w:r>
                </w:p>
              </w:tc>
              <w:tc>
                <w:tcPr>
                  <w:tcW w:w="557" w:type="pct"/>
                  <w:tcBorders>
                    <w:tl2br w:val="nil"/>
                    <w:tr2bl w:val="nil"/>
                  </w:tcBorders>
                  <w:vAlign w:val="center"/>
                </w:tcPr>
                <w:p w14:paraId="538D4E5C">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调入</w:t>
                  </w:r>
                </w:p>
              </w:tc>
              <w:tc>
                <w:tcPr>
                  <w:tcW w:w="515" w:type="pct"/>
                  <w:tcBorders>
                    <w:tl2br w:val="nil"/>
                    <w:tr2bl w:val="nil"/>
                  </w:tcBorders>
                  <w:vAlign w:val="center"/>
                </w:tcPr>
                <w:p w14:paraId="56B9287D">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调出</w:t>
                  </w:r>
                </w:p>
              </w:tc>
              <w:tc>
                <w:tcPr>
                  <w:tcW w:w="524" w:type="pct"/>
                  <w:tcBorders>
                    <w:tl2br w:val="nil"/>
                    <w:tr2bl w:val="nil"/>
                  </w:tcBorders>
                  <w:vAlign w:val="center"/>
                </w:tcPr>
                <w:p w14:paraId="6471FD18">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default" w:ascii="Times New Roman" w:hAnsi="Times New Roman" w:cs="Times New Roman"/>
                      <w:color w:val="FF0000"/>
                      <w:sz w:val="18"/>
                      <w:szCs w:val="18"/>
                      <w:u w:val="none"/>
                    </w:rPr>
                    <w:t>弃方</w:t>
                  </w:r>
                </w:p>
              </w:tc>
              <w:tc>
                <w:tcPr>
                  <w:tcW w:w="621" w:type="pct"/>
                  <w:tcBorders>
                    <w:tl2br w:val="nil"/>
                    <w:tr2bl w:val="nil"/>
                  </w:tcBorders>
                  <w:vAlign w:val="center"/>
                </w:tcPr>
                <w:p w14:paraId="2911D87B">
                  <w:pPr>
                    <w:pStyle w:val="44"/>
                    <w:kinsoku w:val="0"/>
                    <w:overflowPunct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去向</w:t>
                  </w:r>
                </w:p>
              </w:tc>
            </w:tr>
            <w:tr w14:paraId="0EA7CC3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576C87D">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default" w:ascii="Times New Roman" w:hAnsi="Times New Roman" w:cs="Times New Roman"/>
                      <w:color w:val="FF0000"/>
                      <w:sz w:val="18"/>
                      <w:szCs w:val="18"/>
                      <w:u w:val="none"/>
                      <w:lang w:val="en-US" w:eastAsia="zh-CN"/>
                    </w:rPr>
                    <w:t>一、场内道路至DZ</w:t>
                  </w:r>
                  <w:r>
                    <w:rPr>
                      <w:rFonts w:hint="eastAsia" w:cs="Times New Roman"/>
                      <w:color w:val="FF0000"/>
                      <w:sz w:val="18"/>
                      <w:szCs w:val="18"/>
                      <w:u w:val="none"/>
                      <w:lang w:val="en-US" w:eastAsia="zh-CN"/>
                    </w:rPr>
                    <w:t>1</w:t>
                  </w:r>
                  <w:r>
                    <w:rPr>
                      <w:rFonts w:hint="default" w:ascii="Times New Roman" w:hAnsi="Times New Roman" w:cs="Times New Roman"/>
                      <w:color w:val="FF0000"/>
                      <w:sz w:val="18"/>
                      <w:szCs w:val="18"/>
                      <w:u w:val="none"/>
                      <w:lang w:val="en-US" w:eastAsia="zh-CN"/>
                    </w:rPr>
                    <w:t>-DZ18段及DZ1</w:t>
                  </w:r>
                  <w:r>
                    <w:rPr>
                      <w:rFonts w:hint="default" w:ascii="Times New Roman" w:hAnsi="Times New Roman" w:cs="Times New Roman"/>
                      <w:color w:val="FF0000"/>
                      <w:sz w:val="18"/>
                      <w:szCs w:val="18"/>
                      <w:u w:val="none"/>
                      <w:lang w:eastAsia="zh-CN"/>
                    </w:rPr>
                    <w:t>、</w:t>
                  </w:r>
                  <w:r>
                    <w:rPr>
                      <w:rFonts w:hint="default" w:ascii="Times New Roman" w:hAnsi="Times New Roman" w:cs="Times New Roman"/>
                      <w:color w:val="FF0000"/>
                      <w:sz w:val="18"/>
                      <w:szCs w:val="18"/>
                      <w:u w:val="none"/>
                      <w:lang w:val="en-US" w:eastAsia="zh-CN"/>
                    </w:rPr>
                    <w:t>DZ2、DZ3</w:t>
                  </w:r>
                  <w:r>
                    <w:rPr>
                      <w:rFonts w:hint="eastAsia" w:cs="Times New Roman"/>
                      <w:color w:val="FF0000"/>
                      <w:sz w:val="18"/>
                      <w:szCs w:val="18"/>
                      <w:u w:val="none"/>
                      <w:lang w:val="en-US" w:eastAsia="zh-CN"/>
                    </w:rPr>
                    <w:t>、</w:t>
                  </w:r>
                  <w:r>
                    <w:rPr>
                      <w:rFonts w:hint="default" w:ascii="Times New Roman" w:hAnsi="Times New Roman" w:cs="Times New Roman"/>
                      <w:color w:val="FF0000"/>
                      <w:sz w:val="18"/>
                      <w:szCs w:val="18"/>
                      <w:u w:val="none"/>
                      <w:lang w:val="en-US" w:eastAsia="zh-CN"/>
                    </w:rPr>
                    <w:t>DZ18风机平台</w:t>
                  </w:r>
                </w:p>
              </w:tc>
              <w:tc>
                <w:tcPr>
                  <w:tcW w:w="619" w:type="pct"/>
                  <w:tcBorders>
                    <w:tl2br w:val="nil"/>
                    <w:tr2bl w:val="nil"/>
                  </w:tcBorders>
                  <w:vAlign w:val="center"/>
                </w:tcPr>
                <w:p w14:paraId="2740D287">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eastAsia="仿宋_GB2312" w:cs="Times New Roman"/>
                      <w:color w:val="FF0000"/>
                      <w:sz w:val="18"/>
                      <w:szCs w:val="18"/>
                      <w:u w:val="none"/>
                      <w:lang w:val="en-US" w:eastAsia="zh-CN"/>
                    </w:rPr>
                    <w:t>31.59</w:t>
                  </w:r>
                </w:p>
              </w:tc>
              <w:tc>
                <w:tcPr>
                  <w:tcW w:w="619" w:type="pct"/>
                  <w:tcBorders>
                    <w:tl2br w:val="nil"/>
                    <w:tr2bl w:val="nil"/>
                  </w:tcBorders>
                  <w:vAlign w:val="center"/>
                </w:tcPr>
                <w:p w14:paraId="372FF6FB">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20.71</w:t>
                  </w:r>
                </w:p>
              </w:tc>
              <w:tc>
                <w:tcPr>
                  <w:tcW w:w="557" w:type="pct"/>
                  <w:tcBorders>
                    <w:tl2br w:val="nil"/>
                    <w:tr2bl w:val="nil"/>
                  </w:tcBorders>
                  <w:vAlign w:val="center"/>
                </w:tcPr>
                <w:p w14:paraId="2E8F2C5E">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130516E2">
                  <w:pPr>
                    <w:pStyle w:val="44"/>
                    <w:kinsoku w:val="0"/>
                    <w:overflowPunct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47675CB2">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10.88</w:t>
                  </w:r>
                </w:p>
              </w:tc>
              <w:tc>
                <w:tcPr>
                  <w:tcW w:w="621" w:type="pct"/>
                  <w:vMerge w:val="restart"/>
                  <w:tcBorders>
                    <w:tl2br w:val="nil"/>
                    <w:tr2bl w:val="nil"/>
                  </w:tcBorders>
                  <w:vAlign w:val="center"/>
                </w:tcPr>
                <w:p w14:paraId="1FA6FECF">
                  <w:pPr>
                    <w:adjustRightInd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Z1、Z2、Z3</w:t>
                  </w:r>
                </w:p>
              </w:tc>
            </w:tr>
            <w:tr w14:paraId="50B6ECC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1B1F80E8">
                  <w:pPr>
                    <w:pStyle w:val="44"/>
                    <w:kinsoku w:val="0"/>
                    <w:overflowPunct w:val="0"/>
                    <w:snapToGrid w:val="0"/>
                    <w:jc w:val="center"/>
                    <w:rPr>
                      <w:rFonts w:hint="default" w:ascii="Times New Roman" w:hAnsi="Times New Roman"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2C00E34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29.94</w:t>
                  </w:r>
                </w:p>
              </w:tc>
              <w:tc>
                <w:tcPr>
                  <w:tcW w:w="619" w:type="pct"/>
                  <w:tcBorders>
                    <w:tl2br w:val="nil"/>
                    <w:tr2bl w:val="nil"/>
                  </w:tcBorders>
                  <w:vAlign w:val="center"/>
                </w:tcPr>
                <w:p w14:paraId="1E2C3CD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19.2</w:t>
                  </w:r>
                </w:p>
              </w:tc>
              <w:tc>
                <w:tcPr>
                  <w:tcW w:w="557" w:type="pct"/>
                  <w:tcBorders>
                    <w:tl2br w:val="nil"/>
                    <w:tr2bl w:val="nil"/>
                  </w:tcBorders>
                  <w:vAlign w:val="center"/>
                </w:tcPr>
                <w:p w14:paraId="0DDDD82F">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3B5EA1B1">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2B6D39E4">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10.74</w:t>
                  </w:r>
                </w:p>
              </w:tc>
              <w:tc>
                <w:tcPr>
                  <w:tcW w:w="621" w:type="pct"/>
                  <w:vMerge w:val="continue"/>
                  <w:tcBorders>
                    <w:tl2br w:val="nil"/>
                    <w:tr2bl w:val="nil"/>
                  </w:tcBorders>
                  <w:vAlign w:val="center"/>
                </w:tcPr>
                <w:p w14:paraId="7C79591D">
                  <w:pPr>
                    <w:adjustRightInd w:val="0"/>
                    <w:snapToGrid w:val="0"/>
                    <w:jc w:val="center"/>
                    <w:rPr>
                      <w:rFonts w:hint="eastAsia" w:cs="Times New Roman"/>
                      <w:color w:val="FF0000"/>
                      <w:sz w:val="18"/>
                      <w:szCs w:val="18"/>
                      <w:u w:val="none"/>
                      <w:lang w:val="en-US" w:eastAsia="zh-CN"/>
                    </w:rPr>
                  </w:pPr>
                </w:p>
              </w:tc>
            </w:tr>
            <w:tr w14:paraId="6D31D4C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147D6F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55197D77">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1.65</w:t>
                  </w:r>
                </w:p>
              </w:tc>
              <w:tc>
                <w:tcPr>
                  <w:tcW w:w="619" w:type="pct"/>
                  <w:tcBorders>
                    <w:tl2br w:val="nil"/>
                    <w:tr2bl w:val="nil"/>
                  </w:tcBorders>
                  <w:vAlign w:val="center"/>
                </w:tcPr>
                <w:p w14:paraId="0B69CC3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1.51</w:t>
                  </w:r>
                </w:p>
              </w:tc>
              <w:tc>
                <w:tcPr>
                  <w:tcW w:w="557" w:type="pct"/>
                  <w:tcBorders>
                    <w:tl2br w:val="nil"/>
                    <w:tr2bl w:val="nil"/>
                  </w:tcBorders>
                  <w:vAlign w:val="center"/>
                </w:tcPr>
                <w:p w14:paraId="40F6A344">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0.14</w:t>
                  </w:r>
                </w:p>
              </w:tc>
              <w:tc>
                <w:tcPr>
                  <w:tcW w:w="515" w:type="pct"/>
                  <w:tcBorders>
                    <w:tl2br w:val="nil"/>
                    <w:tr2bl w:val="nil"/>
                  </w:tcBorders>
                  <w:vAlign w:val="center"/>
                </w:tcPr>
                <w:p w14:paraId="4F1C4F07">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1488A7FA">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0.14</w:t>
                  </w:r>
                </w:p>
              </w:tc>
              <w:tc>
                <w:tcPr>
                  <w:tcW w:w="621" w:type="pct"/>
                  <w:vMerge w:val="continue"/>
                  <w:tcBorders>
                    <w:tl2br w:val="nil"/>
                    <w:tr2bl w:val="nil"/>
                  </w:tcBorders>
                  <w:vAlign w:val="center"/>
                </w:tcPr>
                <w:p w14:paraId="7F82F763">
                  <w:pPr>
                    <w:adjustRightInd w:val="0"/>
                    <w:snapToGrid w:val="0"/>
                    <w:jc w:val="center"/>
                    <w:rPr>
                      <w:rFonts w:hint="eastAsia" w:cs="Times New Roman"/>
                      <w:color w:val="FF0000"/>
                      <w:sz w:val="18"/>
                      <w:szCs w:val="18"/>
                      <w:u w:val="none"/>
                      <w:lang w:val="en-US" w:eastAsia="zh-CN"/>
                    </w:rPr>
                  </w:pPr>
                </w:p>
              </w:tc>
            </w:tr>
            <w:tr w14:paraId="787A612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6858057E">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二、进站道路及升压站、场内道路至DZ20~DZ21段及DZ20、DZ21风机平台</w:t>
                  </w:r>
                </w:p>
              </w:tc>
              <w:tc>
                <w:tcPr>
                  <w:tcW w:w="619" w:type="pct"/>
                  <w:tcBorders>
                    <w:tl2br w:val="nil"/>
                    <w:tr2bl w:val="nil"/>
                  </w:tcBorders>
                  <w:vAlign w:val="center"/>
                </w:tcPr>
                <w:p w14:paraId="257E1BD1">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24.54</w:t>
                  </w:r>
                </w:p>
              </w:tc>
              <w:tc>
                <w:tcPr>
                  <w:tcW w:w="619" w:type="pct"/>
                  <w:tcBorders>
                    <w:tl2br w:val="nil"/>
                    <w:tr2bl w:val="nil"/>
                  </w:tcBorders>
                  <w:vAlign w:val="center"/>
                </w:tcPr>
                <w:p w14:paraId="094A0850">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13.88</w:t>
                  </w:r>
                </w:p>
              </w:tc>
              <w:tc>
                <w:tcPr>
                  <w:tcW w:w="557" w:type="pct"/>
                  <w:tcBorders>
                    <w:tl2br w:val="nil"/>
                    <w:tr2bl w:val="nil"/>
                  </w:tcBorders>
                  <w:vAlign w:val="center"/>
                </w:tcPr>
                <w:p w14:paraId="198A5DE4">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4EEEB76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149E8D59">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10.65</w:t>
                  </w:r>
                </w:p>
              </w:tc>
              <w:tc>
                <w:tcPr>
                  <w:tcW w:w="621" w:type="pct"/>
                  <w:vMerge w:val="restart"/>
                  <w:tcBorders>
                    <w:tl2br w:val="nil"/>
                    <w:tr2bl w:val="nil"/>
                  </w:tcBorders>
                  <w:vAlign w:val="center"/>
                </w:tcPr>
                <w:p w14:paraId="04A5BE35">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Z4、Z5</w:t>
                  </w:r>
                </w:p>
              </w:tc>
            </w:tr>
            <w:tr w14:paraId="70AA6D8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6C200091">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55DCB794">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20.57</w:t>
                  </w:r>
                </w:p>
              </w:tc>
              <w:tc>
                <w:tcPr>
                  <w:tcW w:w="619" w:type="pct"/>
                  <w:tcBorders>
                    <w:tl2br w:val="nil"/>
                    <w:tr2bl w:val="nil"/>
                  </w:tcBorders>
                  <w:vAlign w:val="center"/>
                </w:tcPr>
                <w:p w14:paraId="2F8E764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12.50</w:t>
                  </w:r>
                </w:p>
              </w:tc>
              <w:tc>
                <w:tcPr>
                  <w:tcW w:w="557" w:type="pct"/>
                  <w:tcBorders>
                    <w:tl2br w:val="nil"/>
                    <w:tr2bl w:val="nil"/>
                  </w:tcBorders>
                  <w:vAlign w:val="center"/>
                </w:tcPr>
                <w:p w14:paraId="69593A8D">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68F9C61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0.09</w:t>
                  </w:r>
                </w:p>
              </w:tc>
              <w:tc>
                <w:tcPr>
                  <w:tcW w:w="524" w:type="pct"/>
                  <w:tcBorders>
                    <w:tl2br w:val="nil"/>
                    <w:tr2bl w:val="nil"/>
                  </w:tcBorders>
                  <w:vAlign w:val="center"/>
                </w:tcPr>
                <w:p w14:paraId="37AA01B9">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7.98</w:t>
                  </w:r>
                </w:p>
              </w:tc>
              <w:tc>
                <w:tcPr>
                  <w:tcW w:w="621" w:type="pct"/>
                  <w:vMerge w:val="continue"/>
                  <w:tcBorders>
                    <w:tl2br w:val="nil"/>
                    <w:tr2bl w:val="nil"/>
                  </w:tcBorders>
                  <w:vAlign w:val="center"/>
                </w:tcPr>
                <w:p w14:paraId="6468C9E8">
                  <w:pPr>
                    <w:adjustRightInd w:val="0"/>
                    <w:snapToGrid w:val="0"/>
                    <w:jc w:val="center"/>
                    <w:rPr>
                      <w:rFonts w:hint="eastAsia" w:cs="Times New Roman"/>
                      <w:color w:val="FF0000"/>
                      <w:sz w:val="18"/>
                      <w:szCs w:val="18"/>
                      <w:u w:val="none"/>
                      <w:lang w:val="en-US" w:eastAsia="zh-CN"/>
                    </w:rPr>
                  </w:pPr>
                </w:p>
              </w:tc>
            </w:tr>
            <w:tr w14:paraId="72A1470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D204A47">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0FD78E53">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1.62</w:t>
                  </w:r>
                </w:p>
              </w:tc>
              <w:tc>
                <w:tcPr>
                  <w:tcW w:w="619" w:type="pct"/>
                  <w:tcBorders>
                    <w:tl2br w:val="nil"/>
                    <w:tr2bl w:val="nil"/>
                  </w:tcBorders>
                  <w:vAlign w:val="center"/>
                </w:tcPr>
                <w:p w14:paraId="407C0469">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0.45</w:t>
                  </w:r>
                </w:p>
              </w:tc>
              <w:tc>
                <w:tcPr>
                  <w:tcW w:w="557" w:type="pct"/>
                  <w:tcBorders>
                    <w:tl2br w:val="nil"/>
                    <w:tr2bl w:val="nil"/>
                  </w:tcBorders>
                  <w:vAlign w:val="center"/>
                </w:tcPr>
                <w:p w14:paraId="584A54A4">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0.09</w:t>
                  </w:r>
                </w:p>
              </w:tc>
              <w:tc>
                <w:tcPr>
                  <w:tcW w:w="515" w:type="pct"/>
                  <w:tcBorders>
                    <w:tl2br w:val="nil"/>
                    <w:tr2bl w:val="nil"/>
                  </w:tcBorders>
                  <w:vAlign w:val="center"/>
                </w:tcPr>
                <w:p w14:paraId="2E4E2F4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1.25</w:t>
                  </w:r>
                </w:p>
              </w:tc>
              <w:tc>
                <w:tcPr>
                  <w:tcW w:w="524" w:type="pct"/>
                  <w:tcBorders>
                    <w:tl2br w:val="nil"/>
                    <w:tr2bl w:val="nil"/>
                  </w:tcBorders>
                  <w:vAlign w:val="center"/>
                </w:tcPr>
                <w:p w14:paraId="30017543">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vMerge w:val="continue"/>
                  <w:tcBorders>
                    <w:tl2br w:val="nil"/>
                    <w:tr2bl w:val="nil"/>
                  </w:tcBorders>
                  <w:vAlign w:val="center"/>
                </w:tcPr>
                <w:p w14:paraId="2ACC3114">
                  <w:pPr>
                    <w:adjustRightInd w:val="0"/>
                    <w:snapToGrid w:val="0"/>
                    <w:jc w:val="center"/>
                    <w:rPr>
                      <w:rFonts w:hint="eastAsia" w:cs="Times New Roman"/>
                      <w:color w:val="FF0000"/>
                      <w:sz w:val="18"/>
                      <w:szCs w:val="18"/>
                      <w:u w:val="none"/>
                      <w:lang w:val="en-US" w:eastAsia="zh-CN"/>
                    </w:rPr>
                  </w:pPr>
                </w:p>
              </w:tc>
            </w:tr>
            <w:tr w14:paraId="0452BD56">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5FA807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3、升压站</w:t>
                  </w:r>
                </w:p>
              </w:tc>
              <w:tc>
                <w:tcPr>
                  <w:tcW w:w="619" w:type="pct"/>
                  <w:tcBorders>
                    <w:tl2br w:val="nil"/>
                    <w:tr2bl w:val="nil"/>
                  </w:tcBorders>
                  <w:vAlign w:val="center"/>
                </w:tcPr>
                <w:p w14:paraId="160CDF03">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2.35</w:t>
                  </w:r>
                </w:p>
              </w:tc>
              <w:tc>
                <w:tcPr>
                  <w:tcW w:w="619" w:type="pct"/>
                  <w:tcBorders>
                    <w:tl2br w:val="nil"/>
                    <w:tr2bl w:val="nil"/>
                  </w:tcBorders>
                  <w:vAlign w:val="center"/>
                </w:tcPr>
                <w:p w14:paraId="611A812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0.93</w:t>
                  </w:r>
                </w:p>
              </w:tc>
              <w:tc>
                <w:tcPr>
                  <w:tcW w:w="557" w:type="pct"/>
                  <w:tcBorders>
                    <w:tl2br w:val="nil"/>
                    <w:tr2bl w:val="nil"/>
                  </w:tcBorders>
                  <w:vAlign w:val="center"/>
                </w:tcPr>
                <w:p w14:paraId="756AFFA7">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0548BFA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1.42</w:t>
                  </w:r>
                </w:p>
              </w:tc>
              <w:tc>
                <w:tcPr>
                  <w:tcW w:w="524" w:type="pct"/>
                  <w:tcBorders>
                    <w:tl2br w:val="nil"/>
                    <w:tr2bl w:val="nil"/>
                  </w:tcBorders>
                  <w:vAlign w:val="center"/>
                </w:tcPr>
                <w:p w14:paraId="5A846DC2">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vMerge w:val="continue"/>
                  <w:tcBorders>
                    <w:tl2br w:val="nil"/>
                    <w:tr2bl w:val="nil"/>
                  </w:tcBorders>
                  <w:vAlign w:val="center"/>
                </w:tcPr>
                <w:p w14:paraId="7F34299A">
                  <w:pPr>
                    <w:adjustRightInd w:val="0"/>
                    <w:snapToGrid w:val="0"/>
                    <w:jc w:val="center"/>
                    <w:rPr>
                      <w:rFonts w:hint="eastAsia" w:cs="Times New Roman"/>
                      <w:color w:val="FF0000"/>
                      <w:sz w:val="18"/>
                      <w:szCs w:val="18"/>
                      <w:u w:val="none"/>
                      <w:lang w:val="en-US" w:eastAsia="zh-CN"/>
                    </w:rPr>
                  </w:pPr>
                </w:p>
              </w:tc>
            </w:tr>
            <w:tr w14:paraId="078A7ED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01DC37B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三、场内道路至DZ5~DZ12段及DZ5、DZ6、DZ8、DZ11、DZ12风机平台</w:t>
                  </w:r>
                </w:p>
              </w:tc>
              <w:tc>
                <w:tcPr>
                  <w:tcW w:w="619" w:type="pct"/>
                  <w:tcBorders>
                    <w:tl2br w:val="nil"/>
                    <w:tr2bl w:val="nil"/>
                  </w:tcBorders>
                  <w:vAlign w:val="center"/>
                </w:tcPr>
                <w:p w14:paraId="5FC751AA">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31.11</w:t>
                  </w:r>
                </w:p>
              </w:tc>
              <w:tc>
                <w:tcPr>
                  <w:tcW w:w="619" w:type="pct"/>
                  <w:tcBorders>
                    <w:tl2br w:val="nil"/>
                    <w:tr2bl w:val="nil"/>
                  </w:tcBorders>
                  <w:vAlign w:val="center"/>
                </w:tcPr>
                <w:p w14:paraId="1BC52F10">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18.5</w:t>
                  </w:r>
                </w:p>
              </w:tc>
              <w:tc>
                <w:tcPr>
                  <w:tcW w:w="557" w:type="pct"/>
                  <w:tcBorders>
                    <w:tl2br w:val="nil"/>
                    <w:tr2bl w:val="nil"/>
                  </w:tcBorders>
                  <w:vAlign w:val="center"/>
                </w:tcPr>
                <w:p w14:paraId="4E6A2E13">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149B505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423404B8">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12.61</w:t>
                  </w:r>
                </w:p>
              </w:tc>
              <w:tc>
                <w:tcPr>
                  <w:tcW w:w="621" w:type="pct"/>
                  <w:vMerge w:val="restart"/>
                  <w:tcBorders>
                    <w:tl2br w:val="nil"/>
                    <w:tr2bl w:val="nil"/>
                  </w:tcBorders>
                  <w:vAlign w:val="center"/>
                </w:tcPr>
                <w:p w14:paraId="541E5A38">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Z6、Z7</w:t>
                  </w:r>
                </w:p>
              </w:tc>
            </w:tr>
            <w:tr w14:paraId="2888250D">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1268F390">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3CB77860">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28.73</w:t>
                  </w:r>
                </w:p>
              </w:tc>
              <w:tc>
                <w:tcPr>
                  <w:tcW w:w="619" w:type="pct"/>
                  <w:tcBorders>
                    <w:tl2br w:val="nil"/>
                    <w:tr2bl w:val="nil"/>
                  </w:tcBorders>
                  <w:vAlign w:val="center"/>
                </w:tcPr>
                <w:p w14:paraId="0CFA451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17.47</w:t>
                  </w:r>
                </w:p>
              </w:tc>
              <w:tc>
                <w:tcPr>
                  <w:tcW w:w="557" w:type="pct"/>
                  <w:tcBorders>
                    <w:tl2br w:val="nil"/>
                    <w:tr2bl w:val="nil"/>
                  </w:tcBorders>
                  <w:vAlign w:val="center"/>
                </w:tcPr>
                <w:p w14:paraId="5DFA3732">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60C4B310">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0.23</w:t>
                  </w:r>
                </w:p>
              </w:tc>
              <w:tc>
                <w:tcPr>
                  <w:tcW w:w="524" w:type="pct"/>
                  <w:tcBorders>
                    <w:tl2br w:val="nil"/>
                    <w:tr2bl w:val="nil"/>
                  </w:tcBorders>
                  <w:vAlign w:val="center"/>
                </w:tcPr>
                <w:p w14:paraId="6A5FC212">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11.03</w:t>
                  </w:r>
                </w:p>
              </w:tc>
              <w:tc>
                <w:tcPr>
                  <w:tcW w:w="621" w:type="pct"/>
                  <w:vMerge w:val="continue"/>
                  <w:tcBorders>
                    <w:tl2br w:val="nil"/>
                    <w:tr2bl w:val="nil"/>
                  </w:tcBorders>
                  <w:vAlign w:val="center"/>
                </w:tcPr>
                <w:p w14:paraId="61FA2C3A">
                  <w:pPr>
                    <w:adjustRightInd w:val="0"/>
                    <w:snapToGrid w:val="0"/>
                    <w:jc w:val="center"/>
                    <w:rPr>
                      <w:rFonts w:hint="eastAsia" w:cs="Times New Roman"/>
                      <w:color w:val="FF0000"/>
                      <w:sz w:val="18"/>
                      <w:szCs w:val="18"/>
                      <w:u w:val="none"/>
                      <w:lang w:val="en-US" w:eastAsia="zh-CN"/>
                    </w:rPr>
                  </w:pPr>
                </w:p>
              </w:tc>
            </w:tr>
            <w:tr w14:paraId="6F01894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5C8F5C44">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59580BB4">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2.38</w:t>
                  </w:r>
                </w:p>
              </w:tc>
              <w:tc>
                <w:tcPr>
                  <w:tcW w:w="619" w:type="pct"/>
                  <w:tcBorders>
                    <w:tl2br w:val="nil"/>
                    <w:tr2bl w:val="nil"/>
                  </w:tcBorders>
                  <w:vAlign w:val="center"/>
                </w:tcPr>
                <w:p w14:paraId="15CBBB0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1.03</w:t>
                  </w:r>
                </w:p>
              </w:tc>
              <w:tc>
                <w:tcPr>
                  <w:tcW w:w="557" w:type="pct"/>
                  <w:tcBorders>
                    <w:tl2br w:val="nil"/>
                    <w:tr2bl w:val="nil"/>
                  </w:tcBorders>
                  <w:vAlign w:val="center"/>
                </w:tcPr>
                <w:p w14:paraId="52BDE83E">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0.23</w:t>
                  </w:r>
                </w:p>
              </w:tc>
              <w:tc>
                <w:tcPr>
                  <w:tcW w:w="515" w:type="pct"/>
                  <w:tcBorders>
                    <w:tl2br w:val="nil"/>
                    <w:tr2bl w:val="nil"/>
                  </w:tcBorders>
                  <w:vAlign w:val="center"/>
                </w:tcPr>
                <w:p w14:paraId="60A188AE">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74AA15D7">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1.78</w:t>
                  </w:r>
                </w:p>
              </w:tc>
              <w:tc>
                <w:tcPr>
                  <w:tcW w:w="621" w:type="pct"/>
                  <w:vMerge w:val="continue"/>
                  <w:tcBorders>
                    <w:tl2br w:val="nil"/>
                    <w:tr2bl w:val="nil"/>
                  </w:tcBorders>
                  <w:vAlign w:val="center"/>
                </w:tcPr>
                <w:p w14:paraId="6F9C00C0">
                  <w:pPr>
                    <w:adjustRightInd w:val="0"/>
                    <w:snapToGrid w:val="0"/>
                    <w:jc w:val="center"/>
                    <w:rPr>
                      <w:rFonts w:hint="eastAsia" w:cs="Times New Roman"/>
                      <w:color w:val="FF0000"/>
                      <w:sz w:val="18"/>
                      <w:szCs w:val="18"/>
                      <w:u w:val="none"/>
                      <w:lang w:val="en-US" w:eastAsia="zh-CN"/>
                    </w:rPr>
                  </w:pPr>
                </w:p>
              </w:tc>
            </w:tr>
            <w:tr w14:paraId="0F57F52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BABCF3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四、场内道路至DZ17段风机平台</w:t>
                  </w:r>
                </w:p>
              </w:tc>
              <w:tc>
                <w:tcPr>
                  <w:tcW w:w="619" w:type="pct"/>
                  <w:tcBorders>
                    <w:tl2br w:val="nil"/>
                    <w:tr2bl w:val="nil"/>
                  </w:tcBorders>
                  <w:vAlign w:val="center"/>
                </w:tcPr>
                <w:p w14:paraId="519E0B0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4.61</w:t>
                  </w:r>
                </w:p>
              </w:tc>
              <w:tc>
                <w:tcPr>
                  <w:tcW w:w="619" w:type="pct"/>
                  <w:tcBorders>
                    <w:tl2br w:val="nil"/>
                    <w:tr2bl w:val="nil"/>
                  </w:tcBorders>
                  <w:vAlign w:val="center"/>
                </w:tcPr>
                <w:p w14:paraId="5228BCA4">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3.10</w:t>
                  </w:r>
                </w:p>
              </w:tc>
              <w:tc>
                <w:tcPr>
                  <w:tcW w:w="557" w:type="pct"/>
                  <w:tcBorders>
                    <w:tl2br w:val="nil"/>
                    <w:tr2bl w:val="nil"/>
                  </w:tcBorders>
                  <w:vAlign w:val="center"/>
                </w:tcPr>
                <w:p w14:paraId="66A19181">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15" w:type="pct"/>
                  <w:tcBorders>
                    <w:tl2br w:val="nil"/>
                    <w:tr2bl w:val="nil"/>
                  </w:tcBorders>
                  <w:vAlign w:val="center"/>
                </w:tcPr>
                <w:p w14:paraId="2FBAECF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24" w:type="pct"/>
                  <w:tcBorders>
                    <w:tl2br w:val="nil"/>
                    <w:tr2bl w:val="nil"/>
                  </w:tcBorders>
                  <w:vAlign w:val="center"/>
                </w:tcPr>
                <w:p w14:paraId="3A63DFC1">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1.51</w:t>
                  </w:r>
                </w:p>
              </w:tc>
              <w:tc>
                <w:tcPr>
                  <w:tcW w:w="621" w:type="pct"/>
                  <w:vMerge w:val="restart"/>
                  <w:tcBorders>
                    <w:tl2br w:val="nil"/>
                    <w:tr2bl w:val="nil"/>
                  </w:tcBorders>
                  <w:vAlign w:val="center"/>
                </w:tcPr>
                <w:p w14:paraId="31158DDC">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Z8</w:t>
                  </w:r>
                </w:p>
              </w:tc>
            </w:tr>
            <w:tr w14:paraId="0DFE8E6B">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1F47B9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1DD8B92F">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4.28</w:t>
                  </w:r>
                </w:p>
              </w:tc>
              <w:tc>
                <w:tcPr>
                  <w:tcW w:w="619" w:type="pct"/>
                  <w:tcBorders>
                    <w:tl2br w:val="nil"/>
                    <w:tr2bl w:val="nil"/>
                  </w:tcBorders>
                  <w:vAlign w:val="center"/>
                </w:tcPr>
                <w:p w14:paraId="2D474D6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2.74</w:t>
                  </w:r>
                </w:p>
              </w:tc>
              <w:tc>
                <w:tcPr>
                  <w:tcW w:w="557" w:type="pct"/>
                  <w:tcBorders>
                    <w:tl2br w:val="nil"/>
                    <w:tr2bl w:val="nil"/>
                  </w:tcBorders>
                  <w:vAlign w:val="center"/>
                </w:tcPr>
                <w:p w14:paraId="7E73079E">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62DAFAE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24" w:type="pct"/>
                  <w:tcBorders>
                    <w:tl2br w:val="nil"/>
                    <w:tr2bl w:val="nil"/>
                  </w:tcBorders>
                  <w:vAlign w:val="center"/>
                </w:tcPr>
                <w:p w14:paraId="6941F660">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1.51</w:t>
                  </w:r>
                </w:p>
              </w:tc>
              <w:tc>
                <w:tcPr>
                  <w:tcW w:w="621" w:type="pct"/>
                  <w:vMerge w:val="continue"/>
                  <w:tcBorders>
                    <w:tl2br w:val="nil"/>
                    <w:tr2bl w:val="nil"/>
                  </w:tcBorders>
                  <w:vAlign w:val="center"/>
                </w:tcPr>
                <w:p w14:paraId="7CC276EE">
                  <w:pPr>
                    <w:adjustRightInd w:val="0"/>
                    <w:snapToGrid w:val="0"/>
                    <w:jc w:val="center"/>
                    <w:rPr>
                      <w:rFonts w:hint="eastAsia" w:cs="Times New Roman"/>
                      <w:color w:val="FF0000"/>
                      <w:sz w:val="18"/>
                      <w:szCs w:val="18"/>
                      <w:u w:val="none"/>
                      <w:lang w:val="en-US" w:eastAsia="zh-CN"/>
                    </w:rPr>
                  </w:pPr>
                </w:p>
              </w:tc>
            </w:tr>
            <w:tr w14:paraId="0140B97E">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3A1A1F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2B23C3BA">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0.33</w:t>
                  </w:r>
                </w:p>
              </w:tc>
              <w:tc>
                <w:tcPr>
                  <w:tcW w:w="619" w:type="pct"/>
                  <w:tcBorders>
                    <w:tl2br w:val="nil"/>
                    <w:tr2bl w:val="nil"/>
                  </w:tcBorders>
                  <w:vAlign w:val="center"/>
                </w:tcPr>
                <w:p w14:paraId="7C1A4A73">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0.36</w:t>
                  </w:r>
                </w:p>
              </w:tc>
              <w:tc>
                <w:tcPr>
                  <w:tcW w:w="557" w:type="pct"/>
                  <w:tcBorders>
                    <w:tl2br w:val="nil"/>
                    <w:tr2bl w:val="nil"/>
                  </w:tcBorders>
                  <w:vAlign w:val="center"/>
                </w:tcPr>
                <w:p w14:paraId="3B8FF36C">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0.03</w:t>
                  </w:r>
                </w:p>
              </w:tc>
              <w:tc>
                <w:tcPr>
                  <w:tcW w:w="515" w:type="pct"/>
                  <w:tcBorders>
                    <w:tl2br w:val="nil"/>
                    <w:tr2bl w:val="nil"/>
                  </w:tcBorders>
                  <w:vAlign w:val="center"/>
                </w:tcPr>
                <w:p w14:paraId="66F1130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09D47EDC">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vMerge w:val="continue"/>
                  <w:tcBorders>
                    <w:tl2br w:val="nil"/>
                    <w:tr2bl w:val="nil"/>
                  </w:tcBorders>
                  <w:vAlign w:val="center"/>
                </w:tcPr>
                <w:p w14:paraId="65088FA9">
                  <w:pPr>
                    <w:adjustRightInd w:val="0"/>
                    <w:snapToGrid w:val="0"/>
                    <w:jc w:val="center"/>
                    <w:rPr>
                      <w:rFonts w:hint="eastAsia" w:cs="Times New Roman"/>
                      <w:color w:val="FF0000"/>
                      <w:sz w:val="18"/>
                      <w:szCs w:val="18"/>
                      <w:u w:val="none"/>
                      <w:lang w:val="en-US" w:eastAsia="zh-CN"/>
                    </w:rPr>
                  </w:pPr>
                </w:p>
              </w:tc>
            </w:tr>
            <w:tr w14:paraId="62CB239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494" w:hRule="atLeast"/>
              </w:trPr>
              <w:tc>
                <w:tcPr>
                  <w:tcW w:w="1542" w:type="pct"/>
                  <w:tcBorders>
                    <w:tl2br w:val="nil"/>
                    <w:tr2bl w:val="nil"/>
                  </w:tcBorders>
                  <w:vAlign w:val="center"/>
                </w:tcPr>
                <w:p w14:paraId="21986FA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五、场内道路至DZ15段及DZ15风机平台</w:t>
                  </w:r>
                </w:p>
              </w:tc>
              <w:tc>
                <w:tcPr>
                  <w:tcW w:w="619" w:type="pct"/>
                  <w:tcBorders>
                    <w:tl2br w:val="nil"/>
                    <w:tr2bl w:val="nil"/>
                  </w:tcBorders>
                  <w:vAlign w:val="center"/>
                </w:tcPr>
                <w:p w14:paraId="025EAD74">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5.34</w:t>
                  </w:r>
                </w:p>
              </w:tc>
              <w:tc>
                <w:tcPr>
                  <w:tcW w:w="619" w:type="pct"/>
                  <w:tcBorders>
                    <w:tl2br w:val="nil"/>
                    <w:tr2bl w:val="nil"/>
                  </w:tcBorders>
                  <w:vAlign w:val="center"/>
                </w:tcPr>
                <w:p w14:paraId="0926BF2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3.70</w:t>
                  </w:r>
                </w:p>
              </w:tc>
              <w:tc>
                <w:tcPr>
                  <w:tcW w:w="557" w:type="pct"/>
                  <w:tcBorders>
                    <w:tl2br w:val="nil"/>
                    <w:tr2bl w:val="nil"/>
                  </w:tcBorders>
                  <w:vAlign w:val="center"/>
                </w:tcPr>
                <w:p w14:paraId="5D5CB429">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15" w:type="pct"/>
                  <w:tcBorders>
                    <w:tl2br w:val="nil"/>
                    <w:tr2bl w:val="nil"/>
                  </w:tcBorders>
                  <w:vAlign w:val="center"/>
                </w:tcPr>
                <w:p w14:paraId="7C70621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24" w:type="pct"/>
                  <w:tcBorders>
                    <w:tl2br w:val="nil"/>
                    <w:tr2bl w:val="nil"/>
                  </w:tcBorders>
                  <w:vAlign w:val="center"/>
                </w:tcPr>
                <w:p w14:paraId="6F8F4A1B">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1.64</w:t>
                  </w:r>
                </w:p>
              </w:tc>
              <w:tc>
                <w:tcPr>
                  <w:tcW w:w="621" w:type="pct"/>
                  <w:vMerge w:val="restart"/>
                  <w:tcBorders>
                    <w:tl2br w:val="nil"/>
                    <w:tr2bl w:val="nil"/>
                  </w:tcBorders>
                  <w:vAlign w:val="center"/>
                </w:tcPr>
                <w:p w14:paraId="06DF0F7B">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Z8</w:t>
                  </w:r>
                </w:p>
              </w:tc>
            </w:tr>
            <w:tr w14:paraId="4A194ED8">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3DA7D6A1">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63F62E8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4.67</w:t>
                  </w:r>
                </w:p>
              </w:tc>
              <w:tc>
                <w:tcPr>
                  <w:tcW w:w="619" w:type="pct"/>
                  <w:tcBorders>
                    <w:tl2br w:val="nil"/>
                    <w:tr2bl w:val="nil"/>
                  </w:tcBorders>
                  <w:vAlign w:val="center"/>
                </w:tcPr>
                <w:p w14:paraId="2098AF50">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3.07</w:t>
                  </w:r>
                </w:p>
              </w:tc>
              <w:tc>
                <w:tcPr>
                  <w:tcW w:w="557" w:type="pct"/>
                  <w:tcBorders>
                    <w:tl2br w:val="nil"/>
                    <w:tr2bl w:val="nil"/>
                  </w:tcBorders>
                  <w:vAlign w:val="center"/>
                </w:tcPr>
                <w:p w14:paraId="57F8FFAA">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255C1666">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24" w:type="pct"/>
                  <w:tcBorders>
                    <w:tl2br w:val="nil"/>
                    <w:tr2bl w:val="nil"/>
                  </w:tcBorders>
                  <w:vAlign w:val="center"/>
                </w:tcPr>
                <w:p w14:paraId="3D926A76">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1.66</w:t>
                  </w:r>
                </w:p>
              </w:tc>
              <w:tc>
                <w:tcPr>
                  <w:tcW w:w="621" w:type="pct"/>
                  <w:vMerge w:val="continue"/>
                  <w:tcBorders>
                    <w:tl2br w:val="nil"/>
                    <w:tr2bl w:val="nil"/>
                  </w:tcBorders>
                  <w:vAlign w:val="center"/>
                </w:tcPr>
                <w:p w14:paraId="2625CF79">
                  <w:pPr>
                    <w:adjustRightInd w:val="0"/>
                    <w:snapToGrid w:val="0"/>
                    <w:jc w:val="center"/>
                    <w:rPr>
                      <w:rFonts w:hint="eastAsia" w:cs="Times New Roman"/>
                      <w:color w:val="FF0000"/>
                      <w:sz w:val="18"/>
                      <w:szCs w:val="18"/>
                      <w:u w:val="none"/>
                      <w:lang w:val="en-US" w:eastAsia="zh-CN"/>
                    </w:rPr>
                  </w:pPr>
                </w:p>
              </w:tc>
            </w:tr>
            <w:tr w14:paraId="58DAD5CC">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BD25815">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663BE199">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0.67</w:t>
                  </w:r>
                </w:p>
              </w:tc>
              <w:tc>
                <w:tcPr>
                  <w:tcW w:w="619" w:type="pct"/>
                  <w:tcBorders>
                    <w:tl2br w:val="nil"/>
                    <w:tr2bl w:val="nil"/>
                  </w:tcBorders>
                  <w:vAlign w:val="center"/>
                </w:tcPr>
                <w:p w14:paraId="4D9F968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0.63</w:t>
                  </w:r>
                </w:p>
              </w:tc>
              <w:tc>
                <w:tcPr>
                  <w:tcW w:w="557" w:type="pct"/>
                  <w:tcBorders>
                    <w:tl2br w:val="nil"/>
                    <w:tr2bl w:val="nil"/>
                  </w:tcBorders>
                  <w:vAlign w:val="center"/>
                </w:tcPr>
                <w:p w14:paraId="1CC65ED3">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0.06</w:t>
                  </w:r>
                </w:p>
              </w:tc>
              <w:tc>
                <w:tcPr>
                  <w:tcW w:w="515" w:type="pct"/>
                  <w:tcBorders>
                    <w:tl2br w:val="nil"/>
                    <w:tr2bl w:val="nil"/>
                  </w:tcBorders>
                  <w:vAlign w:val="center"/>
                </w:tcPr>
                <w:p w14:paraId="62073FA6">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10234060">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0.10</w:t>
                  </w:r>
                </w:p>
              </w:tc>
              <w:tc>
                <w:tcPr>
                  <w:tcW w:w="621" w:type="pct"/>
                  <w:vMerge w:val="continue"/>
                  <w:tcBorders>
                    <w:tl2br w:val="nil"/>
                    <w:tr2bl w:val="nil"/>
                  </w:tcBorders>
                  <w:vAlign w:val="center"/>
                </w:tcPr>
                <w:p w14:paraId="7611E2AE">
                  <w:pPr>
                    <w:adjustRightInd w:val="0"/>
                    <w:snapToGrid w:val="0"/>
                    <w:jc w:val="center"/>
                    <w:rPr>
                      <w:rFonts w:hint="eastAsia" w:cs="Times New Roman"/>
                      <w:color w:val="FF0000"/>
                      <w:sz w:val="18"/>
                      <w:szCs w:val="18"/>
                      <w:u w:val="none"/>
                      <w:lang w:val="en-US" w:eastAsia="zh-CN"/>
                    </w:rPr>
                  </w:pPr>
                </w:p>
              </w:tc>
            </w:tr>
            <w:tr w14:paraId="739BAFC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61D8925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六、场内道路至DZ14~DZ24段及DZ4、DZ22、DZ23、DZ24风机平台</w:t>
                  </w:r>
                </w:p>
              </w:tc>
              <w:tc>
                <w:tcPr>
                  <w:tcW w:w="619" w:type="pct"/>
                  <w:tcBorders>
                    <w:tl2br w:val="nil"/>
                    <w:tr2bl w:val="nil"/>
                  </w:tcBorders>
                  <w:vAlign w:val="center"/>
                </w:tcPr>
                <w:p w14:paraId="35B1D3C7">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17.34</w:t>
                  </w:r>
                </w:p>
              </w:tc>
              <w:tc>
                <w:tcPr>
                  <w:tcW w:w="619" w:type="pct"/>
                  <w:tcBorders>
                    <w:tl2br w:val="nil"/>
                    <w:tr2bl w:val="nil"/>
                  </w:tcBorders>
                  <w:vAlign w:val="center"/>
                </w:tcPr>
                <w:p w14:paraId="57A78779">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11.34</w:t>
                  </w:r>
                </w:p>
              </w:tc>
              <w:tc>
                <w:tcPr>
                  <w:tcW w:w="557" w:type="pct"/>
                  <w:tcBorders>
                    <w:tl2br w:val="nil"/>
                    <w:tr2bl w:val="nil"/>
                  </w:tcBorders>
                  <w:vAlign w:val="center"/>
                </w:tcPr>
                <w:p w14:paraId="1CB3B59B">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15" w:type="pct"/>
                  <w:tcBorders>
                    <w:tl2br w:val="nil"/>
                    <w:tr2bl w:val="nil"/>
                  </w:tcBorders>
                  <w:vAlign w:val="center"/>
                </w:tcPr>
                <w:p w14:paraId="3BA2B718">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24" w:type="pct"/>
                  <w:tcBorders>
                    <w:tl2br w:val="nil"/>
                    <w:tr2bl w:val="nil"/>
                  </w:tcBorders>
                  <w:vAlign w:val="center"/>
                </w:tcPr>
                <w:p w14:paraId="1A85092C">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6.0</w:t>
                  </w:r>
                </w:p>
              </w:tc>
              <w:tc>
                <w:tcPr>
                  <w:tcW w:w="621" w:type="pct"/>
                  <w:vMerge w:val="restart"/>
                  <w:tcBorders>
                    <w:tl2br w:val="nil"/>
                    <w:tr2bl w:val="nil"/>
                  </w:tcBorders>
                  <w:vAlign w:val="center"/>
                </w:tcPr>
                <w:p w14:paraId="35D38829">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Z9</w:t>
                  </w:r>
                </w:p>
              </w:tc>
            </w:tr>
            <w:tr w14:paraId="43F0981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45BDF93C">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1、道路工程区</w:t>
                  </w:r>
                </w:p>
              </w:tc>
              <w:tc>
                <w:tcPr>
                  <w:tcW w:w="619" w:type="pct"/>
                  <w:tcBorders>
                    <w:tl2br w:val="nil"/>
                    <w:tr2bl w:val="nil"/>
                  </w:tcBorders>
                  <w:vAlign w:val="center"/>
                </w:tcPr>
                <w:p w14:paraId="6613B9E2">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16.42</w:t>
                  </w:r>
                </w:p>
              </w:tc>
              <w:tc>
                <w:tcPr>
                  <w:tcW w:w="619" w:type="pct"/>
                  <w:tcBorders>
                    <w:tl2br w:val="nil"/>
                    <w:tr2bl w:val="nil"/>
                  </w:tcBorders>
                  <w:vAlign w:val="center"/>
                </w:tcPr>
                <w:p w14:paraId="341C760A">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10.60</w:t>
                  </w:r>
                </w:p>
              </w:tc>
              <w:tc>
                <w:tcPr>
                  <w:tcW w:w="557" w:type="pct"/>
                  <w:tcBorders>
                    <w:tl2br w:val="nil"/>
                    <w:tr2bl w:val="nil"/>
                  </w:tcBorders>
                  <w:vAlign w:val="center"/>
                </w:tcPr>
                <w:p w14:paraId="74BEA0FE">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5A5E50C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24" w:type="pct"/>
                  <w:tcBorders>
                    <w:tl2br w:val="nil"/>
                    <w:tr2bl w:val="nil"/>
                  </w:tcBorders>
                  <w:vAlign w:val="center"/>
                </w:tcPr>
                <w:p w14:paraId="10F7AAA7">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5.7</w:t>
                  </w:r>
                </w:p>
              </w:tc>
              <w:tc>
                <w:tcPr>
                  <w:tcW w:w="621" w:type="pct"/>
                  <w:vMerge w:val="continue"/>
                  <w:tcBorders>
                    <w:tl2br w:val="nil"/>
                    <w:tr2bl w:val="nil"/>
                  </w:tcBorders>
                  <w:vAlign w:val="center"/>
                </w:tcPr>
                <w:p w14:paraId="530E4F40">
                  <w:pPr>
                    <w:adjustRightInd w:val="0"/>
                    <w:snapToGrid w:val="0"/>
                    <w:jc w:val="center"/>
                    <w:rPr>
                      <w:rFonts w:hint="eastAsia" w:cs="Times New Roman"/>
                      <w:color w:val="FF0000"/>
                      <w:sz w:val="18"/>
                      <w:szCs w:val="18"/>
                      <w:u w:val="none"/>
                      <w:lang w:val="en-US" w:eastAsia="zh-CN"/>
                    </w:rPr>
                  </w:pPr>
                </w:p>
              </w:tc>
            </w:tr>
            <w:tr w14:paraId="59E643B4">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71FFED3D">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2、风机机组区</w:t>
                  </w:r>
                </w:p>
              </w:tc>
              <w:tc>
                <w:tcPr>
                  <w:tcW w:w="619" w:type="pct"/>
                  <w:tcBorders>
                    <w:tl2br w:val="nil"/>
                    <w:tr2bl w:val="nil"/>
                  </w:tcBorders>
                  <w:vAlign w:val="center"/>
                </w:tcPr>
                <w:p w14:paraId="0872706A">
                  <w:pPr>
                    <w:pStyle w:val="44"/>
                    <w:kinsoku w:val="0"/>
                    <w:overflowPunct w:val="0"/>
                    <w:snapToGrid w:val="0"/>
                    <w:jc w:val="center"/>
                    <w:rPr>
                      <w:rFonts w:hint="default" w:eastAsia="仿宋_GB2312" w:cs="Times New Roman"/>
                      <w:color w:val="FF0000"/>
                      <w:sz w:val="18"/>
                      <w:szCs w:val="18"/>
                      <w:u w:val="none"/>
                      <w:lang w:val="en-US" w:eastAsia="zh-CN"/>
                    </w:rPr>
                  </w:pPr>
                  <w:r>
                    <w:rPr>
                      <w:rFonts w:hint="eastAsia" w:eastAsia="仿宋_GB2312" w:cs="Times New Roman"/>
                      <w:color w:val="FF0000"/>
                      <w:sz w:val="18"/>
                      <w:szCs w:val="18"/>
                      <w:u w:val="none"/>
                      <w:lang w:val="en-US" w:eastAsia="zh-CN"/>
                    </w:rPr>
                    <w:t>0.92</w:t>
                  </w:r>
                </w:p>
              </w:tc>
              <w:tc>
                <w:tcPr>
                  <w:tcW w:w="619" w:type="pct"/>
                  <w:tcBorders>
                    <w:tl2br w:val="nil"/>
                    <w:tr2bl w:val="nil"/>
                  </w:tcBorders>
                  <w:vAlign w:val="center"/>
                </w:tcPr>
                <w:p w14:paraId="01203022">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0.74</w:t>
                  </w:r>
                </w:p>
              </w:tc>
              <w:tc>
                <w:tcPr>
                  <w:tcW w:w="557" w:type="pct"/>
                  <w:tcBorders>
                    <w:tl2br w:val="nil"/>
                    <w:tr2bl w:val="nil"/>
                  </w:tcBorders>
                  <w:vAlign w:val="center"/>
                </w:tcPr>
                <w:p w14:paraId="3846CFD7">
                  <w:pPr>
                    <w:adjustRightInd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15" w:type="pct"/>
                  <w:tcBorders>
                    <w:tl2br w:val="nil"/>
                    <w:tr2bl w:val="nil"/>
                  </w:tcBorders>
                  <w:vAlign w:val="center"/>
                </w:tcPr>
                <w:p w14:paraId="3144D9EF">
                  <w:pPr>
                    <w:pStyle w:val="44"/>
                    <w:kinsoku w:val="0"/>
                    <w:overflowPunct w:val="0"/>
                    <w:snapToGrid w:val="0"/>
                    <w:jc w:val="center"/>
                    <w:rPr>
                      <w:rFonts w:hint="default"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3D4079E3">
                  <w:pPr>
                    <w:pStyle w:val="44"/>
                    <w:kinsoku w:val="0"/>
                    <w:overflowPunct w:val="0"/>
                    <w:snapToGrid w:val="0"/>
                    <w:jc w:val="center"/>
                    <w:rPr>
                      <w:rFonts w:hint="default"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0.3</w:t>
                  </w:r>
                </w:p>
              </w:tc>
              <w:tc>
                <w:tcPr>
                  <w:tcW w:w="621" w:type="pct"/>
                  <w:vMerge w:val="continue"/>
                  <w:tcBorders>
                    <w:tl2br w:val="nil"/>
                    <w:tr2bl w:val="nil"/>
                  </w:tcBorders>
                  <w:vAlign w:val="center"/>
                </w:tcPr>
                <w:p w14:paraId="77D13597">
                  <w:pPr>
                    <w:adjustRightInd w:val="0"/>
                    <w:snapToGrid w:val="0"/>
                    <w:jc w:val="center"/>
                    <w:rPr>
                      <w:rFonts w:hint="eastAsia" w:cs="Times New Roman"/>
                      <w:color w:val="FF0000"/>
                      <w:sz w:val="18"/>
                      <w:szCs w:val="18"/>
                      <w:u w:val="none"/>
                      <w:lang w:val="en-US" w:eastAsia="zh-CN"/>
                    </w:rPr>
                  </w:pPr>
                </w:p>
              </w:tc>
            </w:tr>
            <w:tr w14:paraId="233A6810">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3713E5F8">
                  <w:pPr>
                    <w:pStyle w:val="44"/>
                    <w:kinsoku w:val="0"/>
                    <w:overflowPunct w:val="0"/>
                    <w:snapToGrid w:val="0"/>
                    <w:jc w:val="center"/>
                    <w:rPr>
                      <w:rFonts w:hint="default" w:ascii="Times New Roman" w:hAnsi="Times New Roman" w:cs="Times New Roman"/>
                      <w:color w:val="FF0000"/>
                      <w:sz w:val="18"/>
                      <w:szCs w:val="18"/>
                      <w:u w:val="none"/>
                    </w:rPr>
                  </w:pPr>
                  <w:r>
                    <w:rPr>
                      <w:rFonts w:hint="eastAsia" w:cs="Times New Roman"/>
                      <w:color w:val="FF0000"/>
                      <w:sz w:val="18"/>
                      <w:szCs w:val="18"/>
                      <w:u w:val="none"/>
                      <w:lang w:val="en-US" w:eastAsia="zh-CN"/>
                    </w:rPr>
                    <w:t>七、</w:t>
                  </w:r>
                  <w:r>
                    <w:rPr>
                      <w:rFonts w:hint="default" w:ascii="Times New Roman" w:hAnsi="Times New Roman" w:cs="Times New Roman"/>
                      <w:color w:val="FF0000"/>
                      <w:sz w:val="18"/>
                      <w:szCs w:val="18"/>
                      <w:u w:val="none"/>
                    </w:rPr>
                    <w:t>集电线路区</w:t>
                  </w:r>
                </w:p>
              </w:tc>
              <w:tc>
                <w:tcPr>
                  <w:tcW w:w="619" w:type="pct"/>
                  <w:tcBorders>
                    <w:tl2br w:val="nil"/>
                    <w:tr2bl w:val="nil"/>
                  </w:tcBorders>
                  <w:vAlign w:val="center"/>
                </w:tcPr>
                <w:p w14:paraId="5A53042C">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619" w:type="pct"/>
                  <w:tcBorders>
                    <w:tl2br w:val="nil"/>
                    <w:tr2bl w:val="nil"/>
                  </w:tcBorders>
                  <w:vAlign w:val="center"/>
                </w:tcPr>
                <w:p w14:paraId="4ED0DF5D">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0.12</w:t>
                  </w:r>
                </w:p>
              </w:tc>
              <w:tc>
                <w:tcPr>
                  <w:tcW w:w="557" w:type="pct"/>
                  <w:tcBorders>
                    <w:tl2br w:val="nil"/>
                    <w:tr2bl w:val="nil"/>
                  </w:tcBorders>
                  <w:vAlign w:val="center"/>
                </w:tcPr>
                <w:p w14:paraId="7B857F52">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05AC8E18">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69706AD9">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tcBorders>
                    <w:tl2br w:val="nil"/>
                    <w:tr2bl w:val="nil"/>
                  </w:tcBorders>
                  <w:vAlign w:val="center"/>
                </w:tcPr>
                <w:p w14:paraId="7E110FFD">
                  <w:pPr>
                    <w:adjustRightInd w:val="0"/>
                    <w:snapToGrid w:val="0"/>
                    <w:jc w:val="center"/>
                    <w:rPr>
                      <w:rFonts w:hint="default" w:ascii="Times New Roman" w:hAnsi="Times New Roman" w:cs="Times New Roman"/>
                      <w:color w:val="FF0000"/>
                      <w:sz w:val="18"/>
                      <w:szCs w:val="18"/>
                      <w:u w:val="none"/>
                    </w:rPr>
                  </w:pPr>
                </w:p>
              </w:tc>
            </w:tr>
            <w:tr w14:paraId="27A8A569">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65F29455">
                  <w:pPr>
                    <w:pStyle w:val="44"/>
                    <w:kinsoku w:val="0"/>
                    <w:overflowPunct w:val="0"/>
                    <w:snapToGrid w:val="0"/>
                    <w:jc w:val="center"/>
                    <w:rPr>
                      <w:rFonts w:hint="default" w:ascii="Times New Roman" w:hAnsi="Times New Roman" w:cs="Times New Roman"/>
                      <w:color w:val="FF0000"/>
                      <w:sz w:val="18"/>
                      <w:szCs w:val="18"/>
                      <w:u w:val="none"/>
                    </w:rPr>
                  </w:pPr>
                  <w:r>
                    <w:rPr>
                      <w:rFonts w:hint="eastAsia" w:cs="Times New Roman"/>
                      <w:color w:val="FF0000"/>
                      <w:sz w:val="18"/>
                      <w:szCs w:val="18"/>
                      <w:u w:val="none"/>
                      <w:lang w:val="en-US" w:eastAsia="zh-CN"/>
                    </w:rPr>
                    <w:t>八、</w:t>
                  </w:r>
                  <w:r>
                    <w:rPr>
                      <w:rFonts w:hint="default" w:ascii="Times New Roman" w:hAnsi="Times New Roman" w:cs="Times New Roman"/>
                      <w:color w:val="FF0000"/>
                      <w:sz w:val="18"/>
                      <w:szCs w:val="18"/>
                      <w:u w:val="none"/>
                    </w:rPr>
                    <w:t>施工生产生活区</w:t>
                  </w:r>
                </w:p>
              </w:tc>
              <w:tc>
                <w:tcPr>
                  <w:tcW w:w="619" w:type="pct"/>
                  <w:tcBorders>
                    <w:tl2br w:val="nil"/>
                    <w:tr2bl w:val="nil"/>
                  </w:tcBorders>
                  <w:vAlign w:val="center"/>
                </w:tcPr>
                <w:p w14:paraId="7DD8BC9B">
                  <w:pPr>
                    <w:pStyle w:val="44"/>
                    <w:kinsoku w:val="0"/>
                    <w:overflowPunct w:val="0"/>
                    <w:snapToGrid w:val="0"/>
                    <w:jc w:val="center"/>
                    <w:rPr>
                      <w:rFonts w:hint="default" w:ascii="Times New Roman" w:hAnsi="Times New Roman" w:cs="Times New Roman"/>
                      <w:color w:val="FF0000"/>
                      <w:sz w:val="18"/>
                      <w:szCs w:val="18"/>
                      <w:u w:val="none"/>
                    </w:rPr>
                  </w:pPr>
                  <w:r>
                    <w:rPr>
                      <w:rFonts w:hint="eastAsia" w:eastAsia="仿宋_GB2312" w:cs="Times New Roman"/>
                      <w:color w:val="FF0000"/>
                      <w:sz w:val="18"/>
                      <w:szCs w:val="18"/>
                      <w:u w:val="none"/>
                      <w:lang w:val="en-US" w:eastAsia="zh-CN"/>
                    </w:rPr>
                    <w:t>0.28</w:t>
                  </w:r>
                </w:p>
              </w:tc>
              <w:tc>
                <w:tcPr>
                  <w:tcW w:w="619" w:type="pct"/>
                  <w:tcBorders>
                    <w:tl2br w:val="nil"/>
                    <w:tr2bl w:val="nil"/>
                  </w:tcBorders>
                  <w:vAlign w:val="center"/>
                </w:tcPr>
                <w:p w14:paraId="654331F6">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0.28</w:t>
                  </w:r>
                </w:p>
              </w:tc>
              <w:tc>
                <w:tcPr>
                  <w:tcW w:w="557" w:type="pct"/>
                  <w:tcBorders>
                    <w:tl2br w:val="nil"/>
                    <w:tr2bl w:val="nil"/>
                  </w:tcBorders>
                  <w:vAlign w:val="center"/>
                </w:tcPr>
                <w:p w14:paraId="5ADE065C">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6F9A7E83">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166CD065">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tcBorders>
                    <w:tl2br w:val="nil"/>
                    <w:tr2bl w:val="nil"/>
                  </w:tcBorders>
                  <w:vAlign w:val="center"/>
                </w:tcPr>
                <w:p w14:paraId="5179E8AF">
                  <w:pPr>
                    <w:adjustRightInd w:val="0"/>
                    <w:snapToGrid w:val="0"/>
                    <w:jc w:val="center"/>
                    <w:rPr>
                      <w:rFonts w:hint="default" w:ascii="Times New Roman" w:hAnsi="Times New Roman" w:cs="Times New Roman"/>
                      <w:color w:val="FF0000"/>
                      <w:sz w:val="18"/>
                      <w:szCs w:val="18"/>
                      <w:u w:val="none"/>
                    </w:rPr>
                  </w:pPr>
                </w:p>
              </w:tc>
            </w:tr>
            <w:tr w14:paraId="73155A72">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7F396FB1">
                  <w:pPr>
                    <w:pStyle w:val="44"/>
                    <w:kinsoku w:val="0"/>
                    <w:overflowPunct w:val="0"/>
                    <w:snapToGrid w:val="0"/>
                    <w:jc w:val="center"/>
                    <w:rPr>
                      <w:rFonts w:hint="default" w:ascii="Times New Roman" w:hAnsi="Times New Roman" w:cs="Times New Roman"/>
                      <w:color w:val="FF0000"/>
                      <w:sz w:val="18"/>
                      <w:szCs w:val="18"/>
                      <w:u w:val="none"/>
                    </w:rPr>
                  </w:pPr>
                  <w:r>
                    <w:rPr>
                      <w:rFonts w:hint="eastAsia" w:cs="Times New Roman"/>
                      <w:color w:val="FF0000"/>
                      <w:sz w:val="18"/>
                      <w:szCs w:val="18"/>
                      <w:u w:val="none"/>
                      <w:lang w:val="en-US" w:eastAsia="zh-CN"/>
                    </w:rPr>
                    <w:t>九、</w:t>
                  </w:r>
                  <w:r>
                    <w:rPr>
                      <w:rFonts w:hint="default" w:ascii="Times New Roman" w:hAnsi="Times New Roman" w:cs="Times New Roman"/>
                      <w:color w:val="FF0000"/>
                      <w:sz w:val="18"/>
                      <w:szCs w:val="18"/>
                      <w:u w:val="none"/>
                    </w:rPr>
                    <w:t>弃渣场区</w:t>
                  </w:r>
                </w:p>
              </w:tc>
              <w:tc>
                <w:tcPr>
                  <w:tcW w:w="619" w:type="pct"/>
                  <w:tcBorders>
                    <w:tl2br w:val="nil"/>
                    <w:tr2bl w:val="nil"/>
                  </w:tcBorders>
                  <w:vAlign w:val="center"/>
                </w:tcPr>
                <w:p w14:paraId="6478B506">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eastAsia="仿宋_GB2312" w:cs="Times New Roman"/>
                      <w:color w:val="FF0000"/>
                      <w:sz w:val="18"/>
                      <w:szCs w:val="18"/>
                      <w:u w:val="none"/>
                      <w:lang w:val="en-US" w:eastAsia="zh-CN"/>
                    </w:rPr>
                    <w:t>1.19</w:t>
                  </w:r>
                </w:p>
              </w:tc>
              <w:tc>
                <w:tcPr>
                  <w:tcW w:w="619" w:type="pct"/>
                  <w:tcBorders>
                    <w:tl2br w:val="nil"/>
                    <w:tr2bl w:val="nil"/>
                  </w:tcBorders>
                  <w:vAlign w:val="center"/>
                </w:tcPr>
                <w:p w14:paraId="40FBA2A3">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1.19</w:t>
                  </w:r>
                </w:p>
              </w:tc>
              <w:tc>
                <w:tcPr>
                  <w:tcW w:w="557" w:type="pct"/>
                  <w:tcBorders>
                    <w:tl2br w:val="nil"/>
                    <w:tr2bl w:val="nil"/>
                  </w:tcBorders>
                  <w:vAlign w:val="center"/>
                </w:tcPr>
                <w:p w14:paraId="632119B5">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15" w:type="pct"/>
                  <w:tcBorders>
                    <w:tl2br w:val="nil"/>
                    <w:tr2bl w:val="nil"/>
                  </w:tcBorders>
                  <w:vAlign w:val="center"/>
                </w:tcPr>
                <w:p w14:paraId="270A03E7">
                  <w:pPr>
                    <w:adjustRightInd w:val="0"/>
                    <w:snapToGrid w:val="0"/>
                    <w:jc w:val="center"/>
                    <w:rPr>
                      <w:rFonts w:hint="eastAsia"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w:t>
                  </w:r>
                </w:p>
              </w:tc>
              <w:tc>
                <w:tcPr>
                  <w:tcW w:w="524" w:type="pct"/>
                  <w:tcBorders>
                    <w:tl2br w:val="nil"/>
                    <w:tr2bl w:val="nil"/>
                  </w:tcBorders>
                  <w:vAlign w:val="center"/>
                </w:tcPr>
                <w:p w14:paraId="27C872C7">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0</w:t>
                  </w:r>
                </w:p>
              </w:tc>
              <w:tc>
                <w:tcPr>
                  <w:tcW w:w="621" w:type="pct"/>
                  <w:tcBorders>
                    <w:tl2br w:val="nil"/>
                    <w:tr2bl w:val="nil"/>
                  </w:tcBorders>
                  <w:vAlign w:val="center"/>
                </w:tcPr>
                <w:p w14:paraId="088505C7">
                  <w:pPr>
                    <w:adjustRightInd w:val="0"/>
                    <w:snapToGrid w:val="0"/>
                    <w:jc w:val="center"/>
                    <w:rPr>
                      <w:rFonts w:hint="default" w:ascii="Times New Roman" w:hAnsi="Times New Roman" w:cs="Times New Roman"/>
                      <w:color w:val="FF0000"/>
                      <w:sz w:val="18"/>
                      <w:szCs w:val="18"/>
                      <w:u w:val="none"/>
                    </w:rPr>
                  </w:pPr>
                </w:p>
              </w:tc>
            </w:tr>
            <w:tr w14:paraId="3A29ABEF">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3" w:hRule="atLeast"/>
              </w:trPr>
              <w:tc>
                <w:tcPr>
                  <w:tcW w:w="1542" w:type="pct"/>
                  <w:tcBorders>
                    <w:tl2br w:val="nil"/>
                    <w:tr2bl w:val="nil"/>
                  </w:tcBorders>
                  <w:vAlign w:val="center"/>
                </w:tcPr>
                <w:p w14:paraId="289552BD">
                  <w:pPr>
                    <w:pStyle w:val="44"/>
                    <w:kinsoku w:val="0"/>
                    <w:overflowPunct w:val="0"/>
                    <w:snapToGrid w:val="0"/>
                    <w:jc w:val="center"/>
                    <w:rPr>
                      <w:rFonts w:hint="default" w:ascii="Times New Roman" w:hAnsi="Times New Roman" w:cs="Times New Roman"/>
                      <w:color w:val="FF0000"/>
                      <w:sz w:val="18"/>
                      <w:szCs w:val="18"/>
                      <w:u w:val="none"/>
                    </w:rPr>
                  </w:pPr>
                  <w:r>
                    <w:rPr>
                      <w:rFonts w:hint="default" w:ascii="Times New Roman" w:hAnsi="Times New Roman" w:cs="Times New Roman"/>
                      <w:color w:val="FF0000"/>
                      <w:sz w:val="18"/>
                      <w:szCs w:val="18"/>
                      <w:u w:val="none"/>
                    </w:rPr>
                    <w:t>合计</w:t>
                  </w:r>
                </w:p>
              </w:tc>
              <w:tc>
                <w:tcPr>
                  <w:tcW w:w="619" w:type="pct"/>
                  <w:tcBorders>
                    <w:tl2br w:val="nil"/>
                    <w:tr2bl w:val="nil"/>
                  </w:tcBorders>
                  <w:vAlign w:val="center"/>
                </w:tcPr>
                <w:p w14:paraId="1D41E51A">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116.12</w:t>
                  </w:r>
                </w:p>
              </w:tc>
              <w:tc>
                <w:tcPr>
                  <w:tcW w:w="619" w:type="pct"/>
                  <w:tcBorders>
                    <w:tl2br w:val="nil"/>
                    <w:tr2bl w:val="nil"/>
                  </w:tcBorders>
                  <w:vAlign w:val="center"/>
                </w:tcPr>
                <w:p w14:paraId="4CDE2030">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72.82</w:t>
                  </w:r>
                </w:p>
              </w:tc>
              <w:tc>
                <w:tcPr>
                  <w:tcW w:w="557" w:type="pct"/>
                  <w:tcBorders>
                    <w:tl2br w:val="nil"/>
                    <w:tr2bl w:val="nil"/>
                  </w:tcBorders>
                  <w:vAlign w:val="center"/>
                </w:tcPr>
                <w:p w14:paraId="73AF5E8B">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0.21</w:t>
                  </w:r>
                </w:p>
              </w:tc>
              <w:tc>
                <w:tcPr>
                  <w:tcW w:w="515" w:type="pct"/>
                  <w:tcBorders>
                    <w:tl2br w:val="nil"/>
                    <w:tr2bl w:val="nil"/>
                  </w:tcBorders>
                  <w:vAlign w:val="center"/>
                </w:tcPr>
                <w:p w14:paraId="5D271108">
                  <w:pPr>
                    <w:pStyle w:val="44"/>
                    <w:kinsoku w:val="0"/>
                    <w:overflowPunct w:val="0"/>
                    <w:snapToGrid w:val="0"/>
                    <w:jc w:val="center"/>
                    <w:rPr>
                      <w:rFonts w:hint="default" w:ascii="Times New Roman" w:hAnsi="Times New Roman" w:eastAsia="宋体" w:cs="Times New Roman"/>
                      <w:color w:val="FF0000"/>
                      <w:sz w:val="18"/>
                      <w:szCs w:val="18"/>
                      <w:u w:val="none"/>
                      <w:lang w:val="en-US" w:eastAsia="zh-CN"/>
                    </w:rPr>
                  </w:pPr>
                  <w:r>
                    <w:rPr>
                      <w:rFonts w:hint="eastAsia" w:cs="Times New Roman"/>
                      <w:color w:val="FF0000"/>
                      <w:sz w:val="18"/>
                      <w:szCs w:val="18"/>
                      <w:u w:val="none"/>
                      <w:lang w:val="en-US" w:eastAsia="zh-CN"/>
                    </w:rPr>
                    <w:t>0.21</w:t>
                  </w:r>
                </w:p>
              </w:tc>
              <w:tc>
                <w:tcPr>
                  <w:tcW w:w="524" w:type="pct"/>
                  <w:tcBorders>
                    <w:tl2br w:val="nil"/>
                    <w:tr2bl w:val="nil"/>
                  </w:tcBorders>
                  <w:vAlign w:val="center"/>
                </w:tcPr>
                <w:p w14:paraId="6E483A7D">
                  <w:pPr>
                    <w:pStyle w:val="44"/>
                    <w:kinsoku w:val="0"/>
                    <w:overflowPunct w:val="0"/>
                    <w:snapToGrid w:val="0"/>
                    <w:jc w:val="center"/>
                    <w:rPr>
                      <w:rFonts w:hint="default" w:ascii="Times New Roman" w:hAnsi="Times New Roman" w:eastAsia="宋体" w:cs="Times New Roman"/>
                      <w:color w:val="FF0000"/>
                      <w:kern w:val="0"/>
                      <w:sz w:val="18"/>
                      <w:szCs w:val="18"/>
                      <w:u w:val="none"/>
                      <w:lang w:val="en-US" w:eastAsia="zh-CN" w:bidi="ar-SA"/>
                    </w:rPr>
                  </w:pPr>
                  <w:r>
                    <w:rPr>
                      <w:rFonts w:hint="eastAsia" w:cs="Times New Roman"/>
                      <w:color w:val="FF0000"/>
                      <w:kern w:val="0"/>
                      <w:sz w:val="18"/>
                      <w:szCs w:val="18"/>
                      <w:u w:val="none"/>
                      <w:lang w:val="en-US" w:eastAsia="zh-CN" w:bidi="ar-SA"/>
                    </w:rPr>
                    <w:t>43.3</w:t>
                  </w:r>
                </w:p>
              </w:tc>
              <w:tc>
                <w:tcPr>
                  <w:tcW w:w="621" w:type="pct"/>
                  <w:tcBorders>
                    <w:tl2br w:val="nil"/>
                    <w:tr2bl w:val="nil"/>
                  </w:tcBorders>
                  <w:vAlign w:val="center"/>
                </w:tcPr>
                <w:p w14:paraId="36751431">
                  <w:pPr>
                    <w:adjustRightInd w:val="0"/>
                    <w:snapToGrid w:val="0"/>
                    <w:jc w:val="center"/>
                    <w:rPr>
                      <w:rFonts w:hint="default" w:ascii="Times New Roman" w:hAnsi="Times New Roman" w:cs="Times New Roman"/>
                      <w:color w:val="FF0000"/>
                      <w:sz w:val="18"/>
                      <w:szCs w:val="18"/>
                      <w:u w:val="none"/>
                    </w:rPr>
                  </w:pPr>
                </w:p>
              </w:tc>
            </w:tr>
          </w:tbl>
          <w:p w14:paraId="40A31BCA">
            <w:pPr>
              <w:pStyle w:val="72"/>
              <w:keepNext/>
              <w:ind w:firstLine="86" w:firstLineChars="41"/>
              <w:jc w:val="center"/>
              <w:rPr>
                <w:rFonts w:ascii="Times New Roman" w:hAnsi="Times New Roman" w:eastAsia="宋体" w:cs="Times New Roman"/>
                <w:b/>
                <w:bCs/>
                <w:color w:val="FF0000"/>
                <w:kern w:val="2"/>
                <w:sz w:val="21"/>
                <w:szCs w:val="21"/>
                <w:u w:val="none"/>
                <w:lang w:val="en-US" w:eastAsia="zh-CN" w:bidi="ar-SA"/>
              </w:rPr>
            </w:pPr>
            <w:r>
              <w:rPr>
                <w:rFonts w:ascii="Times New Roman" w:hAnsi="Times New Roman" w:eastAsia="宋体" w:cs="Times New Roman"/>
                <w:b/>
                <w:bCs/>
                <w:color w:val="FF0000"/>
                <w:kern w:val="2"/>
                <w:sz w:val="21"/>
                <w:szCs w:val="21"/>
                <w:u w:val="none"/>
                <w:lang w:val="en-US" w:eastAsia="zh-CN" w:bidi="ar-SA"/>
              </w:rPr>
              <w:t>表2</w:t>
            </w:r>
            <w:r>
              <w:rPr>
                <w:rFonts w:hint="eastAsia" w:ascii="Times New Roman" w:hAnsi="Times New Roman" w:eastAsia="宋体" w:cs="Times New Roman"/>
                <w:b/>
                <w:bCs/>
                <w:color w:val="FF0000"/>
                <w:kern w:val="2"/>
                <w:sz w:val="21"/>
                <w:szCs w:val="21"/>
                <w:u w:val="none"/>
                <w:lang w:val="en-US" w:eastAsia="zh-CN" w:bidi="ar-SA"/>
              </w:rPr>
              <w:t xml:space="preserve">-5  </w:t>
            </w:r>
            <w:r>
              <w:rPr>
                <w:rFonts w:ascii="Times New Roman" w:hAnsi="Times New Roman" w:eastAsia="宋体" w:cs="Times New Roman"/>
                <w:b/>
                <w:bCs/>
                <w:color w:val="FF0000"/>
                <w:kern w:val="2"/>
                <w:sz w:val="21"/>
                <w:szCs w:val="21"/>
                <w:u w:val="none"/>
                <w:lang w:val="en-US" w:eastAsia="zh-CN" w:bidi="ar-SA"/>
              </w:rPr>
              <w:t>弃渣场规划表</w:t>
            </w:r>
          </w:p>
          <w:tbl>
            <w:tblPr>
              <w:tblStyle w:val="32"/>
              <w:tblW w:w="4938" w:type="pct"/>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542"/>
              <w:gridCol w:w="963"/>
              <w:gridCol w:w="972"/>
              <w:gridCol w:w="970"/>
              <w:gridCol w:w="810"/>
              <w:gridCol w:w="819"/>
              <w:gridCol w:w="674"/>
              <w:gridCol w:w="819"/>
              <w:gridCol w:w="1939"/>
            </w:tblGrid>
            <w:tr w14:paraId="583B7E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vMerge w:val="restart"/>
                  <w:tcBorders>
                    <w:tl2br w:val="nil"/>
                    <w:tr2bl w:val="nil"/>
                  </w:tcBorders>
                  <w:vAlign w:val="center"/>
                </w:tcPr>
                <w:p w14:paraId="22D329C2">
                  <w:pPr>
                    <w:adjustRightInd w:val="0"/>
                    <w:snapToGrid w:val="0"/>
                    <w:jc w:val="center"/>
                    <w:rPr>
                      <w:color w:val="FF0000"/>
                      <w:sz w:val="18"/>
                      <w:szCs w:val="18"/>
                      <w:u w:val="none"/>
                    </w:rPr>
                  </w:pPr>
                  <w:r>
                    <w:rPr>
                      <w:color w:val="FF0000"/>
                      <w:sz w:val="18"/>
                      <w:szCs w:val="18"/>
                      <w:u w:val="none"/>
                    </w:rPr>
                    <w:t>渣场名称</w:t>
                  </w:r>
                </w:p>
              </w:tc>
              <w:tc>
                <w:tcPr>
                  <w:tcW w:w="1137" w:type="pct"/>
                  <w:gridSpan w:val="2"/>
                  <w:tcBorders>
                    <w:tl2br w:val="nil"/>
                    <w:tr2bl w:val="nil"/>
                  </w:tcBorders>
                  <w:vAlign w:val="center"/>
                </w:tcPr>
                <w:p w14:paraId="0F97C255">
                  <w:pPr>
                    <w:adjustRightInd w:val="0"/>
                    <w:snapToGrid w:val="0"/>
                    <w:jc w:val="center"/>
                    <w:rPr>
                      <w:color w:val="FF0000"/>
                      <w:sz w:val="18"/>
                      <w:szCs w:val="18"/>
                      <w:u w:val="none"/>
                    </w:rPr>
                  </w:pPr>
                  <w:r>
                    <w:rPr>
                      <w:color w:val="FF0000"/>
                      <w:sz w:val="18"/>
                      <w:szCs w:val="18"/>
                      <w:u w:val="none"/>
                    </w:rPr>
                    <w:t>布设位置</w:t>
                  </w:r>
                </w:p>
              </w:tc>
              <w:tc>
                <w:tcPr>
                  <w:tcW w:w="568" w:type="pct"/>
                  <w:vMerge w:val="restart"/>
                  <w:tcBorders>
                    <w:tl2br w:val="nil"/>
                    <w:tr2bl w:val="nil"/>
                  </w:tcBorders>
                  <w:vAlign w:val="center"/>
                </w:tcPr>
                <w:p w14:paraId="2F052D64">
                  <w:pPr>
                    <w:adjustRightInd w:val="0"/>
                    <w:snapToGrid w:val="0"/>
                    <w:jc w:val="center"/>
                    <w:rPr>
                      <w:color w:val="FF0000"/>
                      <w:sz w:val="18"/>
                      <w:szCs w:val="18"/>
                      <w:u w:val="none"/>
                    </w:rPr>
                  </w:pPr>
                  <w:r>
                    <w:rPr>
                      <w:rFonts w:hint="eastAsia"/>
                      <w:color w:val="FF0000"/>
                      <w:sz w:val="18"/>
                      <w:szCs w:val="18"/>
                      <w:u w:val="none"/>
                      <w:lang w:val="en-US" w:eastAsia="zh-CN"/>
                    </w:rPr>
                    <w:t>相对位置及</w:t>
                  </w:r>
                  <w:r>
                    <w:rPr>
                      <w:color w:val="FF0000"/>
                      <w:sz w:val="18"/>
                      <w:szCs w:val="18"/>
                      <w:u w:val="none"/>
                    </w:rPr>
                    <w:t>地形条件</w:t>
                  </w:r>
                </w:p>
              </w:tc>
              <w:tc>
                <w:tcPr>
                  <w:tcW w:w="476" w:type="pct"/>
                  <w:vMerge w:val="restart"/>
                  <w:tcBorders>
                    <w:tl2br w:val="nil"/>
                    <w:tr2bl w:val="nil"/>
                  </w:tcBorders>
                </w:tcPr>
                <w:p w14:paraId="09356D89">
                  <w:pPr>
                    <w:adjustRightInd w:val="0"/>
                    <w:snapToGrid w:val="0"/>
                    <w:jc w:val="center"/>
                    <w:rPr>
                      <w:color w:val="FF0000"/>
                      <w:sz w:val="18"/>
                      <w:szCs w:val="18"/>
                      <w:u w:val="none"/>
                    </w:rPr>
                  </w:pPr>
                  <w:r>
                    <w:rPr>
                      <w:color w:val="FF0000"/>
                      <w:sz w:val="18"/>
                      <w:szCs w:val="18"/>
                      <w:u w:val="none"/>
                    </w:rPr>
                    <w:t>容量（万m</w:t>
                  </w:r>
                  <w:r>
                    <w:rPr>
                      <w:color w:val="FF0000"/>
                      <w:sz w:val="18"/>
                      <w:szCs w:val="18"/>
                      <w:u w:val="none"/>
                      <w:vertAlign w:val="superscript"/>
                    </w:rPr>
                    <w:t>3</w:t>
                  </w:r>
                  <w:r>
                    <w:rPr>
                      <w:color w:val="FF0000"/>
                      <w:sz w:val="18"/>
                      <w:szCs w:val="18"/>
                      <w:u w:val="none"/>
                    </w:rPr>
                    <w:t>）</w:t>
                  </w:r>
                </w:p>
              </w:tc>
              <w:tc>
                <w:tcPr>
                  <w:tcW w:w="481" w:type="pct"/>
                  <w:vMerge w:val="restart"/>
                  <w:tcBorders>
                    <w:tl2br w:val="nil"/>
                    <w:tr2bl w:val="nil"/>
                  </w:tcBorders>
                  <w:vAlign w:val="center"/>
                </w:tcPr>
                <w:p w14:paraId="6DE6CB4E">
                  <w:pPr>
                    <w:adjustRightInd w:val="0"/>
                    <w:snapToGrid w:val="0"/>
                    <w:jc w:val="center"/>
                    <w:rPr>
                      <w:color w:val="FF0000"/>
                      <w:sz w:val="18"/>
                      <w:szCs w:val="18"/>
                      <w:u w:val="none"/>
                    </w:rPr>
                  </w:pPr>
                  <w:r>
                    <w:rPr>
                      <w:color w:val="FF0000"/>
                      <w:sz w:val="18"/>
                      <w:szCs w:val="18"/>
                      <w:u w:val="none"/>
                    </w:rPr>
                    <w:t>弃渣量</w:t>
                  </w:r>
                </w:p>
                <w:p w14:paraId="70BC99CF">
                  <w:pPr>
                    <w:adjustRightInd w:val="0"/>
                    <w:snapToGrid w:val="0"/>
                    <w:jc w:val="center"/>
                    <w:rPr>
                      <w:color w:val="FF0000"/>
                      <w:sz w:val="18"/>
                      <w:szCs w:val="18"/>
                      <w:u w:val="none"/>
                    </w:rPr>
                  </w:pPr>
                  <w:r>
                    <w:rPr>
                      <w:color w:val="FF0000"/>
                      <w:sz w:val="18"/>
                      <w:szCs w:val="18"/>
                      <w:u w:val="none"/>
                    </w:rPr>
                    <w:t>（万m</w:t>
                  </w:r>
                  <w:r>
                    <w:rPr>
                      <w:color w:val="FF0000"/>
                      <w:sz w:val="18"/>
                      <w:szCs w:val="18"/>
                      <w:u w:val="none"/>
                      <w:vertAlign w:val="superscript"/>
                    </w:rPr>
                    <w:t>3</w:t>
                  </w:r>
                  <w:r>
                    <w:rPr>
                      <w:color w:val="FF0000"/>
                      <w:sz w:val="18"/>
                      <w:szCs w:val="18"/>
                      <w:u w:val="none"/>
                    </w:rPr>
                    <w:t>）</w:t>
                  </w:r>
                </w:p>
              </w:tc>
              <w:tc>
                <w:tcPr>
                  <w:tcW w:w="396" w:type="pct"/>
                  <w:vMerge w:val="restart"/>
                  <w:tcBorders>
                    <w:tl2br w:val="nil"/>
                    <w:tr2bl w:val="nil"/>
                  </w:tcBorders>
                  <w:vAlign w:val="center"/>
                </w:tcPr>
                <w:p w14:paraId="32BC3654">
                  <w:pPr>
                    <w:adjustRightInd w:val="0"/>
                    <w:snapToGrid w:val="0"/>
                    <w:jc w:val="center"/>
                    <w:rPr>
                      <w:color w:val="FF0000"/>
                      <w:sz w:val="18"/>
                      <w:szCs w:val="18"/>
                      <w:u w:val="none"/>
                    </w:rPr>
                  </w:pPr>
                  <w:r>
                    <w:rPr>
                      <w:rFonts w:hint="eastAsia"/>
                      <w:color w:val="FF0000"/>
                      <w:sz w:val="18"/>
                      <w:szCs w:val="18"/>
                      <w:u w:val="none"/>
                      <w:lang w:val="en-US" w:eastAsia="zh-CN"/>
                    </w:rPr>
                    <w:t>平均堆高/</w:t>
                  </w:r>
                  <w:r>
                    <w:rPr>
                      <w:color w:val="FF0000"/>
                      <w:sz w:val="18"/>
                      <w:szCs w:val="18"/>
                      <w:u w:val="none"/>
                    </w:rPr>
                    <w:t>最大堆高(m)</w:t>
                  </w:r>
                </w:p>
              </w:tc>
              <w:tc>
                <w:tcPr>
                  <w:tcW w:w="481" w:type="pct"/>
                  <w:vMerge w:val="restart"/>
                  <w:tcBorders>
                    <w:tl2br w:val="nil"/>
                    <w:tr2bl w:val="nil"/>
                  </w:tcBorders>
                  <w:vAlign w:val="center"/>
                </w:tcPr>
                <w:p w14:paraId="32D38AC1">
                  <w:pPr>
                    <w:adjustRightInd w:val="0"/>
                    <w:snapToGrid w:val="0"/>
                    <w:jc w:val="center"/>
                    <w:rPr>
                      <w:color w:val="FF0000"/>
                      <w:sz w:val="18"/>
                      <w:szCs w:val="18"/>
                      <w:u w:val="none"/>
                    </w:rPr>
                  </w:pPr>
                  <w:r>
                    <w:rPr>
                      <w:color w:val="FF0000"/>
                      <w:sz w:val="18"/>
                      <w:szCs w:val="18"/>
                      <w:u w:val="none"/>
                    </w:rPr>
                    <w:t>占地面积</w:t>
                  </w:r>
                </w:p>
                <w:p w14:paraId="3755C23D">
                  <w:pPr>
                    <w:adjustRightInd w:val="0"/>
                    <w:snapToGrid w:val="0"/>
                    <w:jc w:val="center"/>
                    <w:rPr>
                      <w:color w:val="FF0000"/>
                      <w:sz w:val="18"/>
                      <w:szCs w:val="18"/>
                      <w:u w:val="none"/>
                    </w:rPr>
                  </w:pPr>
                  <w:r>
                    <w:rPr>
                      <w:color w:val="FF0000"/>
                      <w:sz w:val="18"/>
                      <w:szCs w:val="18"/>
                      <w:u w:val="none"/>
                    </w:rPr>
                    <w:t>hm</w:t>
                  </w:r>
                  <w:r>
                    <w:rPr>
                      <w:color w:val="FF0000"/>
                      <w:sz w:val="18"/>
                      <w:szCs w:val="18"/>
                      <w:u w:val="none"/>
                      <w:vertAlign w:val="superscript"/>
                    </w:rPr>
                    <w:t>2</w:t>
                  </w:r>
                </w:p>
              </w:tc>
              <w:tc>
                <w:tcPr>
                  <w:tcW w:w="1139" w:type="pct"/>
                  <w:vMerge w:val="restart"/>
                  <w:tcBorders>
                    <w:tl2br w:val="nil"/>
                    <w:tr2bl w:val="nil"/>
                  </w:tcBorders>
                  <w:vAlign w:val="center"/>
                </w:tcPr>
                <w:p w14:paraId="7DF2E53C">
                  <w:pPr>
                    <w:adjustRightInd w:val="0"/>
                    <w:snapToGrid w:val="0"/>
                    <w:jc w:val="center"/>
                    <w:rPr>
                      <w:color w:val="FF0000"/>
                      <w:sz w:val="18"/>
                      <w:szCs w:val="18"/>
                      <w:u w:val="none"/>
                    </w:rPr>
                  </w:pPr>
                  <w:r>
                    <w:rPr>
                      <w:color w:val="FF0000"/>
                      <w:sz w:val="18"/>
                      <w:szCs w:val="18"/>
                      <w:u w:val="none"/>
                    </w:rPr>
                    <w:t>弃渣来源</w:t>
                  </w:r>
                </w:p>
              </w:tc>
            </w:tr>
            <w:tr w14:paraId="52AED3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9" w:hRule="atLeast"/>
              </w:trPr>
              <w:tc>
                <w:tcPr>
                  <w:tcW w:w="319" w:type="pct"/>
                  <w:vMerge w:val="continue"/>
                  <w:tcBorders>
                    <w:tl2br w:val="nil"/>
                    <w:tr2bl w:val="nil"/>
                  </w:tcBorders>
                  <w:vAlign w:val="center"/>
                </w:tcPr>
                <w:p w14:paraId="4B95660E">
                  <w:pPr>
                    <w:adjustRightInd w:val="0"/>
                    <w:snapToGrid w:val="0"/>
                    <w:jc w:val="center"/>
                    <w:rPr>
                      <w:color w:val="FF0000"/>
                      <w:sz w:val="18"/>
                      <w:szCs w:val="18"/>
                      <w:u w:val="none"/>
                    </w:rPr>
                  </w:pPr>
                </w:p>
              </w:tc>
              <w:tc>
                <w:tcPr>
                  <w:tcW w:w="566" w:type="pct"/>
                  <w:tcBorders>
                    <w:tl2br w:val="nil"/>
                    <w:tr2bl w:val="nil"/>
                  </w:tcBorders>
                  <w:vAlign w:val="center"/>
                </w:tcPr>
                <w:p w14:paraId="323F030F">
                  <w:pPr>
                    <w:adjustRightInd w:val="0"/>
                    <w:snapToGrid w:val="0"/>
                    <w:jc w:val="center"/>
                    <w:rPr>
                      <w:color w:val="FF0000"/>
                      <w:sz w:val="18"/>
                      <w:szCs w:val="18"/>
                      <w:u w:val="none"/>
                    </w:rPr>
                  </w:pPr>
                  <w:r>
                    <w:rPr>
                      <w:color w:val="FF0000"/>
                      <w:sz w:val="18"/>
                      <w:szCs w:val="18"/>
                      <w:u w:val="none"/>
                    </w:rPr>
                    <w:t>经度</w:t>
                  </w:r>
                </w:p>
              </w:tc>
              <w:tc>
                <w:tcPr>
                  <w:tcW w:w="570" w:type="pct"/>
                  <w:tcBorders>
                    <w:tl2br w:val="nil"/>
                    <w:tr2bl w:val="nil"/>
                  </w:tcBorders>
                  <w:vAlign w:val="center"/>
                </w:tcPr>
                <w:p w14:paraId="7E6789B0">
                  <w:pPr>
                    <w:adjustRightInd w:val="0"/>
                    <w:snapToGrid w:val="0"/>
                    <w:jc w:val="center"/>
                    <w:rPr>
                      <w:color w:val="FF0000"/>
                      <w:sz w:val="18"/>
                      <w:szCs w:val="18"/>
                      <w:u w:val="none"/>
                    </w:rPr>
                  </w:pPr>
                  <w:r>
                    <w:rPr>
                      <w:color w:val="FF0000"/>
                      <w:sz w:val="18"/>
                      <w:szCs w:val="18"/>
                      <w:u w:val="none"/>
                    </w:rPr>
                    <w:t>纬度</w:t>
                  </w:r>
                </w:p>
              </w:tc>
              <w:tc>
                <w:tcPr>
                  <w:tcW w:w="568" w:type="pct"/>
                  <w:vMerge w:val="continue"/>
                  <w:tcBorders>
                    <w:tl2br w:val="nil"/>
                    <w:tr2bl w:val="nil"/>
                  </w:tcBorders>
                  <w:vAlign w:val="center"/>
                </w:tcPr>
                <w:p w14:paraId="47CCC2A9">
                  <w:pPr>
                    <w:adjustRightInd w:val="0"/>
                    <w:snapToGrid w:val="0"/>
                    <w:jc w:val="center"/>
                    <w:rPr>
                      <w:color w:val="FF0000"/>
                      <w:sz w:val="18"/>
                      <w:szCs w:val="18"/>
                      <w:u w:val="none"/>
                    </w:rPr>
                  </w:pPr>
                </w:p>
              </w:tc>
              <w:tc>
                <w:tcPr>
                  <w:tcW w:w="476" w:type="pct"/>
                  <w:vMerge w:val="continue"/>
                  <w:tcBorders>
                    <w:tl2br w:val="nil"/>
                    <w:tr2bl w:val="nil"/>
                  </w:tcBorders>
                </w:tcPr>
                <w:p w14:paraId="2DD208D0">
                  <w:pPr>
                    <w:adjustRightInd w:val="0"/>
                    <w:snapToGrid w:val="0"/>
                    <w:jc w:val="center"/>
                    <w:rPr>
                      <w:color w:val="FF0000"/>
                      <w:sz w:val="18"/>
                      <w:szCs w:val="18"/>
                      <w:u w:val="none"/>
                    </w:rPr>
                  </w:pPr>
                </w:p>
              </w:tc>
              <w:tc>
                <w:tcPr>
                  <w:tcW w:w="481" w:type="pct"/>
                  <w:vMerge w:val="continue"/>
                  <w:tcBorders>
                    <w:tl2br w:val="nil"/>
                    <w:tr2bl w:val="nil"/>
                  </w:tcBorders>
                  <w:vAlign w:val="center"/>
                </w:tcPr>
                <w:p w14:paraId="16BD15BB">
                  <w:pPr>
                    <w:adjustRightInd w:val="0"/>
                    <w:snapToGrid w:val="0"/>
                    <w:jc w:val="center"/>
                    <w:rPr>
                      <w:color w:val="FF0000"/>
                      <w:sz w:val="18"/>
                      <w:szCs w:val="18"/>
                      <w:u w:val="none"/>
                    </w:rPr>
                  </w:pPr>
                </w:p>
              </w:tc>
              <w:tc>
                <w:tcPr>
                  <w:tcW w:w="396" w:type="pct"/>
                  <w:vMerge w:val="continue"/>
                  <w:tcBorders>
                    <w:tl2br w:val="nil"/>
                    <w:tr2bl w:val="nil"/>
                  </w:tcBorders>
                  <w:vAlign w:val="center"/>
                </w:tcPr>
                <w:p w14:paraId="2F1E4256">
                  <w:pPr>
                    <w:adjustRightInd w:val="0"/>
                    <w:snapToGrid w:val="0"/>
                    <w:jc w:val="center"/>
                    <w:rPr>
                      <w:color w:val="FF0000"/>
                      <w:sz w:val="18"/>
                      <w:szCs w:val="18"/>
                      <w:u w:val="none"/>
                    </w:rPr>
                  </w:pPr>
                </w:p>
              </w:tc>
              <w:tc>
                <w:tcPr>
                  <w:tcW w:w="481" w:type="pct"/>
                  <w:vMerge w:val="continue"/>
                  <w:tcBorders>
                    <w:tl2br w:val="nil"/>
                    <w:tr2bl w:val="nil"/>
                  </w:tcBorders>
                  <w:vAlign w:val="center"/>
                </w:tcPr>
                <w:p w14:paraId="3FEFFE14">
                  <w:pPr>
                    <w:adjustRightInd w:val="0"/>
                    <w:snapToGrid w:val="0"/>
                    <w:jc w:val="center"/>
                    <w:rPr>
                      <w:color w:val="FF0000"/>
                      <w:sz w:val="18"/>
                      <w:szCs w:val="18"/>
                      <w:u w:val="none"/>
                    </w:rPr>
                  </w:pPr>
                </w:p>
              </w:tc>
              <w:tc>
                <w:tcPr>
                  <w:tcW w:w="1139" w:type="pct"/>
                  <w:vMerge w:val="continue"/>
                  <w:tcBorders>
                    <w:tl2br w:val="nil"/>
                    <w:tr2bl w:val="nil"/>
                  </w:tcBorders>
                  <w:vAlign w:val="center"/>
                </w:tcPr>
                <w:p w14:paraId="00FDB7D1">
                  <w:pPr>
                    <w:adjustRightInd w:val="0"/>
                    <w:snapToGrid w:val="0"/>
                    <w:jc w:val="center"/>
                    <w:rPr>
                      <w:color w:val="FF0000"/>
                      <w:sz w:val="18"/>
                      <w:szCs w:val="18"/>
                      <w:u w:val="none"/>
                    </w:rPr>
                  </w:pPr>
                </w:p>
              </w:tc>
            </w:tr>
            <w:tr w14:paraId="000627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63A8E52D">
                  <w:pPr>
                    <w:adjustRightInd w:val="0"/>
                    <w:snapToGrid w:val="0"/>
                    <w:jc w:val="center"/>
                    <w:rPr>
                      <w:color w:val="FF0000"/>
                      <w:sz w:val="18"/>
                      <w:szCs w:val="18"/>
                      <w:u w:val="none"/>
                    </w:rPr>
                  </w:pPr>
                  <w:r>
                    <w:rPr>
                      <w:color w:val="FF0000"/>
                      <w:sz w:val="18"/>
                      <w:szCs w:val="18"/>
                      <w:u w:val="none"/>
                    </w:rPr>
                    <w:t>Z1</w:t>
                  </w:r>
                </w:p>
              </w:tc>
              <w:tc>
                <w:tcPr>
                  <w:tcW w:w="566" w:type="pct"/>
                  <w:tcBorders>
                    <w:tl2br w:val="nil"/>
                    <w:tr2bl w:val="nil"/>
                  </w:tcBorders>
                  <w:vAlign w:val="center"/>
                </w:tcPr>
                <w:p w14:paraId="493E7B7B">
                  <w:pPr>
                    <w:adjustRightInd w:val="0"/>
                    <w:snapToGrid w:val="0"/>
                    <w:jc w:val="center"/>
                    <w:rPr>
                      <w:color w:val="FF0000"/>
                      <w:sz w:val="18"/>
                      <w:szCs w:val="18"/>
                      <w:u w:val="none"/>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13.36</w:t>
                  </w:r>
                  <w:r>
                    <w:rPr>
                      <w:color w:val="FF0000"/>
                      <w:sz w:val="18"/>
                      <w:szCs w:val="18"/>
                      <w:u w:val="none"/>
                    </w:rPr>
                    <w:t>″</w:t>
                  </w:r>
                </w:p>
              </w:tc>
              <w:tc>
                <w:tcPr>
                  <w:tcW w:w="570" w:type="pct"/>
                  <w:tcBorders>
                    <w:tl2br w:val="nil"/>
                    <w:tr2bl w:val="nil"/>
                  </w:tcBorders>
                  <w:vAlign w:val="center"/>
                </w:tcPr>
                <w:p w14:paraId="0632318A">
                  <w:pPr>
                    <w:adjustRightInd w:val="0"/>
                    <w:snapToGrid w:val="0"/>
                    <w:jc w:val="center"/>
                    <w:rPr>
                      <w:color w:val="FF0000"/>
                      <w:sz w:val="18"/>
                      <w:szCs w:val="18"/>
                      <w:u w:val="none"/>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30</w:t>
                  </w:r>
                  <w:r>
                    <w:rPr>
                      <w:color w:val="FF0000"/>
                      <w:sz w:val="18"/>
                      <w:szCs w:val="18"/>
                      <w:u w:val="none"/>
                    </w:rPr>
                    <w:t>′</w:t>
                  </w:r>
                  <w:r>
                    <w:rPr>
                      <w:rFonts w:hint="eastAsia"/>
                      <w:color w:val="FF0000"/>
                      <w:sz w:val="18"/>
                      <w:szCs w:val="18"/>
                      <w:u w:val="none"/>
                      <w:lang w:val="en-US" w:eastAsia="zh-CN"/>
                    </w:rPr>
                    <w:t>47.75</w:t>
                  </w:r>
                  <w:r>
                    <w:rPr>
                      <w:color w:val="FF0000"/>
                      <w:sz w:val="18"/>
                      <w:szCs w:val="18"/>
                      <w:u w:val="none"/>
                    </w:rPr>
                    <w:t>″</w:t>
                  </w:r>
                </w:p>
              </w:tc>
              <w:tc>
                <w:tcPr>
                  <w:tcW w:w="568" w:type="pct"/>
                  <w:tcBorders>
                    <w:tl2br w:val="nil"/>
                    <w:tr2bl w:val="nil"/>
                  </w:tcBorders>
                  <w:vAlign w:val="center"/>
                </w:tcPr>
                <w:p w14:paraId="603DD140">
                  <w:pPr>
                    <w:adjustRightInd w:val="0"/>
                    <w:snapToGrid w:val="0"/>
                    <w:jc w:val="center"/>
                    <w:rPr>
                      <w:rFonts w:hint="eastAsia" w:eastAsia="宋体"/>
                      <w:color w:val="FF0000"/>
                      <w:sz w:val="18"/>
                      <w:szCs w:val="18"/>
                      <w:u w:val="none"/>
                      <w:lang w:val="en-US" w:eastAsia="zh-CN"/>
                    </w:rPr>
                  </w:pPr>
                  <w:r>
                    <w:rPr>
                      <w:rFonts w:hint="eastAsia"/>
                      <w:color w:val="FF0000"/>
                      <w:sz w:val="18"/>
                      <w:szCs w:val="18"/>
                      <w:u w:val="none"/>
                      <w:lang w:val="en-US" w:eastAsia="zh-CN"/>
                    </w:rPr>
                    <w:t>DZ1西侧，</w:t>
                  </w:r>
                  <w:r>
                    <w:rPr>
                      <w:color w:val="FF0000"/>
                      <w:sz w:val="18"/>
                      <w:szCs w:val="18"/>
                      <w:u w:val="none"/>
                    </w:rPr>
                    <w:t>沟道</w:t>
                  </w:r>
                  <w:r>
                    <w:rPr>
                      <w:rFonts w:hint="eastAsia"/>
                      <w:color w:val="FF0000"/>
                      <w:sz w:val="18"/>
                      <w:szCs w:val="18"/>
                      <w:u w:val="none"/>
                      <w:lang w:val="en-US" w:eastAsia="zh-CN"/>
                    </w:rPr>
                    <w:t>型</w:t>
                  </w:r>
                </w:p>
              </w:tc>
              <w:tc>
                <w:tcPr>
                  <w:tcW w:w="476" w:type="pct"/>
                  <w:tcBorders>
                    <w:tl2br w:val="nil"/>
                    <w:tr2bl w:val="nil"/>
                  </w:tcBorders>
                  <w:vAlign w:val="center"/>
                </w:tcPr>
                <w:p w14:paraId="72B2397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2.40</w:t>
                  </w:r>
                </w:p>
              </w:tc>
              <w:tc>
                <w:tcPr>
                  <w:tcW w:w="481" w:type="pct"/>
                  <w:tcBorders>
                    <w:tl2br w:val="nil"/>
                    <w:tr2bl w:val="nil"/>
                  </w:tcBorders>
                  <w:vAlign w:val="center"/>
                </w:tcPr>
                <w:p w14:paraId="36C6F82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1.86</w:t>
                  </w:r>
                </w:p>
              </w:tc>
              <w:tc>
                <w:tcPr>
                  <w:tcW w:w="396" w:type="pct"/>
                  <w:tcBorders>
                    <w:tl2br w:val="nil"/>
                    <w:tr2bl w:val="nil"/>
                  </w:tcBorders>
                  <w:vAlign w:val="center"/>
                </w:tcPr>
                <w:p w14:paraId="0091177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702F685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0.24</w:t>
                  </w:r>
                </w:p>
              </w:tc>
              <w:tc>
                <w:tcPr>
                  <w:tcW w:w="1139" w:type="pct"/>
                  <w:tcBorders>
                    <w:tl2br w:val="nil"/>
                    <w:tr2bl w:val="nil"/>
                  </w:tcBorders>
                  <w:vAlign w:val="center"/>
                </w:tcPr>
                <w:p w14:paraId="58C3DC4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DZ1、DZ18及新建道路</w:t>
                  </w:r>
                </w:p>
              </w:tc>
            </w:tr>
            <w:tr w14:paraId="410DC5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52C89904">
                  <w:pPr>
                    <w:adjustRightInd w:val="0"/>
                    <w:snapToGrid w:val="0"/>
                    <w:jc w:val="center"/>
                    <w:rPr>
                      <w:color w:val="FF0000"/>
                      <w:sz w:val="18"/>
                      <w:szCs w:val="18"/>
                      <w:u w:val="none"/>
                    </w:rPr>
                  </w:pPr>
                  <w:r>
                    <w:rPr>
                      <w:color w:val="FF0000"/>
                      <w:sz w:val="18"/>
                      <w:szCs w:val="18"/>
                      <w:u w:val="none"/>
                    </w:rPr>
                    <w:t>Z2</w:t>
                  </w:r>
                </w:p>
              </w:tc>
              <w:tc>
                <w:tcPr>
                  <w:tcW w:w="566" w:type="pct"/>
                  <w:tcBorders>
                    <w:tl2br w:val="nil"/>
                    <w:tr2bl w:val="nil"/>
                  </w:tcBorders>
                  <w:vAlign w:val="center"/>
                </w:tcPr>
                <w:p w14:paraId="1BF9A207">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17.80</w:t>
                  </w:r>
                  <w:r>
                    <w:rPr>
                      <w:color w:val="FF0000"/>
                      <w:sz w:val="18"/>
                      <w:szCs w:val="18"/>
                      <w:u w:val="none"/>
                    </w:rPr>
                    <w:t>″</w:t>
                  </w:r>
                </w:p>
              </w:tc>
              <w:tc>
                <w:tcPr>
                  <w:tcW w:w="570" w:type="pct"/>
                  <w:tcBorders>
                    <w:tl2br w:val="nil"/>
                    <w:tr2bl w:val="nil"/>
                  </w:tcBorders>
                  <w:vAlign w:val="center"/>
                </w:tcPr>
                <w:p w14:paraId="6387EB04">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30</w:t>
                  </w:r>
                  <w:r>
                    <w:rPr>
                      <w:color w:val="FF0000"/>
                      <w:sz w:val="18"/>
                      <w:szCs w:val="18"/>
                      <w:u w:val="none"/>
                    </w:rPr>
                    <w:t>′</w:t>
                  </w:r>
                  <w:r>
                    <w:rPr>
                      <w:rFonts w:hint="eastAsia"/>
                      <w:color w:val="FF0000"/>
                      <w:sz w:val="18"/>
                      <w:szCs w:val="18"/>
                      <w:u w:val="none"/>
                      <w:lang w:val="en-US" w:eastAsia="zh-CN"/>
                    </w:rPr>
                    <w:t>19.00</w:t>
                  </w:r>
                  <w:r>
                    <w:rPr>
                      <w:color w:val="FF0000"/>
                      <w:sz w:val="18"/>
                      <w:szCs w:val="18"/>
                      <w:u w:val="none"/>
                    </w:rPr>
                    <w:t>″</w:t>
                  </w:r>
                </w:p>
              </w:tc>
              <w:tc>
                <w:tcPr>
                  <w:tcW w:w="568" w:type="pct"/>
                  <w:tcBorders>
                    <w:tl2br w:val="nil"/>
                    <w:tr2bl w:val="nil"/>
                  </w:tcBorders>
                  <w:vAlign w:val="center"/>
                </w:tcPr>
                <w:p w14:paraId="62E80ADE">
                  <w:pPr>
                    <w:adjustRightInd w:val="0"/>
                    <w:snapToGrid w:val="0"/>
                    <w:jc w:val="center"/>
                    <w:rPr>
                      <w:rFonts w:hint="eastAsia" w:eastAsia="宋体"/>
                      <w:color w:val="FF0000"/>
                      <w:sz w:val="18"/>
                      <w:szCs w:val="18"/>
                      <w:u w:val="none"/>
                      <w:lang w:val="en-US" w:eastAsia="zh-CN"/>
                    </w:rPr>
                  </w:pPr>
                  <w:r>
                    <w:rPr>
                      <w:rFonts w:hint="eastAsia"/>
                      <w:color w:val="FF0000"/>
                      <w:sz w:val="18"/>
                      <w:szCs w:val="18"/>
                      <w:u w:val="none"/>
                      <w:lang w:val="en-US" w:eastAsia="zh-CN"/>
                    </w:rPr>
                    <w:t>DZ1南侧，</w:t>
                  </w:r>
                  <w:r>
                    <w:rPr>
                      <w:color w:val="FF0000"/>
                      <w:sz w:val="18"/>
                      <w:szCs w:val="18"/>
                      <w:u w:val="none"/>
                    </w:rPr>
                    <w:t>沟道</w:t>
                  </w:r>
                  <w:r>
                    <w:rPr>
                      <w:rFonts w:hint="eastAsia"/>
                      <w:color w:val="FF0000"/>
                      <w:sz w:val="18"/>
                      <w:szCs w:val="18"/>
                      <w:u w:val="none"/>
                      <w:lang w:val="en-US" w:eastAsia="zh-CN"/>
                    </w:rPr>
                    <w:t>型</w:t>
                  </w:r>
                </w:p>
              </w:tc>
              <w:tc>
                <w:tcPr>
                  <w:tcW w:w="476" w:type="pct"/>
                  <w:tcBorders>
                    <w:tl2br w:val="nil"/>
                    <w:tr2bl w:val="nil"/>
                  </w:tcBorders>
                  <w:vAlign w:val="center"/>
                </w:tcPr>
                <w:p w14:paraId="37DCD3E5">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3.00</w:t>
                  </w:r>
                </w:p>
              </w:tc>
              <w:tc>
                <w:tcPr>
                  <w:tcW w:w="481" w:type="pct"/>
                  <w:tcBorders>
                    <w:tl2br w:val="nil"/>
                    <w:tr2bl w:val="nil"/>
                  </w:tcBorders>
                  <w:vAlign w:val="center"/>
                </w:tcPr>
                <w:p w14:paraId="676AB608">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2.62</w:t>
                  </w:r>
                </w:p>
              </w:tc>
              <w:tc>
                <w:tcPr>
                  <w:tcW w:w="396" w:type="pct"/>
                  <w:tcBorders>
                    <w:tl2br w:val="nil"/>
                    <w:tr2bl w:val="nil"/>
                  </w:tcBorders>
                  <w:vAlign w:val="center"/>
                </w:tcPr>
                <w:p w14:paraId="40A1E16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686D534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0.30</w:t>
                  </w:r>
                </w:p>
              </w:tc>
              <w:tc>
                <w:tcPr>
                  <w:tcW w:w="1139" w:type="pct"/>
                  <w:tcBorders>
                    <w:tl2br w:val="nil"/>
                    <w:tr2bl w:val="nil"/>
                  </w:tcBorders>
                  <w:vAlign w:val="center"/>
                </w:tcPr>
                <w:p w14:paraId="6E13137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DZ1、DZ18及新建道路</w:t>
                  </w:r>
                </w:p>
              </w:tc>
            </w:tr>
            <w:tr w14:paraId="4E8293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18F29C3C">
                  <w:pPr>
                    <w:adjustRightInd w:val="0"/>
                    <w:snapToGrid w:val="0"/>
                    <w:jc w:val="center"/>
                    <w:rPr>
                      <w:color w:val="FF0000"/>
                      <w:sz w:val="18"/>
                      <w:szCs w:val="18"/>
                      <w:u w:val="none"/>
                    </w:rPr>
                  </w:pPr>
                  <w:r>
                    <w:rPr>
                      <w:color w:val="FF0000"/>
                      <w:sz w:val="18"/>
                      <w:szCs w:val="18"/>
                      <w:u w:val="none"/>
                    </w:rPr>
                    <w:t>Z3</w:t>
                  </w:r>
                </w:p>
              </w:tc>
              <w:tc>
                <w:tcPr>
                  <w:tcW w:w="566" w:type="pct"/>
                  <w:tcBorders>
                    <w:tl2br w:val="nil"/>
                    <w:tr2bl w:val="nil"/>
                  </w:tcBorders>
                  <w:vAlign w:val="center"/>
                </w:tcPr>
                <w:p w14:paraId="35AB303C">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52.23</w:t>
                  </w:r>
                  <w:r>
                    <w:rPr>
                      <w:color w:val="FF0000"/>
                      <w:sz w:val="18"/>
                      <w:szCs w:val="18"/>
                      <w:u w:val="none"/>
                    </w:rPr>
                    <w:t>″</w:t>
                  </w:r>
                </w:p>
              </w:tc>
              <w:tc>
                <w:tcPr>
                  <w:tcW w:w="570" w:type="pct"/>
                  <w:tcBorders>
                    <w:tl2br w:val="nil"/>
                    <w:tr2bl w:val="nil"/>
                  </w:tcBorders>
                  <w:vAlign w:val="center"/>
                </w:tcPr>
                <w:p w14:paraId="16203BBF">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29</w:t>
                  </w:r>
                  <w:r>
                    <w:rPr>
                      <w:color w:val="FF0000"/>
                      <w:sz w:val="18"/>
                      <w:szCs w:val="18"/>
                      <w:u w:val="none"/>
                    </w:rPr>
                    <w:t>′</w:t>
                  </w:r>
                  <w:r>
                    <w:rPr>
                      <w:rFonts w:hint="eastAsia"/>
                      <w:color w:val="FF0000"/>
                      <w:sz w:val="18"/>
                      <w:szCs w:val="18"/>
                      <w:u w:val="none"/>
                      <w:lang w:val="en-US" w:eastAsia="zh-CN"/>
                    </w:rPr>
                    <w:t>38.52</w:t>
                  </w:r>
                  <w:r>
                    <w:rPr>
                      <w:color w:val="FF0000"/>
                      <w:sz w:val="18"/>
                      <w:szCs w:val="18"/>
                      <w:u w:val="none"/>
                    </w:rPr>
                    <w:t>″</w:t>
                  </w:r>
                </w:p>
              </w:tc>
              <w:tc>
                <w:tcPr>
                  <w:tcW w:w="568" w:type="pct"/>
                  <w:tcBorders>
                    <w:tl2br w:val="nil"/>
                    <w:tr2bl w:val="nil"/>
                  </w:tcBorders>
                  <w:vAlign w:val="center"/>
                </w:tcPr>
                <w:p w14:paraId="281E952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DZ3东南侧，沟道型</w:t>
                  </w:r>
                </w:p>
              </w:tc>
              <w:tc>
                <w:tcPr>
                  <w:tcW w:w="476" w:type="pct"/>
                  <w:tcBorders>
                    <w:tl2br w:val="nil"/>
                    <w:tr2bl w:val="nil"/>
                  </w:tcBorders>
                  <w:vAlign w:val="center"/>
                </w:tcPr>
                <w:p w14:paraId="119EB33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6.40</w:t>
                  </w:r>
                </w:p>
              </w:tc>
              <w:tc>
                <w:tcPr>
                  <w:tcW w:w="481" w:type="pct"/>
                  <w:tcBorders>
                    <w:tl2br w:val="nil"/>
                    <w:tr2bl w:val="nil"/>
                  </w:tcBorders>
                  <w:vAlign w:val="center"/>
                </w:tcPr>
                <w:p w14:paraId="39707A75">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6.40</w:t>
                  </w:r>
                </w:p>
              </w:tc>
              <w:tc>
                <w:tcPr>
                  <w:tcW w:w="396" w:type="pct"/>
                  <w:tcBorders>
                    <w:tl2br w:val="nil"/>
                    <w:tr2bl w:val="nil"/>
                  </w:tcBorders>
                  <w:vAlign w:val="center"/>
                </w:tcPr>
                <w:p w14:paraId="46E0EFD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4B010A4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0.64</w:t>
                  </w:r>
                </w:p>
              </w:tc>
              <w:tc>
                <w:tcPr>
                  <w:tcW w:w="1139" w:type="pct"/>
                  <w:tcBorders>
                    <w:tl2br w:val="nil"/>
                    <w:tr2bl w:val="nil"/>
                  </w:tcBorders>
                  <w:vAlign w:val="center"/>
                </w:tcPr>
                <w:p w14:paraId="23B503D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DZ2~DZ3及新建道路</w:t>
                  </w:r>
                </w:p>
              </w:tc>
            </w:tr>
            <w:tr w14:paraId="02FBE0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5E4040D2">
                  <w:pPr>
                    <w:adjustRightInd w:val="0"/>
                    <w:snapToGrid w:val="0"/>
                    <w:jc w:val="center"/>
                    <w:rPr>
                      <w:color w:val="FF0000"/>
                      <w:sz w:val="18"/>
                      <w:szCs w:val="18"/>
                      <w:u w:val="none"/>
                    </w:rPr>
                  </w:pPr>
                  <w:r>
                    <w:rPr>
                      <w:color w:val="FF0000"/>
                      <w:sz w:val="18"/>
                      <w:szCs w:val="18"/>
                      <w:u w:val="none"/>
                    </w:rPr>
                    <w:t>Z4</w:t>
                  </w:r>
                </w:p>
              </w:tc>
              <w:tc>
                <w:tcPr>
                  <w:tcW w:w="566" w:type="pct"/>
                  <w:tcBorders>
                    <w:tl2br w:val="nil"/>
                    <w:tr2bl w:val="nil"/>
                  </w:tcBorders>
                  <w:vAlign w:val="center"/>
                </w:tcPr>
                <w:p w14:paraId="2B5A6F04">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38.23</w:t>
                  </w:r>
                  <w:r>
                    <w:rPr>
                      <w:color w:val="FF0000"/>
                      <w:sz w:val="18"/>
                      <w:szCs w:val="18"/>
                      <w:u w:val="none"/>
                    </w:rPr>
                    <w:t>″</w:t>
                  </w:r>
                </w:p>
              </w:tc>
              <w:tc>
                <w:tcPr>
                  <w:tcW w:w="570" w:type="pct"/>
                  <w:tcBorders>
                    <w:tl2br w:val="nil"/>
                    <w:tr2bl w:val="nil"/>
                  </w:tcBorders>
                  <w:vAlign w:val="center"/>
                </w:tcPr>
                <w:p w14:paraId="351CB2CE">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26</w:t>
                  </w:r>
                  <w:r>
                    <w:rPr>
                      <w:color w:val="FF0000"/>
                      <w:sz w:val="18"/>
                      <w:szCs w:val="18"/>
                      <w:u w:val="none"/>
                    </w:rPr>
                    <w:t>′</w:t>
                  </w:r>
                  <w:r>
                    <w:rPr>
                      <w:rFonts w:hint="eastAsia"/>
                      <w:color w:val="FF0000"/>
                      <w:sz w:val="18"/>
                      <w:szCs w:val="18"/>
                      <w:u w:val="none"/>
                      <w:lang w:val="en-US" w:eastAsia="zh-CN"/>
                    </w:rPr>
                    <w:t>55.12</w:t>
                  </w:r>
                  <w:r>
                    <w:rPr>
                      <w:color w:val="FF0000"/>
                      <w:sz w:val="18"/>
                      <w:szCs w:val="18"/>
                      <w:u w:val="none"/>
                    </w:rPr>
                    <w:t>″</w:t>
                  </w:r>
                </w:p>
              </w:tc>
              <w:tc>
                <w:tcPr>
                  <w:tcW w:w="568" w:type="pct"/>
                  <w:tcBorders>
                    <w:tl2br w:val="nil"/>
                    <w:tr2bl w:val="nil"/>
                  </w:tcBorders>
                  <w:vAlign w:val="center"/>
                </w:tcPr>
                <w:p w14:paraId="7FB97D7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DZ19东侧，沟道型</w:t>
                  </w:r>
                </w:p>
              </w:tc>
              <w:tc>
                <w:tcPr>
                  <w:tcW w:w="476" w:type="pct"/>
                  <w:tcBorders>
                    <w:tl2br w:val="nil"/>
                    <w:tr2bl w:val="nil"/>
                  </w:tcBorders>
                  <w:vAlign w:val="center"/>
                </w:tcPr>
                <w:p w14:paraId="18CDBD9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5.13</w:t>
                  </w:r>
                </w:p>
              </w:tc>
              <w:tc>
                <w:tcPr>
                  <w:tcW w:w="481" w:type="pct"/>
                  <w:tcBorders>
                    <w:tl2br w:val="nil"/>
                    <w:tr2bl w:val="nil"/>
                  </w:tcBorders>
                  <w:vAlign w:val="center"/>
                </w:tcPr>
                <w:p w14:paraId="4C4F928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4.03</w:t>
                  </w:r>
                </w:p>
              </w:tc>
              <w:tc>
                <w:tcPr>
                  <w:tcW w:w="396" w:type="pct"/>
                  <w:tcBorders>
                    <w:tl2br w:val="nil"/>
                    <w:tr2bl w:val="nil"/>
                  </w:tcBorders>
                  <w:vAlign w:val="center"/>
                </w:tcPr>
                <w:p w14:paraId="47FE51B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9/19</w:t>
                  </w:r>
                </w:p>
              </w:tc>
              <w:tc>
                <w:tcPr>
                  <w:tcW w:w="481" w:type="pct"/>
                  <w:tcBorders>
                    <w:tl2br w:val="nil"/>
                    <w:tr2bl w:val="nil"/>
                  </w:tcBorders>
                  <w:vAlign w:val="center"/>
                </w:tcPr>
                <w:p w14:paraId="4BA01EA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0.57</w:t>
                  </w:r>
                </w:p>
              </w:tc>
              <w:tc>
                <w:tcPr>
                  <w:tcW w:w="1139" w:type="pct"/>
                  <w:tcBorders>
                    <w:tl2br w:val="nil"/>
                    <w:tr2bl w:val="nil"/>
                  </w:tcBorders>
                  <w:vAlign w:val="center"/>
                </w:tcPr>
                <w:p w14:paraId="757FCD0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升压站及新建、改造道路</w:t>
                  </w:r>
                </w:p>
              </w:tc>
            </w:tr>
            <w:tr w14:paraId="493420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38CD9755">
                  <w:pPr>
                    <w:adjustRightInd w:val="0"/>
                    <w:snapToGrid w:val="0"/>
                    <w:jc w:val="center"/>
                    <w:rPr>
                      <w:color w:val="FF0000"/>
                      <w:sz w:val="18"/>
                      <w:szCs w:val="18"/>
                      <w:u w:val="none"/>
                    </w:rPr>
                  </w:pPr>
                  <w:r>
                    <w:rPr>
                      <w:color w:val="FF0000"/>
                      <w:sz w:val="18"/>
                      <w:szCs w:val="18"/>
                      <w:u w:val="none"/>
                    </w:rPr>
                    <w:t>Z5</w:t>
                  </w:r>
                </w:p>
              </w:tc>
              <w:tc>
                <w:tcPr>
                  <w:tcW w:w="566" w:type="pct"/>
                  <w:tcBorders>
                    <w:tl2br w:val="nil"/>
                    <w:tr2bl w:val="nil"/>
                  </w:tcBorders>
                  <w:vAlign w:val="center"/>
                </w:tcPr>
                <w:p w14:paraId="2644689B">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4</w:t>
                  </w:r>
                  <w:r>
                    <w:rPr>
                      <w:color w:val="FF0000"/>
                      <w:sz w:val="18"/>
                      <w:szCs w:val="18"/>
                      <w:u w:val="none"/>
                    </w:rPr>
                    <w:t>′</w:t>
                  </w:r>
                  <w:r>
                    <w:rPr>
                      <w:rFonts w:hint="eastAsia"/>
                      <w:color w:val="FF0000"/>
                      <w:sz w:val="18"/>
                      <w:szCs w:val="18"/>
                      <w:u w:val="none"/>
                      <w:lang w:val="en-US" w:eastAsia="zh-CN"/>
                    </w:rPr>
                    <w:t>43.10</w:t>
                  </w:r>
                  <w:r>
                    <w:rPr>
                      <w:color w:val="FF0000"/>
                      <w:sz w:val="18"/>
                      <w:szCs w:val="18"/>
                      <w:u w:val="none"/>
                    </w:rPr>
                    <w:t>″</w:t>
                  </w:r>
                </w:p>
              </w:tc>
              <w:tc>
                <w:tcPr>
                  <w:tcW w:w="570" w:type="pct"/>
                  <w:tcBorders>
                    <w:tl2br w:val="nil"/>
                    <w:tr2bl w:val="nil"/>
                  </w:tcBorders>
                  <w:vAlign w:val="center"/>
                </w:tcPr>
                <w:p w14:paraId="7EFFBB68">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26</w:t>
                  </w:r>
                  <w:r>
                    <w:rPr>
                      <w:color w:val="FF0000"/>
                      <w:sz w:val="18"/>
                      <w:szCs w:val="18"/>
                      <w:u w:val="none"/>
                    </w:rPr>
                    <w:t>′</w:t>
                  </w:r>
                  <w:r>
                    <w:rPr>
                      <w:rFonts w:hint="eastAsia"/>
                      <w:color w:val="FF0000"/>
                      <w:sz w:val="18"/>
                      <w:szCs w:val="18"/>
                      <w:u w:val="none"/>
                      <w:lang w:val="en-US" w:eastAsia="zh-CN"/>
                    </w:rPr>
                    <w:t>45.58</w:t>
                  </w:r>
                  <w:r>
                    <w:rPr>
                      <w:color w:val="FF0000"/>
                      <w:sz w:val="18"/>
                      <w:szCs w:val="18"/>
                      <w:u w:val="none"/>
                    </w:rPr>
                    <w:t>″</w:t>
                  </w:r>
                </w:p>
              </w:tc>
              <w:tc>
                <w:tcPr>
                  <w:tcW w:w="568" w:type="pct"/>
                  <w:tcBorders>
                    <w:tl2br w:val="nil"/>
                    <w:tr2bl w:val="nil"/>
                  </w:tcBorders>
                  <w:vAlign w:val="center"/>
                </w:tcPr>
                <w:p w14:paraId="16C38A2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DZ20东北侧，沟道型</w:t>
                  </w:r>
                </w:p>
              </w:tc>
              <w:tc>
                <w:tcPr>
                  <w:tcW w:w="476" w:type="pct"/>
                  <w:tcBorders>
                    <w:tl2br w:val="nil"/>
                    <w:tr2bl w:val="nil"/>
                  </w:tcBorders>
                  <w:vAlign w:val="center"/>
                </w:tcPr>
                <w:p w14:paraId="4587A75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8.30</w:t>
                  </w:r>
                </w:p>
              </w:tc>
              <w:tc>
                <w:tcPr>
                  <w:tcW w:w="481" w:type="pct"/>
                  <w:tcBorders>
                    <w:tl2br w:val="nil"/>
                    <w:tr2bl w:val="nil"/>
                  </w:tcBorders>
                  <w:vAlign w:val="center"/>
                </w:tcPr>
                <w:p w14:paraId="2AC2F2F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5.66</w:t>
                  </w:r>
                </w:p>
              </w:tc>
              <w:tc>
                <w:tcPr>
                  <w:tcW w:w="396" w:type="pct"/>
                  <w:tcBorders>
                    <w:tl2br w:val="nil"/>
                    <w:tr2bl w:val="nil"/>
                  </w:tcBorders>
                  <w:vAlign w:val="center"/>
                </w:tcPr>
                <w:p w14:paraId="25E01647">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4193284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0.83</w:t>
                  </w:r>
                </w:p>
              </w:tc>
              <w:tc>
                <w:tcPr>
                  <w:tcW w:w="1139" w:type="pct"/>
                  <w:tcBorders>
                    <w:tl2br w:val="nil"/>
                    <w:tr2bl w:val="nil"/>
                  </w:tcBorders>
                  <w:vAlign w:val="center"/>
                </w:tcPr>
                <w:p w14:paraId="50A9BD3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DZ20、DZ21及新建道路</w:t>
                  </w:r>
                </w:p>
              </w:tc>
            </w:tr>
            <w:tr w14:paraId="2A4DDB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56C1E45F">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Z6</w:t>
                  </w:r>
                </w:p>
              </w:tc>
              <w:tc>
                <w:tcPr>
                  <w:tcW w:w="566" w:type="pct"/>
                  <w:tcBorders>
                    <w:tl2br w:val="nil"/>
                    <w:tr2bl w:val="nil"/>
                  </w:tcBorders>
                  <w:vAlign w:val="center"/>
                </w:tcPr>
                <w:p w14:paraId="4F360FA1">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5</w:t>
                  </w:r>
                  <w:r>
                    <w:rPr>
                      <w:color w:val="FF0000"/>
                      <w:sz w:val="18"/>
                      <w:szCs w:val="18"/>
                      <w:u w:val="none"/>
                    </w:rPr>
                    <w:t>′</w:t>
                  </w:r>
                  <w:r>
                    <w:rPr>
                      <w:rFonts w:hint="eastAsia"/>
                      <w:color w:val="FF0000"/>
                      <w:sz w:val="18"/>
                      <w:szCs w:val="18"/>
                      <w:u w:val="none"/>
                      <w:lang w:val="en-US" w:eastAsia="zh-CN"/>
                    </w:rPr>
                    <w:t>12.88</w:t>
                  </w:r>
                  <w:r>
                    <w:rPr>
                      <w:color w:val="FF0000"/>
                      <w:sz w:val="18"/>
                      <w:szCs w:val="18"/>
                      <w:u w:val="none"/>
                    </w:rPr>
                    <w:t>″</w:t>
                  </w:r>
                </w:p>
              </w:tc>
              <w:tc>
                <w:tcPr>
                  <w:tcW w:w="570" w:type="pct"/>
                  <w:tcBorders>
                    <w:tl2br w:val="nil"/>
                    <w:tr2bl w:val="nil"/>
                  </w:tcBorders>
                  <w:vAlign w:val="center"/>
                </w:tcPr>
                <w:p w14:paraId="15C6F5E4">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28</w:t>
                  </w:r>
                  <w:r>
                    <w:rPr>
                      <w:color w:val="FF0000"/>
                      <w:sz w:val="18"/>
                      <w:szCs w:val="18"/>
                      <w:u w:val="none"/>
                    </w:rPr>
                    <w:t>′</w:t>
                  </w:r>
                  <w:r>
                    <w:rPr>
                      <w:rFonts w:hint="eastAsia"/>
                      <w:color w:val="FF0000"/>
                      <w:sz w:val="18"/>
                      <w:szCs w:val="18"/>
                      <w:u w:val="none"/>
                      <w:lang w:val="en-US" w:eastAsia="zh-CN"/>
                    </w:rPr>
                    <w:t>13.82</w:t>
                  </w:r>
                  <w:r>
                    <w:rPr>
                      <w:color w:val="FF0000"/>
                      <w:sz w:val="18"/>
                      <w:szCs w:val="18"/>
                      <w:u w:val="none"/>
                    </w:rPr>
                    <w:t>″</w:t>
                  </w:r>
                </w:p>
              </w:tc>
              <w:tc>
                <w:tcPr>
                  <w:tcW w:w="568" w:type="pct"/>
                  <w:tcBorders>
                    <w:tl2br w:val="nil"/>
                    <w:tr2bl w:val="nil"/>
                  </w:tcBorders>
                  <w:vAlign w:val="center"/>
                </w:tcPr>
                <w:p w14:paraId="621C795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DZ5南侧，沟道型</w:t>
                  </w:r>
                </w:p>
              </w:tc>
              <w:tc>
                <w:tcPr>
                  <w:tcW w:w="476" w:type="pct"/>
                  <w:tcBorders>
                    <w:tl2br w:val="nil"/>
                    <w:tr2bl w:val="nil"/>
                  </w:tcBorders>
                  <w:vAlign w:val="center"/>
                </w:tcPr>
                <w:p w14:paraId="21DB3CD1">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5.46</w:t>
                  </w:r>
                </w:p>
              </w:tc>
              <w:tc>
                <w:tcPr>
                  <w:tcW w:w="481" w:type="pct"/>
                  <w:tcBorders>
                    <w:tl2br w:val="nil"/>
                    <w:tr2bl w:val="nil"/>
                  </w:tcBorders>
                  <w:vAlign w:val="center"/>
                </w:tcPr>
                <w:p w14:paraId="3B84C66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4.67</w:t>
                  </w:r>
                </w:p>
              </w:tc>
              <w:tc>
                <w:tcPr>
                  <w:tcW w:w="396" w:type="pct"/>
                  <w:tcBorders>
                    <w:tl2br w:val="nil"/>
                    <w:tr2bl w:val="nil"/>
                  </w:tcBorders>
                  <w:vAlign w:val="center"/>
                </w:tcPr>
                <w:p w14:paraId="768BD24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6/11</w:t>
                  </w:r>
                </w:p>
              </w:tc>
              <w:tc>
                <w:tcPr>
                  <w:tcW w:w="481" w:type="pct"/>
                  <w:tcBorders>
                    <w:tl2br w:val="nil"/>
                    <w:tr2bl w:val="nil"/>
                  </w:tcBorders>
                  <w:vAlign w:val="center"/>
                </w:tcPr>
                <w:p w14:paraId="6422F5D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0.91</w:t>
                  </w:r>
                </w:p>
              </w:tc>
              <w:tc>
                <w:tcPr>
                  <w:tcW w:w="1139" w:type="pct"/>
                  <w:tcBorders>
                    <w:tl2br w:val="nil"/>
                    <w:tr2bl w:val="nil"/>
                  </w:tcBorders>
                  <w:vAlign w:val="center"/>
                </w:tcPr>
                <w:p w14:paraId="293FB1C7">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DZ5、DZ6及新建道路</w:t>
                  </w:r>
                </w:p>
              </w:tc>
            </w:tr>
            <w:tr w14:paraId="594A20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0B3E308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Z7</w:t>
                  </w:r>
                </w:p>
              </w:tc>
              <w:tc>
                <w:tcPr>
                  <w:tcW w:w="566" w:type="pct"/>
                  <w:tcBorders>
                    <w:tl2br w:val="nil"/>
                    <w:tr2bl w:val="nil"/>
                  </w:tcBorders>
                  <w:vAlign w:val="center"/>
                </w:tcPr>
                <w:p w14:paraId="1D57E6D7">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39.42</w:t>
                  </w:r>
                  <w:r>
                    <w:rPr>
                      <w:color w:val="FF0000"/>
                      <w:sz w:val="18"/>
                      <w:szCs w:val="18"/>
                      <w:u w:val="none"/>
                    </w:rPr>
                    <w:t>″</w:t>
                  </w:r>
                </w:p>
              </w:tc>
              <w:tc>
                <w:tcPr>
                  <w:tcW w:w="570" w:type="pct"/>
                  <w:tcBorders>
                    <w:tl2br w:val="nil"/>
                    <w:tr2bl w:val="nil"/>
                  </w:tcBorders>
                  <w:vAlign w:val="center"/>
                </w:tcPr>
                <w:p w14:paraId="5A2DE6F3">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29</w:t>
                  </w:r>
                  <w:r>
                    <w:rPr>
                      <w:color w:val="FF0000"/>
                      <w:sz w:val="18"/>
                      <w:szCs w:val="18"/>
                      <w:u w:val="none"/>
                    </w:rPr>
                    <w:t>′</w:t>
                  </w:r>
                  <w:r>
                    <w:rPr>
                      <w:rFonts w:hint="eastAsia"/>
                      <w:color w:val="FF0000"/>
                      <w:sz w:val="18"/>
                      <w:szCs w:val="18"/>
                      <w:u w:val="none"/>
                      <w:lang w:val="en-US" w:eastAsia="zh-CN"/>
                    </w:rPr>
                    <w:t>12.63</w:t>
                  </w:r>
                  <w:r>
                    <w:rPr>
                      <w:color w:val="FF0000"/>
                      <w:sz w:val="18"/>
                      <w:szCs w:val="18"/>
                      <w:u w:val="none"/>
                    </w:rPr>
                    <w:t>″</w:t>
                  </w:r>
                </w:p>
              </w:tc>
              <w:tc>
                <w:tcPr>
                  <w:tcW w:w="568" w:type="pct"/>
                  <w:tcBorders>
                    <w:tl2br w:val="nil"/>
                    <w:tr2bl w:val="nil"/>
                  </w:tcBorders>
                  <w:vAlign w:val="center"/>
                </w:tcPr>
                <w:p w14:paraId="49C00E7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DZ8南侧，沟道型</w:t>
                  </w:r>
                </w:p>
              </w:tc>
              <w:tc>
                <w:tcPr>
                  <w:tcW w:w="476" w:type="pct"/>
                  <w:tcBorders>
                    <w:tl2br w:val="nil"/>
                    <w:tr2bl w:val="nil"/>
                  </w:tcBorders>
                  <w:vAlign w:val="center"/>
                </w:tcPr>
                <w:p w14:paraId="2092D03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9.40</w:t>
                  </w:r>
                </w:p>
              </w:tc>
              <w:tc>
                <w:tcPr>
                  <w:tcW w:w="481" w:type="pct"/>
                  <w:tcBorders>
                    <w:tl2br w:val="nil"/>
                    <w:tr2bl w:val="nil"/>
                  </w:tcBorders>
                  <w:vAlign w:val="center"/>
                </w:tcPr>
                <w:p w14:paraId="3DF3FB0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8.14</w:t>
                  </w:r>
                </w:p>
              </w:tc>
              <w:tc>
                <w:tcPr>
                  <w:tcW w:w="396" w:type="pct"/>
                  <w:tcBorders>
                    <w:tl2br w:val="nil"/>
                    <w:tr2bl w:val="nil"/>
                  </w:tcBorders>
                  <w:vAlign w:val="center"/>
                </w:tcPr>
                <w:p w14:paraId="2BD126E3">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10/18</w:t>
                  </w:r>
                </w:p>
              </w:tc>
              <w:tc>
                <w:tcPr>
                  <w:tcW w:w="481" w:type="pct"/>
                  <w:tcBorders>
                    <w:tl2br w:val="nil"/>
                    <w:tr2bl w:val="nil"/>
                  </w:tcBorders>
                  <w:vAlign w:val="center"/>
                </w:tcPr>
                <w:p w14:paraId="205CE9D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0.94</w:t>
                  </w:r>
                </w:p>
              </w:tc>
              <w:tc>
                <w:tcPr>
                  <w:tcW w:w="1139" w:type="pct"/>
                  <w:tcBorders>
                    <w:tl2br w:val="nil"/>
                    <w:tr2bl w:val="nil"/>
                  </w:tcBorders>
                  <w:vAlign w:val="center"/>
                </w:tcPr>
                <w:p w14:paraId="5195B7D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DZ7~DZ12及新建道路</w:t>
                  </w:r>
                </w:p>
              </w:tc>
            </w:tr>
            <w:tr w14:paraId="6247DD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2189D6F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Z8</w:t>
                  </w:r>
                </w:p>
              </w:tc>
              <w:tc>
                <w:tcPr>
                  <w:tcW w:w="566" w:type="pct"/>
                  <w:tcBorders>
                    <w:tl2br w:val="nil"/>
                    <w:tr2bl w:val="nil"/>
                  </w:tcBorders>
                  <w:vAlign w:val="center"/>
                </w:tcPr>
                <w:p w14:paraId="5A75444C">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39.42</w:t>
                  </w:r>
                  <w:r>
                    <w:rPr>
                      <w:color w:val="FF0000"/>
                      <w:sz w:val="18"/>
                      <w:szCs w:val="18"/>
                      <w:u w:val="none"/>
                    </w:rPr>
                    <w:t>″</w:t>
                  </w:r>
                </w:p>
              </w:tc>
              <w:tc>
                <w:tcPr>
                  <w:tcW w:w="570" w:type="pct"/>
                  <w:tcBorders>
                    <w:tl2br w:val="nil"/>
                    <w:tr2bl w:val="nil"/>
                  </w:tcBorders>
                  <w:vAlign w:val="center"/>
                </w:tcPr>
                <w:p w14:paraId="24F9BA4F">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26</w:t>
                  </w:r>
                  <w:r>
                    <w:rPr>
                      <w:color w:val="FF0000"/>
                      <w:sz w:val="18"/>
                      <w:szCs w:val="18"/>
                      <w:u w:val="none"/>
                    </w:rPr>
                    <w:t>′</w:t>
                  </w:r>
                  <w:r>
                    <w:rPr>
                      <w:rFonts w:hint="eastAsia"/>
                      <w:color w:val="FF0000"/>
                      <w:sz w:val="18"/>
                      <w:szCs w:val="18"/>
                      <w:u w:val="none"/>
                      <w:lang w:val="en-US" w:eastAsia="zh-CN"/>
                    </w:rPr>
                    <w:t>39.42</w:t>
                  </w:r>
                  <w:r>
                    <w:rPr>
                      <w:color w:val="FF0000"/>
                      <w:sz w:val="18"/>
                      <w:szCs w:val="18"/>
                      <w:u w:val="none"/>
                    </w:rPr>
                    <w:t>″</w:t>
                  </w:r>
                </w:p>
              </w:tc>
              <w:tc>
                <w:tcPr>
                  <w:tcW w:w="568" w:type="pct"/>
                  <w:tcBorders>
                    <w:tl2br w:val="nil"/>
                    <w:tr2bl w:val="nil"/>
                  </w:tcBorders>
                  <w:vAlign w:val="center"/>
                </w:tcPr>
                <w:p w14:paraId="6ABAB77A">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DZ17东侧，沟道型</w:t>
                  </w:r>
                </w:p>
              </w:tc>
              <w:tc>
                <w:tcPr>
                  <w:tcW w:w="476" w:type="pct"/>
                  <w:tcBorders>
                    <w:tl2br w:val="nil"/>
                    <w:tr2bl w:val="nil"/>
                  </w:tcBorders>
                  <w:vAlign w:val="center"/>
                </w:tcPr>
                <w:p w14:paraId="00D82D16">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7.60</w:t>
                  </w:r>
                </w:p>
              </w:tc>
              <w:tc>
                <w:tcPr>
                  <w:tcW w:w="481" w:type="pct"/>
                  <w:tcBorders>
                    <w:tl2br w:val="nil"/>
                    <w:tr2bl w:val="nil"/>
                  </w:tcBorders>
                  <w:vAlign w:val="center"/>
                </w:tcPr>
                <w:p w14:paraId="40866684">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3.92</w:t>
                  </w:r>
                </w:p>
              </w:tc>
              <w:tc>
                <w:tcPr>
                  <w:tcW w:w="396" w:type="pct"/>
                  <w:tcBorders>
                    <w:tl2br w:val="nil"/>
                    <w:tr2bl w:val="nil"/>
                  </w:tcBorders>
                  <w:vAlign w:val="center"/>
                </w:tcPr>
                <w:p w14:paraId="1DAF7129">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10/20</w:t>
                  </w:r>
                </w:p>
              </w:tc>
              <w:tc>
                <w:tcPr>
                  <w:tcW w:w="481" w:type="pct"/>
                  <w:tcBorders>
                    <w:tl2br w:val="nil"/>
                    <w:tr2bl w:val="nil"/>
                  </w:tcBorders>
                  <w:vAlign w:val="center"/>
                </w:tcPr>
                <w:p w14:paraId="6AED6227">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0.76</w:t>
                  </w:r>
                </w:p>
              </w:tc>
              <w:tc>
                <w:tcPr>
                  <w:tcW w:w="1139" w:type="pct"/>
                  <w:tcBorders>
                    <w:tl2br w:val="nil"/>
                    <w:tr2bl w:val="nil"/>
                  </w:tcBorders>
                  <w:vAlign w:val="center"/>
                </w:tcPr>
                <w:p w14:paraId="0142EE52">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DZ17风机及新建、改造道路；DZ15及新建道路</w:t>
                  </w:r>
                </w:p>
              </w:tc>
            </w:tr>
            <w:tr w14:paraId="7D131D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319" w:type="pct"/>
                  <w:tcBorders>
                    <w:tl2br w:val="nil"/>
                    <w:tr2bl w:val="nil"/>
                  </w:tcBorders>
                  <w:vAlign w:val="center"/>
                </w:tcPr>
                <w:p w14:paraId="2AA131C7">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Z9</w:t>
                  </w:r>
                </w:p>
              </w:tc>
              <w:tc>
                <w:tcPr>
                  <w:tcW w:w="566" w:type="pct"/>
                  <w:tcBorders>
                    <w:tl2br w:val="nil"/>
                    <w:tr2bl w:val="nil"/>
                  </w:tcBorders>
                  <w:vAlign w:val="center"/>
                </w:tcPr>
                <w:p w14:paraId="491178D3">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11</w:t>
                  </w:r>
                  <w:r>
                    <w:rPr>
                      <w:rFonts w:hint="eastAsia"/>
                      <w:color w:val="FF0000"/>
                      <w:sz w:val="18"/>
                      <w:szCs w:val="18"/>
                      <w:u w:val="none"/>
                      <w:lang w:val="en-US" w:eastAsia="zh-CN"/>
                    </w:rPr>
                    <w:t>3</w:t>
                  </w:r>
                  <w:r>
                    <w:rPr>
                      <w:color w:val="FF0000"/>
                      <w:sz w:val="18"/>
                      <w:szCs w:val="18"/>
                      <w:u w:val="none"/>
                    </w:rPr>
                    <w:t>°</w:t>
                  </w:r>
                  <w:r>
                    <w:rPr>
                      <w:rFonts w:hint="eastAsia"/>
                      <w:color w:val="FF0000"/>
                      <w:sz w:val="18"/>
                      <w:szCs w:val="18"/>
                      <w:u w:val="none"/>
                      <w:lang w:val="en-US" w:eastAsia="zh-CN"/>
                    </w:rPr>
                    <w:t>8</w:t>
                  </w:r>
                  <w:r>
                    <w:rPr>
                      <w:color w:val="FF0000"/>
                      <w:sz w:val="18"/>
                      <w:szCs w:val="18"/>
                      <w:u w:val="none"/>
                    </w:rPr>
                    <w:t>′</w:t>
                  </w:r>
                  <w:r>
                    <w:rPr>
                      <w:rFonts w:hint="eastAsia"/>
                      <w:color w:val="FF0000"/>
                      <w:sz w:val="18"/>
                      <w:szCs w:val="18"/>
                      <w:u w:val="none"/>
                      <w:lang w:val="en-US" w:eastAsia="zh-CN"/>
                    </w:rPr>
                    <w:t>41.99</w:t>
                  </w:r>
                  <w:r>
                    <w:rPr>
                      <w:color w:val="FF0000"/>
                      <w:sz w:val="18"/>
                      <w:szCs w:val="18"/>
                      <w:u w:val="none"/>
                    </w:rPr>
                    <w:t>″</w:t>
                  </w:r>
                </w:p>
              </w:tc>
              <w:tc>
                <w:tcPr>
                  <w:tcW w:w="570" w:type="pct"/>
                  <w:tcBorders>
                    <w:tl2br w:val="nil"/>
                    <w:tr2bl w:val="nil"/>
                  </w:tcBorders>
                  <w:vAlign w:val="center"/>
                </w:tcPr>
                <w:p w14:paraId="4097C87A">
                  <w:pPr>
                    <w:adjustRightInd w:val="0"/>
                    <w:snapToGrid w:val="0"/>
                    <w:jc w:val="center"/>
                    <w:rPr>
                      <w:rFonts w:ascii="Times New Roman" w:hAnsi="Times New Roman" w:eastAsia="宋体" w:cs="Times New Roman"/>
                      <w:color w:val="FF0000"/>
                      <w:kern w:val="2"/>
                      <w:sz w:val="18"/>
                      <w:szCs w:val="18"/>
                      <w:u w:val="none"/>
                      <w:lang w:val="en-US" w:eastAsia="zh-CN" w:bidi="ar-SA"/>
                    </w:rPr>
                  </w:pPr>
                  <w:r>
                    <w:rPr>
                      <w:color w:val="FF0000"/>
                      <w:sz w:val="18"/>
                      <w:szCs w:val="18"/>
                      <w:u w:val="none"/>
                    </w:rPr>
                    <w:t>2</w:t>
                  </w:r>
                  <w:r>
                    <w:rPr>
                      <w:rFonts w:hint="eastAsia"/>
                      <w:color w:val="FF0000"/>
                      <w:sz w:val="18"/>
                      <w:szCs w:val="18"/>
                      <w:u w:val="none"/>
                      <w:lang w:val="en-US" w:eastAsia="zh-CN"/>
                    </w:rPr>
                    <w:t>6</w:t>
                  </w:r>
                  <w:r>
                    <w:rPr>
                      <w:color w:val="FF0000"/>
                      <w:sz w:val="18"/>
                      <w:szCs w:val="18"/>
                      <w:u w:val="none"/>
                    </w:rPr>
                    <w:t>°</w:t>
                  </w:r>
                  <w:r>
                    <w:rPr>
                      <w:rFonts w:hint="eastAsia"/>
                      <w:color w:val="FF0000"/>
                      <w:sz w:val="18"/>
                      <w:szCs w:val="18"/>
                      <w:u w:val="none"/>
                      <w:lang w:val="en-US" w:eastAsia="zh-CN"/>
                    </w:rPr>
                    <w:t>28</w:t>
                  </w:r>
                  <w:r>
                    <w:rPr>
                      <w:color w:val="FF0000"/>
                      <w:sz w:val="18"/>
                      <w:szCs w:val="18"/>
                      <w:u w:val="none"/>
                    </w:rPr>
                    <w:t>′</w:t>
                  </w:r>
                  <w:r>
                    <w:rPr>
                      <w:rFonts w:hint="eastAsia"/>
                      <w:color w:val="FF0000"/>
                      <w:sz w:val="18"/>
                      <w:szCs w:val="18"/>
                      <w:u w:val="none"/>
                      <w:lang w:val="en-US" w:eastAsia="zh-CN"/>
                    </w:rPr>
                    <w:t>23.47</w:t>
                  </w:r>
                  <w:r>
                    <w:rPr>
                      <w:color w:val="FF0000"/>
                      <w:sz w:val="18"/>
                      <w:szCs w:val="18"/>
                      <w:u w:val="none"/>
                    </w:rPr>
                    <w:t>″</w:t>
                  </w:r>
                </w:p>
              </w:tc>
              <w:tc>
                <w:tcPr>
                  <w:tcW w:w="568" w:type="pct"/>
                  <w:tcBorders>
                    <w:tl2br w:val="nil"/>
                    <w:tr2bl w:val="nil"/>
                  </w:tcBorders>
                  <w:vAlign w:val="center"/>
                </w:tcPr>
                <w:p w14:paraId="31813CC0">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DZ22南侧，沟道型</w:t>
                  </w:r>
                </w:p>
              </w:tc>
              <w:tc>
                <w:tcPr>
                  <w:tcW w:w="476" w:type="pct"/>
                  <w:tcBorders>
                    <w:tl2br w:val="nil"/>
                    <w:tr2bl w:val="nil"/>
                  </w:tcBorders>
                  <w:vAlign w:val="center"/>
                </w:tcPr>
                <w:p w14:paraId="594959A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7.02</w:t>
                  </w:r>
                </w:p>
              </w:tc>
              <w:tc>
                <w:tcPr>
                  <w:tcW w:w="481" w:type="pct"/>
                  <w:tcBorders>
                    <w:tl2br w:val="nil"/>
                    <w:tr2bl w:val="nil"/>
                  </w:tcBorders>
                  <w:vAlign w:val="center"/>
                </w:tcPr>
                <w:p w14:paraId="121C609C">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6.00</w:t>
                  </w:r>
                </w:p>
              </w:tc>
              <w:tc>
                <w:tcPr>
                  <w:tcW w:w="396" w:type="pct"/>
                  <w:tcBorders>
                    <w:tl2br w:val="nil"/>
                    <w:tr2bl w:val="nil"/>
                  </w:tcBorders>
                  <w:vAlign w:val="center"/>
                </w:tcPr>
                <w:p w14:paraId="36FF9FCB">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9/17</w:t>
                  </w:r>
                </w:p>
              </w:tc>
              <w:tc>
                <w:tcPr>
                  <w:tcW w:w="481" w:type="pct"/>
                  <w:tcBorders>
                    <w:tl2br w:val="nil"/>
                    <w:tr2bl w:val="nil"/>
                  </w:tcBorders>
                  <w:vAlign w:val="center"/>
                </w:tcPr>
                <w:p w14:paraId="15F0FD6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0.78</w:t>
                  </w:r>
                </w:p>
              </w:tc>
              <w:tc>
                <w:tcPr>
                  <w:tcW w:w="1139" w:type="pct"/>
                  <w:tcBorders>
                    <w:tl2br w:val="nil"/>
                    <w:tr2bl w:val="nil"/>
                  </w:tcBorders>
                  <w:vAlign w:val="center"/>
                </w:tcPr>
                <w:p w14:paraId="03AE8FC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DZ14及新建道路、DZ22~DZ24及新建道路</w:t>
                  </w:r>
                </w:p>
              </w:tc>
            </w:tr>
            <w:tr w14:paraId="5EA446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09" w:hRule="atLeast"/>
              </w:trPr>
              <w:tc>
                <w:tcPr>
                  <w:tcW w:w="2025" w:type="pct"/>
                  <w:gridSpan w:val="4"/>
                  <w:tcBorders>
                    <w:tl2br w:val="nil"/>
                    <w:tr2bl w:val="nil"/>
                  </w:tcBorders>
                  <w:vAlign w:val="center"/>
                </w:tcPr>
                <w:p w14:paraId="78EF47C0">
                  <w:pPr>
                    <w:adjustRightInd w:val="0"/>
                    <w:snapToGrid w:val="0"/>
                    <w:jc w:val="center"/>
                    <w:rPr>
                      <w:color w:val="FF0000"/>
                      <w:sz w:val="18"/>
                      <w:szCs w:val="18"/>
                      <w:u w:val="none"/>
                    </w:rPr>
                  </w:pPr>
                  <w:r>
                    <w:rPr>
                      <w:rFonts w:hint="eastAsia"/>
                      <w:color w:val="FF0000"/>
                      <w:sz w:val="18"/>
                      <w:szCs w:val="18"/>
                      <w:u w:val="none"/>
                    </w:rPr>
                    <w:t>合计</w:t>
                  </w:r>
                </w:p>
              </w:tc>
              <w:tc>
                <w:tcPr>
                  <w:tcW w:w="476" w:type="pct"/>
                  <w:tcBorders>
                    <w:tl2br w:val="nil"/>
                    <w:tr2bl w:val="nil"/>
                  </w:tcBorders>
                  <w:vAlign w:val="center"/>
                </w:tcPr>
                <w:p w14:paraId="50BACC92">
                  <w:pPr>
                    <w:adjustRightInd w:val="0"/>
                    <w:snapToGrid w:val="0"/>
                    <w:jc w:val="center"/>
                    <w:rPr>
                      <w:rFonts w:hint="default" w:eastAsia="仿宋_GB2312"/>
                      <w:color w:val="FF0000"/>
                      <w:szCs w:val="21"/>
                      <w:u w:val="none"/>
                      <w:lang w:val="en-US" w:eastAsia="zh-CN"/>
                    </w:rPr>
                  </w:pPr>
                  <w:r>
                    <w:rPr>
                      <w:rFonts w:hint="eastAsia" w:eastAsia="仿宋_GB2312"/>
                      <w:color w:val="FF0000"/>
                      <w:szCs w:val="21"/>
                      <w:u w:val="none"/>
                      <w:lang w:val="en-US" w:eastAsia="zh-CN"/>
                    </w:rPr>
                    <w:t>54.71</w:t>
                  </w:r>
                </w:p>
              </w:tc>
              <w:tc>
                <w:tcPr>
                  <w:tcW w:w="481" w:type="pct"/>
                  <w:tcBorders>
                    <w:tl2br w:val="nil"/>
                    <w:tr2bl w:val="nil"/>
                  </w:tcBorders>
                  <w:vAlign w:val="center"/>
                </w:tcPr>
                <w:p w14:paraId="0D6E712E">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43.3</w:t>
                  </w:r>
                </w:p>
              </w:tc>
              <w:tc>
                <w:tcPr>
                  <w:tcW w:w="396" w:type="pct"/>
                  <w:tcBorders>
                    <w:tl2br w:val="nil"/>
                    <w:tr2bl w:val="nil"/>
                  </w:tcBorders>
                  <w:vAlign w:val="center"/>
                </w:tcPr>
                <w:p w14:paraId="3C5640EE">
                  <w:pPr>
                    <w:adjustRightInd w:val="0"/>
                    <w:snapToGrid w:val="0"/>
                    <w:jc w:val="center"/>
                    <w:rPr>
                      <w:color w:val="FF0000"/>
                      <w:sz w:val="18"/>
                      <w:szCs w:val="18"/>
                      <w:u w:val="none"/>
                    </w:rPr>
                  </w:pPr>
                </w:p>
              </w:tc>
              <w:tc>
                <w:tcPr>
                  <w:tcW w:w="481" w:type="pct"/>
                  <w:tcBorders>
                    <w:tl2br w:val="nil"/>
                    <w:tr2bl w:val="nil"/>
                  </w:tcBorders>
                  <w:vAlign w:val="center"/>
                </w:tcPr>
                <w:p w14:paraId="4566FA1D">
                  <w:pPr>
                    <w:adjustRightInd w:val="0"/>
                    <w:snapToGrid w:val="0"/>
                    <w:jc w:val="center"/>
                    <w:rPr>
                      <w:rFonts w:hint="default" w:eastAsia="宋体"/>
                      <w:color w:val="FF0000"/>
                      <w:sz w:val="18"/>
                      <w:szCs w:val="18"/>
                      <w:u w:val="none"/>
                      <w:lang w:val="en-US" w:eastAsia="zh-CN"/>
                    </w:rPr>
                  </w:pPr>
                  <w:r>
                    <w:rPr>
                      <w:rFonts w:hint="eastAsia"/>
                      <w:color w:val="FF0000"/>
                      <w:sz w:val="18"/>
                      <w:szCs w:val="18"/>
                      <w:u w:val="none"/>
                      <w:lang w:val="en-US" w:eastAsia="zh-CN"/>
                    </w:rPr>
                    <w:t>5.96</w:t>
                  </w:r>
                </w:p>
              </w:tc>
              <w:tc>
                <w:tcPr>
                  <w:tcW w:w="1139" w:type="pct"/>
                  <w:tcBorders>
                    <w:tl2br w:val="nil"/>
                    <w:tr2bl w:val="nil"/>
                  </w:tcBorders>
                  <w:vAlign w:val="center"/>
                </w:tcPr>
                <w:p w14:paraId="0C833D70">
                  <w:pPr>
                    <w:adjustRightInd w:val="0"/>
                    <w:snapToGrid w:val="0"/>
                    <w:jc w:val="center"/>
                    <w:rPr>
                      <w:color w:val="FF0000"/>
                      <w:sz w:val="18"/>
                      <w:szCs w:val="18"/>
                      <w:u w:val="none"/>
                    </w:rPr>
                  </w:pPr>
                </w:p>
              </w:tc>
            </w:tr>
          </w:tbl>
          <w:p w14:paraId="034B488C">
            <w:pPr>
              <w:pStyle w:val="72"/>
              <w:keepNext/>
              <w:ind w:firstLine="98" w:firstLineChars="41"/>
              <w:jc w:val="center"/>
              <w:rPr>
                <w:sz w:val="24"/>
                <w:szCs w:val="32"/>
                <w:u w:val="none"/>
              </w:rPr>
            </w:pPr>
          </w:p>
        </w:tc>
      </w:tr>
      <w:tr w14:paraId="09ACF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003BF0E9">
            <w:pPr>
              <w:jc w:val="center"/>
              <w:rPr>
                <w:b/>
                <w:bCs/>
                <w:sz w:val="24"/>
                <w:szCs w:val="32"/>
                <w:u w:val="none"/>
              </w:rPr>
            </w:pPr>
            <w:r>
              <w:rPr>
                <w:rFonts w:hint="eastAsia"/>
                <w:b/>
                <w:bCs/>
                <w:sz w:val="24"/>
                <w:szCs w:val="32"/>
                <w:u w:val="none"/>
              </w:rPr>
              <w:t>总平面及现场布置</w:t>
            </w:r>
          </w:p>
        </w:tc>
        <w:tc>
          <w:tcPr>
            <w:tcW w:w="8835" w:type="dxa"/>
          </w:tcPr>
          <w:p w14:paraId="5E1362F6">
            <w:pPr>
              <w:spacing w:line="360" w:lineRule="auto"/>
              <w:jc w:val="left"/>
              <w:rPr>
                <w:b/>
                <w:bCs/>
                <w:sz w:val="24"/>
                <w:u w:val="none"/>
              </w:rPr>
            </w:pPr>
            <w:r>
              <w:rPr>
                <w:b/>
                <w:bCs/>
                <w:sz w:val="24"/>
                <w:u w:val="none"/>
              </w:rPr>
              <w:t>5</w:t>
            </w:r>
            <w:r>
              <w:rPr>
                <w:rFonts w:hint="eastAsia"/>
                <w:b/>
                <w:bCs/>
                <w:sz w:val="24"/>
                <w:u w:val="none"/>
                <w:lang w:eastAsia="zh-CN"/>
              </w:rPr>
              <w:t>、</w:t>
            </w:r>
            <w:r>
              <w:rPr>
                <w:rFonts w:hint="eastAsia"/>
                <w:b/>
                <w:bCs/>
                <w:sz w:val="24"/>
                <w:u w:val="none"/>
              </w:rPr>
              <w:t>总平面布置</w:t>
            </w:r>
          </w:p>
          <w:p w14:paraId="29E8BB30">
            <w:pPr>
              <w:spacing w:line="360" w:lineRule="auto"/>
              <w:ind w:firstLine="480" w:firstLineChars="200"/>
              <w:rPr>
                <w:color w:val="FF0000"/>
                <w:sz w:val="24"/>
                <w:szCs w:val="32"/>
                <w:u w:val="none"/>
              </w:rPr>
            </w:pPr>
            <w:r>
              <w:rPr>
                <w:rFonts w:hint="eastAsia"/>
                <w:color w:val="FF0000"/>
                <w:sz w:val="24"/>
                <w:szCs w:val="32"/>
                <w:u w:val="none"/>
              </w:rPr>
              <w:t>本项目建设1</w:t>
            </w:r>
            <w:r>
              <w:rPr>
                <w:rFonts w:hint="eastAsia"/>
                <w:color w:val="FF0000"/>
                <w:sz w:val="24"/>
                <w:szCs w:val="32"/>
                <w:u w:val="none"/>
                <w:lang w:val="en-US" w:eastAsia="zh-CN"/>
              </w:rPr>
              <w:t>6</w:t>
            </w:r>
            <w:r>
              <w:rPr>
                <w:rFonts w:hint="eastAsia"/>
                <w:color w:val="FF0000"/>
                <w:sz w:val="24"/>
                <w:szCs w:val="32"/>
                <w:u w:val="none"/>
              </w:rPr>
              <w:t>座风电机组</w:t>
            </w:r>
            <w:r>
              <w:rPr>
                <w:rFonts w:hint="eastAsia"/>
                <w:color w:val="FF0000"/>
                <w:sz w:val="24"/>
                <w:szCs w:val="32"/>
                <w:u w:val="none"/>
                <w:lang w:eastAsia="zh-CN"/>
              </w:rPr>
              <w:t>（</w:t>
            </w:r>
            <w:r>
              <w:rPr>
                <w:rFonts w:hint="eastAsia"/>
                <w:color w:val="FF0000"/>
                <w:sz w:val="24"/>
                <w:szCs w:val="32"/>
                <w:u w:val="none"/>
                <w:lang w:val="en-US" w:eastAsia="zh-CN"/>
              </w:rPr>
              <w:t>包含2个备选机位</w:t>
            </w:r>
            <w:r>
              <w:rPr>
                <w:rFonts w:hint="eastAsia"/>
                <w:color w:val="FF0000"/>
                <w:sz w:val="24"/>
                <w:szCs w:val="32"/>
                <w:u w:val="none"/>
                <w:lang w:eastAsia="zh-CN"/>
              </w:rPr>
              <w:t>）</w:t>
            </w:r>
            <w:r>
              <w:rPr>
                <w:rFonts w:hint="eastAsia"/>
                <w:color w:val="FF0000"/>
                <w:sz w:val="24"/>
                <w:szCs w:val="32"/>
                <w:u w:val="none"/>
              </w:rPr>
              <w:t>、1座升压站、</w:t>
            </w:r>
            <w:r>
              <w:rPr>
                <w:rFonts w:hint="eastAsia"/>
                <w:color w:val="FF0000"/>
                <w:sz w:val="24"/>
                <w:szCs w:val="32"/>
                <w:u w:val="none"/>
                <w:lang w:val="en-US" w:eastAsia="zh-CN"/>
              </w:rPr>
              <w:t>30.75</w:t>
            </w:r>
            <w:r>
              <w:rPr>
                <w:rFonts w:hint="eastAsia"/>
                <w:color w:val="FF0000"/>
                <w:sz w:val="24"/>
                <w:szCs w:val="32"/>
                <w:u w:val="none"/>
              </w:rPr>
              <w:t>km场内道路、</w:t>
            </w:r>
            <w:r>
              <w:rPr>
                <w:rFonts w:hint="eastAsia"/>
                <w:color w:val="FF0000"/>
                <w:sz w:val="24"/>
                <w:szCs w:val="32"/>
                <w:u w:val="none"/>
                <w:lang w:val="en-US" w:eastAsia="zh-CN"/>
              </w:rPr>
              <w:t>31.1</w:t>
            </w:r>
            <w:r>
              <w:rPr>
                <w:rFonts w:hint="eastAsia"/>
                <w:color w:val="FF0000"/>
                <w:sz w:val="24"/>
                <w:szCs w:val="32"/>
                <w:u w:val="none"/>
              </w:rPr>
              <w:t>km集电线路，另有4</w:t>
            </w:r>
            <w:r>
              <w:rPr>
                <w:color w:val="FF0000"/>
                <w:sz w:val="24"/>
                <w:szCs w:val="32"/>
                <w:u w:val="none"/>
              </w:rPr>
              <w:t>000</w:t>
            </w:r>
            <w:r>
              <w:rPr>
                <w:rFonts w:hint="eastAsia"/>
                <w:color w:val="FF0000"/>
                <w:sz w:val="24"/>
                <w:szCs w:val="32"/>
                <w:u w:val="none"/>
              </w:rPr>
              <w:t>m</w:t>
            </w:r>
            <w:r>
              <w:rPr>
                <w:color w:val="FF0000"/>
                <w:sz w:val="24"/>
                <w:szCs w:val="32"/>
                <w:u w:val="none"/>
                <w:vertAlign w:val="superscript"/>
              </w:rPr>
              <w:t>2</w:t>
            </w:r>
            <w:r>
              <w:rPr>
                <w:rFonts w:hint="eastAsia"/>
                <w:color w:val="FF0000"/>
                <w:sz w:val="24"/>
                <w:szCs w:val="32"/>
                <w:u w:val="none"/>
                <w:vertAlign w:val="baseline"/>
                <w:lang w:val="en-US" w:eastAsia="zh-CN"/>
              </w:rPr>
              <w:t>的施工临建区</w:t>
            </w:r>
            <w:r>
              <w:rPr>
                <w:rFonts w:hint="eastAsia"/>
                <w:color w:val="FF0000"/>
                <w:sz w:val="24"/>
                <w:szCs w:val="32"/>
                <w:u w:val="none"/>
              </w:rPr>
              <w:t>、</w:t>
            </w:r>
            <w:r>
              <w:rPr>
                <w:rFonts w:hint="eastAsia"/>
                <w:color w:val="FF0000"/>
                <w:sz w:val="24"/>
                <w:szCs w:val="32"/>
                <w:u w:val="none"/>
                <w:lang w:val="en-US" w:eastAsia="zh-CN"/>
              </w:rPr>
              <w:t>9</w:t>
            </w:r>
            <w:r>
              <w:rPr>
                <w:rFonts w:hint="eastAsia"/>
                <w:color w:val="FF0000"/>
                <w:sz w:val="24"/>
                <w:szCs w:val="32"/>
                <w:u w:val="none"/>
              </w:rPr>
              <w:t>个弃渣场。</w:t>
            </w:r>
          </w:p>
          <w:p w14:paraId="09EC27DB">
            <w:pPr>
              <w:spacing w:line="360" w:lineRule="auto"/>
              <w:ind w:firstLine="482" w:firstLineChars="200"/>
              <w:jc w:val="left"/>
              <w:rPr>
                <w:rFonts w:hint="default" w:eastAsia="宋体"/>
                <w:b/>
                <w:bCs/>
                <w:sz w:val="24"/>
                <w:u w:val="none"/>
                <w:lang w:val="en-US" w:eastAsia="zh-CN"/>
              </w:rPr>
            </w:pPr>
            <w:r>
              <w:rPr>
                <w:rFonts w:hint="eastAsia"/>
                <w:b/>
                <w:bCs/>
                <w:sz w:val="24"/>
                <w:u w:val="none"/>
                <w:lang w:eastAsia="zh-CN"/>
              </w:rPr>
              <w:t>（</w:t>
            </w:r>
            <w:r>
              <w:rPr>
                <w:rFonts w:hint="eastAsia"/>
                <w:b/>
                <w:bCs/>
                <w:sz w:val="24"/>
                <w:u w:val="none"/>
                <w:lang w:val="en-US" w:eastAsia="zh-CN"/>
              </w:rPr>
              <w:t>1</w:t>
            </w:r>
            <w:r>
              <w:rPr>
                <w:rFonts w:hint="eastAsia"/>
                <w:b/>
                <w:bCs/>
                <w:sz w:val="24"/>
                <w:u w:val="none"/>
                <w:lang w:eastAsia="zh-CN"/>
              </w:rPr>
              <w:t>）</w:t>
            </w:r>
            <w:r>
              <w:rPr>
                <w:rFonts w:hint="eastAsia"/>
                <w:b/>
                <w:bCs/>
                <w:sz w:val="24"/>
                <w:u w:val="none"/>
                <w:lang w:val="en-US" w:eastAsia="zh-CN"/>
              </w:rPr>
              <w:t>风机机组</w:t>
            </w:r>
          </w:p>
          <w:p w14:paraId="050D1E61">
            <w:pPr>
              <w:spacing w:line="360" w:lineRule="auto"/>
              <w:ind w:firstLine="480" w:firstLineChars="200"/>
              <w:rPr>
                <w:rFonts w:hint="default" w:eastAsia="宋体"/>
                <w:color w:val="FF0000"/>
                <w:sz w:val="24"/>
                <w:szCs w:val="32"/>
                <w:u w:val="none"/>
                <w:lang w:val="en-US" w:eastAsia="zh-CN"/>
              </w:rPr>
            </w:pPr>
            <w:r>
              <w:rPr>
                <w:rFonts w:hint="eastAsia"/>
                <w:color w:val="FF0000"/>
                <w:sz w:val="24"/>
                <w:szCs w:val="32"/>
                <w:u w:val="none"/>
              </w:rPr>
              <w:t>根据风电场的风能分布情况并结合其他影响因素，按尽可能利用风能、满足施工运输、缩短集电线路及节约土地等布置原则，沿山脊走向优化布置风电机组。</w:t>
            </w:r>
            <w:r>
              <w:rPr>
                <w:rFonts w:hint="eastAsia"/>
                <w:color w:val="FF0000"/>
                <w:sz w:val="24"/>
                <w:szCs w:val="32"/>
                <w:u w:val="none"/>
                <w:lang w:val="en-US" w:eastAsia="zh-CN"/>
              </w:rPr>
              <w:t>拟设置16台5MW风机机组推荐点位，考虑到项目后期存在的征地协调等因素，在风电场场址范围内增设了2个备用点位，共计18个风机点位（各风机点位以DZ+数字来编号）。具体见表2-6。</w:t>
            </w:r>
          </w:p>
          <w:p w14:paraId="097D0375">
            <w:pPr>
              <w:pStyle w:val="72"/>
              <w:keepNext/>
              <w:ind w:firstLine="86" w:firstLineChars="41"/>
              <w:jc w:val="center"/>
              <w:rPr>
                <w:rFonts w:hint="default" w:ascii="Times New Roman" w:hAnsi="Times New Roman" w:eastAsia="宋体" w:cs="Times New Roman"/>
                <w:b/>
                <w:bCs/>
                <w:color w:val="FF0000"/>
                <w:kern w:val="2"/>
                <w:sz w:val="21"/>
                <w:szCs w:val="21"/>
                <w:u w:val="none"/>
                <w:lang w:val="en-US" w:eastAsia="zh-CN" w:bidi="ar-SA"/>
              </w:rPr>
            </w:pPr>
            <w:r>
              <w:rPr>
                <w:rFonts w:hint="eastAsia" w:ascii="Times New Roman" w:hAnsi="Times New Roman" w:eastAsia="宋体" w:cs="Times New Roman"/>
                <w:b/>
                <w:bCs/>
                <w:color w:val="FF0000"/>
                <w:kern w:val="2"/>
                <w:sz w:val="21"/>
                <w:szCs w:val="21"/>
                <w:u w:val="none"/>
                <w:lang w:val="en-US" w:eastAsia="zh-CN" w:bidi="ar-SA"/>
              </w:rPr>
              <w:t>表2-6  18个风机点位坐标一览表</w:t>
            </w:r>
          </w:p>
          <w:tbl>
            <w:tblPr>
              <w:tblStyle w:val="33"/>
              <w:tblW w:w="860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1980"/>
              <w:gridCol w:w="1635"/>
              <w:gridCol w:w="1350"/>
              <w:gridCol w:w="2258"/>
            </w:tblGrid>
            <w:tr w14:paraId="19888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605" w:type="dxa"/>
                  <w:gridSpan w:val="5"/>
                  <w:tcBorders>
                    <w:tl2br w:val="nil"/>
                    <w:tr2bl w:val="nil"/>
                  </w:tcBorders>
                  <w:vAlign w:val="top"/>
                </w:tcPr>
                <w:p w14:paraId="1FFCBF00">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一、推荐的16个风机点位</w:t>
                  </w:r>
                </w:p>
              </w:tc>
            </w:tr>
            <w:tr w14:paraId="506DA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1ED226A3">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编号</w:t>
                  </w:r>
                </w:p>
              </w:tc>
              <w:tc>
                <w:tcPr>
                  <w:tcW w:w="1980" w:type="dxa"/>
                  <w:tcBorders>
                    <w:tl2br w:val="nil"/>
                    <w:tr2bl w:val="nil"/>
                  </w:tcBorders>
                  <w:vAlign w:val="top"/>
                </w:tcPr>
                <w:p w14:paraId="17E8987E">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X</w:t>
                  </w:r>
                </w:p>
              </w:tc>
              <w:tc>
                <w:tcPr>
                  <w:tcW w:w="1635" w:type="dxa"/>
                  <w:tcBorders>
                    <w:tl2br w:val="nil"/>
                    <w:tr2bl w:val="nil"/>
                  </w:tcBorders>
                  <w:vAlign w:val="top"/>
                </w:tcPr>
                <w:p w14:paraId="3F3EDAE9">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Y</w:t>
                  </w:r>
                </w:p>
              </w:tc>
              <w:tc>
                <w:tcPr>
                  <w:tcW w:w="1350" w:type="dxa"/>
                  <w:tcBorders>
                    <w:tl2br w:val="nil"/>
                    <w:tr2bl w:val="nil"/>
                  </w:tcBorders>
                  <w:vAlign w:val="top"/>
                </w:tcPr>
                <w:p w14:paraId="233FD433">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Z（m）</w:t>
                  </w:r>
                </w:p>
              </w:tc>
              <w:tc>
                <w:tcPr>
                  <w:tcW w:w="2258" w:type="dxa"/>
                  <w:tcBorders>
                    <w:tl2br w:val="nil"/>
                    <w:tr2bl w:val="nil"/>
                  </w:tcBorders>
                  <w:vAlign w:val="top"/>
                </w:tcPr>
                <w:p w14:paraId="01416F37">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所在乡镇及村</w:t>
                  </w:r>
                </w:p>
              </w:tc>
            </w:tr>
            <w:tr w14:paraId="4850F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89B0388">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w:t>
                  </w:r>
                </w:p>
              </w:tc>
              <w:tc>
                <w:tcPr>
                  <w:tcW w:w="1980" w:type="dxa"/>
                  <w:tcBorders>
                    <w:tl2br w:val="nil"/>
                    <w:tr2bl w:val="nil"/>
                  </w:tcBorders>
                  <w:vAlign w:val="top"/>
                </w:tcPr>
                <w:p w14:paraId="5B14D96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38406961.7</w:t>
                  </w:r>
                </w:p>
              </w:tc>
              <w:tc>
                <w:tcPr>
                  <w:tcW w:w="1635" w:type="dxa"/>
                  <w:tcBorders>
                    <w:tl2br w:val="nil"/>
                    <w:tr2bl w:val="nil"/>
                  </w:tcBorders>
                  <w:vAlign w:val="top"/>
                </w:tcPr>
                <w:p w14:paraId="5BA1B5D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2934302.1</w:t>
                  </w:r>
                </w:p>
              </w:tc>
              <w:tc>
                <w:tcPr>
                  <w:tcW w:w="1350" w:type="dxa"/>
                  <w:tcBorders>
                    <w:tl2br w:val="nil"/>
                    <w:tr2bl w:val="nil"/>
                  </w:tcBorders>
                  <w:vAlign w:val="top"/>
                </w:tcPr>
                <w:p w14:paraId="385C7A2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534.8</w:t>
                  </w:r>
                </w:p>
              </w:tc>
              <w:tc>
                <w:tcPr>
                  <w:tcW w:w="2258" w:type="dxa"/>
                  <w:tcBorders>
                    <w:tl2br w:val="nil"/>
                    <w:tr2bl w:val="nil"/>
                  </w:tcBorders>
                  <w:vAlign w:val="top"/>
                </w:tcPr>
                <w:p w14:paraId="157CD90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导子镇柳扶村</w:t>
                  </w:r>
                </w:p>
              </w:tc>
            </w:tr>
            <w:tr w14:paraId="27364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6D094712">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DZ2</w:t>
                  </w:r>
                </w:p>
              </w:tc>
              <w:tc>
                <w:tcPr>
                  <w:tcW w:w="1980" w:type="dxa"/>
                  <w:tcBorders>
                    <w:tl2br w:val="nil"/>
                    <w:tr2bl w:val="nil"/>
                  </w:tcBorders>
                  <w:vAlign w:val="top"/>
                </w:tcPr>
                <w:p w14:paraId="29FC90F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38406740.2</w:t>
                  </w:r>
                </w:p>
              </w:tc>
              <w:tc>
                <w:tcPr>
                  <w:tcW w:w="1635" w:type="dxa"/>
                  <w:tcBorders>
                    <w:tl2br w:val="nil"/>
                    <w:tr2bl w:val="nil"/>
                  </w:tcBorders>
                  <w:vAlign w:val="top"/>
                </w:tcPr>
                <w:p w14:paraId="5F4F38A7">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2932717.7</w:t>
                  </w:r>
                </w:p>
              </w:tc>
              <w:tc>
                <w:tcPr>
                  <w:tcW w:w="1350" w:type="dxa"/>
                  <w:tcBorders>
                    <w:tl2br w:val="nil"/>
                    <w:tr2bl w:val="nil"/>
                  </w:tcBorders>
                  <w:vAlign w:val="top"/>
                </w:tcPr>
                <w:p w14:paraId="6754622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536.3</w:t>
                  </w:r>
                </w:p>
              </w:tc>
              <w:tc>
                <w:tcPr>
                  <w:tcW w:w="2258" w:type="dxa"/>
                  <w:tcBorders>
                    <w:tl2br w:val="nil"/>
                    <w:tr2bl w:val="nil"/>
                  </w:tcBorders>
                  <w:vAlign w:val="top"/>
                </w:tcPr>
                <w:p w14:paraId="1E3F82E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导子镇紫江村</w:t>
                  </w:r>
                </w:p>
              </w:tc>
            </w:tr>
            <w:tr w14:paraId="2415C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65A0B20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DZ3</w:t>
                  </w:r>
                </w:p>
              </w:tc>
              <w:tc>
                <w:tcPr>
                  <w:tcW w:w="1980" w:type="dxa"/>
                  <w:tcBorders>
                    <w:tl2br w:val="nil"/>
                    <w:tr2bl w:val="nil"/>
                  </w:tcBorders>
                  <w:vAlign w:val="top"/>
                </w:tcPr>
                <w:p w14:paraId="3A22908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38405827.3</w:t>
                  </w:r>
                </w:p>
              </w:tc>
              <w:tc>
                <w:tcPr>
                  <w:tcW w:w="1635" w:type="dxa"/>
                  <w:tcBorders>
                    <w:tl2br w:val="nil"/>
                    <w:tr2bl w:val="nil"/>
                  </w:tcBorders>
                  <w:vAlign w:val="top"/>
                </w:tcPr>
                <w:p w14:paraId="277A3DE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2932576.5</w:t>
                  </w:r>
                </w:p>
              </w:tc>
              <w:tc>
                <w:tcPr>
                  <w:tcW w:w="1350" w:type="dxa"/>
                  <w:tcBorders>
                    <w:tl2br w:val="nil"/>
                    <w:tr2bl w:val="nil"/>
                  </w:tcBorders>
                  <w:vAlign w:val="top"/>
                </w:tcPr>
                <w:p w14:paraId="39B5ABD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502.8</w:t>
                  </w:r>
                </w:p>
              </w:tc>
              <w:tc>
                <w:tcPr>
                  <w:tcW w:w="2258" w:type="dxa"/>
                  <w:tcBorders>
                    <w:tl2br w:val="nil"/>
                    <w:tr2bl w:val="nil"/>
                  </w:tcBorders>
                  <w:vAlign w:val="top"/>
                </w:tcPr>
                <w:p w14:paraId="1414085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导子镇董溪村</w:t>
                  </w:r>
                </w:p>
              </w:tc>
            </w:tr>
            <w:tr w14:paraId="292C0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09D35579">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DZ5</w:t>
                  </w:r>
                </w:p>
              </w:tc>
              <w:tc>
                <w:tcPr>
                  <w:tcW w:w="1980" w:type="dxa"/>
                  <w:tcBorders>
                    <w:tl2br w:val="nil"/>
                    <w:tr2bl w:val="nil"/>
                  </w:tcBorders>
                  <w:vAlign w:val="top"/>
                </w:tcPr>
                <w:p w14:paraId="79C10A9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38411244.9</w:t>
                  </w:r>
                </w:p>
              </w:tc>
              <w:tc>
                <w:tcPr>
                  <w:tcW w:w="1635" w:type="dxa"/>
                  <w:tcBorders>
                    <w:tl2br w:val="nil"/>
                    <w:tr2bl w:val="nil"/>
                  </w:tcBorders>
                  <w:vAlign w:val="top"/>
                </w:tcPr>
                <w:p w14:paraId="2ADCAFA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2931290.9</w:t>
                  </w:r>
                </w:p>
              </w:tc>
              <w:tc>
                <w:tcPr>
                  <w:tcW w:w="1350" w:type="dxa"/>
                  <w:tcBorders>
                    <w:tl2br w:val="nil"/>
                    <w:tr2bl w:val="nil"/>
                  </w:tcBorders>
                  <w:vAlign w:val="top"/>
                </w:tcPr>
                <w:p w14:paraId="6AA48D2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610.6</w:t>
                  </w:r>
                </w:p>
              </w:tc>
              <w:tc>
                <w:tcPr>
                  <w:tcW w:w="2258" w:type="dxa"/>
                  <w:tcBorders>
                    <w:tl2br w:val="nil"/>
                    <w:tr2bl w:val="nil"/>
                  </w:tcBorders>
                  <w:vAlign w:val="top"/>
                </w:tcPr>
                <w:p w14:paraId="59B79E5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导子镇紫江村</w:t>
                  </w:r>
                </w:p>
              </w:tc>
            </w:tr>
            <w:tr w14:paraId="0E1AE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7A47D3C9">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DZ6</w:t>
                  </w:r>
                </w:p>
              </w:tc>
              <w:tc>
                <w:tcPr>
                  <w:tcW w:w="1980" w:type="dxa"/>
                  <w:tcBorders>
                    <w:tl2br w:val="nil"/>
                    <w:tr2bl w:val="nil"/>
                  </w:tcBorders>
                  <w:vAlign w:val="top"/>
                </w:tcPr>
                <w:p w14:paraId="6601DFD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38408504.8</w:t>
                  </w:r>
                </w:p>
              </w:tc>
              <w:tc>
                <w:tcPr>
                  <w:tcW w:w="1635" w:type="dxa"/>
                  <w:tcBorders>
                    <w:tl2br w:val="nil"/>
                    <w:tr2bl w:val="nil"/>
                  </w:tcBorders>
                  <w:vAlign w:val="top"/>
                </w:tcPr>
                <w:p w14:paraId="1D3FF40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2930212.3</w:t>
                  </w:r>
                </w:p>
              </w:tc>
              <w:tc>
                <w:tcPr>
                  <w:tcW w:w="1350" w:type="dxa"/>
                  <w:tcBorders>
                    <w:tl2br w:val="nil"/>
                    <w:tr2bl w:val="nil"/>
                  </w:tcBorders>
                  <w:vAlign w:val="top"/>
                </w:tcPr>
                <w:p w14:paraId="24CA08D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540.3</w:t>
                  </w:r>
                </w:p>
              </w:tc>
              <w:tc>
                <w:tcPr>
                  <w:tcW w:w="2258" w:type="dxa"/>
                  <w:tcBorders>
                    <w:tl2br w:val="nil"/>
                    <w:tr2bl w:val="nil"/>
                  </w:tcBorders>
                  <w:vAlign w:val="top"/>
                </w:tcPr>
                <w:p w14:paraId="30A6860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东湖圩镇上石羔村</w:t>
                  </w:r>
                </w:p>
              </w:tc>
            </w:tr>
            <w:tr w14:paraId="060AB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40DCEEBF">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DZ7</w:t>
                  </w:r>
                </w:p>
              </w:tc>
              <w:tc>
                <w:tcPr>
                  <w:tcW w:w="1980" w:type="dxa"/>
                  <w:tcBorders>
                    <w:tl2br w:val="nil"/>
                    <w:tr2bl w:val="nil"/>
                  </w:tcBorders>
                  <w:vAlign w:val="top"/>
                </w:tcPr>
                <w:p w14:paraId="2DF6A42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38409939.7</w:t>
                  </w:r>
                </w:p>
              </w:tc>
              <w:tc>
                <w:tcPr>
                  <w:tcW w:w="1635" w:type="dxa"/>
                  <w:tcBorders>
                    <w:tl2br w:val="nil"/>
                    <w:tr2bl w:val="nil"/>
                  </w:tcBorders>
                  <w:vAlign w:val="top"/>
                </w:tcPr>
                <w:p w14:paraId="57BAE44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2930777.9</w:t>
                  </w:r>
                </w:p>
              </w:tc>
              <w:tc>
                <w:tcPr>
                  <w:tcW w:w="1350" w:type="dxa"/>
                  <w:tcBorders>
                    <w:tl2br w:val="nil"/>
                    <w:tr2bl w:val="nil"/>
                  </w:tcBorders>
                  <w:vAlign w:val="top"/>
                </w:tcPr>
                <w:p w14:paraId="089053D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491</w:t>
                  </w:r>
                </w:p>
              </w:tc>
              <w:tc>
                <w:tcPr>
                  <w:tcW w:w="2258" w:type="dxa"/>
                  <w:tcBorders>
                    <w:tl2br w:val="nil"/>
                    <w:tr2bl w:val="nil"/>
                  </w:tcBorders>
                  <w:vAlign w:val="top"/>
                </w:tcPr>
                <w:p w14:paraId="319A41C7">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导子镇紫江村</w:t>
                  </w:r>
                </w:p>
              </w:tc>
            </w:tr>
            <w:tr w14:paraId="36139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0F89BBF6">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DZ8</w:t>
                  </w:r>
                </w:p>
              </w:tc>
              <w:tc>
                <w:tcPr>
                  <w:tcW w:w="1980" w:type="dxa"/>
                  <w:tcBorders>
                    <w:tl2br w:val="nil"/>
                    <w:tr2bl w:val="nil"/>
                  </w:tcBorders>
                  <w:vAlign w:val="top"/>
                </w:tcPr>
                <w:p w14:paraId="250799B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38410518.1</w:t>
                  </w:r>
                </w:p>
              </w:tc>
              <w:tc>
                <w:tcPr>
                  <w:tcW w:w="1635" w:type="dxa"/>
                  <w:tcBorders>
                    <w:tl2br w:val="nil"/>
                    <w:tr2bl w:val="nil"/>
                  </w:tcBorders>
                  <w:vAlign w:val="top"/>
                </w:tcPr>
                <w:p w14:paraId="6F67A1C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2931771.9</w:t>
                  </w:r>
                </w:p>
              </w:tc>
              <w:tc>
                <w:tcPr>
                  <w:tcW w:w="1350" w:type="dxa"/>
                  <w:tcBorders>
                    <w:tl2br w:val="nil"/>
                    <w:tr2bl w:val="nil"/>
                  </w:tcBorders>
                  <w:vAlign w:val="top"/>
                </w:tcPr>
                <w:p w14:paraId="6BAEA4E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570.6</w:t>
                  </w:r>
                </w:p>
              </w:tc>
              <w:tc>
                <w:tcPr>
                  <w:tcW w:w="2258" w:type="dxa"/>
                  <w:tcBorders>
                    <w:tl2br w:val="nil"/>
                    <w:tr2bl w:val="nil"/>
                  </w:tcBorders>
                  <w:vAlign w:val="top"/>
                </w:tcPr>
                <w:p w14:paraId="27D4AF6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导子镇紫江村</w:t>
                  </w:r>
                </w:p>
              </w:tc>
            </w:tr>
            <w:tr w14:paraId="459DB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27EB3B75">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DZ11</w:t>
                  </w:r>
                </w:p>
              </w:tc>
              <w:tc>
                <w:tcPr>
                  <w:tcW w:w="1980" w:type="dxa"/>
                  <w:tcBorders>
                    <w:tl2br w:val="nil"/>
                    <w:tr2bl w:val="nil"/>
                  </w:tcBorders>
                  <w:vAlign w:val="top"/>
                </w:tcPr>
                <w:p w14:paraId="435914C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38410911.4</w:t>
                  </w:r>
                </w:p>
              </w:tc>
              <w:tc>
                <w:tcPr>
                  <w:tcW w:w="1635" w:type="dxa"/>
                  <w:tcBorders>
                    <w:tl2br w:val="nil"/>
                    <w:tr2bl w:val="nil"/>
                  </w:tcBorders>
                  <w:vAlign w:val="top"/>
                </w:tcPr>
                <w:p w14:paraId="739B3D9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2931713.8</w:t>
                  </w:r>
                </w:p>
              </w:tc>
              <w:tc>
                <w:tcPr>
                  <w:tcW w:w="1350" w:type="dxa"/>
                  <w:tcBorders>
                    <w:tl2br w:val="nil"/>
                    <w:tr2bl w:val="nil"/>
                  </w:tcBorders>
                  <w:vAlign w:val="top"/>
                </w:tcPr>
                <w:p w14:paraId="6DC3C9E6">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578.6</w:t>
                  </w:r>
                </w:p>
              </w:tc>
              <w:tc>
                <w:tcPr>
                  <w:tcW w:w="2258" w:type="dxa"/>
                  <w:tcBorders>
                    <w:tl2br w:val="nil"/>
                    <w:tr2bl w:val="nil"/>
                  </w:tcBorders>
                  <w:vAlign w:val="top"/>
                </w:tcPr>
                <w:p w14:paraId="4E0C45E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东湖圩镇上石羔村</w:t>
                  </w:r>
                </w:p>
              </w:tc>
            </w:tr>
            <w:tr w14:paraId="0031E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2BC48FF6">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DZ12</w:t>
                  </w:r>
                </w:p>
              </w:tc>
              <w:tc>
                <w:tcPr>
                  <w:tcW w:w="1980" w:type="dxa"/>
                  <w:tcBorders>
                    <w:tl2br w:val="nil"/>
                    <w:tr2bl w:val="nil"/>
                  </w:tcBorders>
                  <w:vAlign w:val="top"/>
                </w:tcPr>
                <w:p w14:paraId="54365802">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38412332.2</w:t>
                  </w:r>
                </w:p>
              </w:tc>
              <w:tc>
                <w:tcPr>
                  <w:tcW w:w="1635" w:type="dxa"/>
                  <w:tcBorders>
                    <w:tl2br w:val="nil"/>
                    <w:tr2bl w:val="nil"/>
                  </w:tcBorders>
                  <w:vAlign w:val="top"/>
                </w:tcPr>
                <w:p w14:paraId="5486CA52">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2926268.4</w:t>
                  </w:r>
                </w:p>
              </w:tc>
              <w:tc>
                <w:tcPr>
                  <w:tcW w:w="1350" w:type="dxa"/>
                  <w:tcBorders>
                    <w:tl2br w:val="nil"/>
                    <w:tr2bl w:val="nil"/>
                  </w:tcBorders>
                  <w:vAlign w:val="top"/>
                </w:tcPr>
                <w:p w14:paraId="3D9842E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483.2</w:t>
                  </w:r>
                </w:p>
              </w:tc>
              <w:tc>
                <w:tcPr>
                  <w:tcW w:w="2258" w:type="dxa"/>
                  <w:tcBorders>
                    <w:tl2br w:val="nil"/>
                    <w:tr2bl w:val="nil"/>
                  </w:tcBorders>
                  <w:vAlign w:val="top"/>
                </w:tcPr>
                <w:p w14:paraId="22EAE13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东湖圩镇小山村</w:t>
                  </w:r>
                </w:p>
              </w:tc>
            </w:tr>
            <w:tr w14:paraId="0C213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00722EB5">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DZ14</w:t>
                  </w:r>
                </w:p>
              </w:tc>
              <w:tc>
                <w:tcPr>
                  <w:tcW w:w="1980" w:type="dxa"/>
                  <w:tcBorders>
                    <w:tl2br w:val="nil"/>
                    <w:tr2bl w:val="nil"/>
                  </w:tcBorders>
                  <w:vAlign w:val="top"/>
                </w:tcPr>
                <w:p w14:paraId="511B8084">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38413089.7</w:t>
                  </w:r>
                </w:p>
              </w:tc>
              <w:tc>
                <w:tcPr>
                  <w:tcW w:w="1635" w:type="dxa"/>
                  <w:tcBorders>
                    <w:tl2br w:val="nil"/>
                    <w:tr2bl w:val="nil"/>
                  </w:tcBorders>
                  <w:vAlign w:val="top"/>
                </w:tcPr>
                <w:p w14:paraId="4239141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2928397.3</w:t>
                  </w:r>
                </w:p>
              </w:tc>
              <w:tc>
                <w:tcPr>
                  <w:tcW w:w="1350" w:type="dxa"/>
                  <w:tcBorders>
                    <w:tl2br w:val="nil"/>
                    <w:tr2bl w:val="nil"/>
                  </w:tcBorders>
                  <w:vAlign w:val="top"/>
                </w:tcPr>
                <w:p w14:paraId="2FA10461">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473.7</w:t>
                  </w:r>
                </w:p>
              </w:tc>
              <w:tc>
                <w:tcPr>
                  <w:tcW w:w="2258" w:type="dxa"/>
                  <w:tcBorders>
                    <w:tl2br w:val="nil"/>
                    <w:tr2bl w:val="nil"/>
                  </w:tcBorders>
                  <w:vAlign w:val="top"/>
                </w:tcPr>
                <w:p w14:paraId="47673E4A">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东湖圩镇小山村</w:t>
                  </w:r>
                </w:p>
              </w:tc>
            </w:tr>
            <w:tr w14:paraId="1E2A4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1DE20FCD">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DZ15</w:t>
                  </w:r>
                </w:p>
              </w:tc>
              <w:tc>
                <w:tcPr>
                  <w:tcW w:w="1980" w:type="dxa"/>
                  <w:tcBorders>
                    <w:tl2br w:val="nil"/>
                    <w:tr2bl w:val="nil"/>
                  </w:tcBorders>
                  <w:vAlign w:val="top"/>
                </w:tcPr>
                <w:p w14:paraId="0A86243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38413409.8</w:t>
                  </w:r>
                </w:p>
              </w:tc>
              <w:tc>
                <w:tcPr>
                  <w:tcW w:w="1635" w:type="dxa"/>
                  <w:tcBorders>
                    <w:tl2br w:val="nil"/>
                    <w:tr2bl w:val="nil"/>
                  </w:tcBorders>
                  <w:vAlign w:val="top"/>
                </w:tcPr>
                <w:p w14:paraId="635D90A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2926910.7</w:t>
                  </w:r>
                </w:p>
              </w:tc>
              <w:tc>
                <w:tcPr>
                  <w:tcW w:w="1350" w:type="dxa"/>
                  <w:tcBorders>
                    <w:tl2br w:val="nil"/>
                    <w:tr2bl w:val="nil"/>
                  </w:tcBorders>
                  <w:vAlign w:val="top"/>
                </w:tcPr>
                <w:p w14:paraId="4F602F7D">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473.8</w:t>
                  </w:r>
                </w:p>
              </w:tc>
              <w:tc>
                <w:tcPr>
                  <w:tcW w:w="2258" w:type="dxa"/>
                  <w:tcBorders>
                    <w:tl2br w:val="nil"/>
                    <w:tr2bl w:val="nil"/>
                  </w:tcBorders>
                  <w:vAlign w:val="top"/>
                </w:tcPr>
                <w:p w14:paraId="6B32289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导子镇坳山村</w:t>
                  </w:r>
                </w:p>
              </w:tc>
            </w:tr>
            <w:tr w14:paraId="0C497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382" w:type="dxa"/>
                  <w:tcBorders>
                    <w:tl2br w:val="nil"/>
                    <w:tr2bl w:val="nil"/>
                  </w:tcBorders>
                  <w:vAlign w:val="top"/>
                </w:tcPr>
                <w:p w14:paraId="50BC87CA">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DZ17</w:t>
                  </w:r>
                </w:p>
              </w:tc>
              <w:tc>
                <w:tcPr>
                  <w:tcW w:w="1980" w:type="dxa"/>
                  <w:tcBorders>
                    <w:tl2br w:val="nil"/>
                    <w:tr2bl w:val="nil"/>
                  </w:tcBorders>
                  <w:vAlign w:val="top"/>
                </w:tcPr>
                <w:p w14:paraId="360CECD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38410682.7</w:t>
                  </w:r>
                </w:p>
              </w:tc>
              <w:tc>
                <w:tcPr>
                  <w:tcW w:w="1635" w:type="dxa"/>
                  <w:tcBorders>
                    <w:tl2br w:val="nil"/>
                    <w:tr2bl w:val="nil"/>
                  </w:tcBorders>
                  <w:vAlign w:val="top"/>
                </w:tcPr>
                <w:p w14:paraId="13DFD58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2926618.9</w:t>
                  </w:r>
                </w:p>
              </w:tc>
              <w:tc>
                <w:tcPr>
                  <w:tcW w:w="1350" w:type="dxa"/>
                  <w:tcBorders>
                    <w:tl2br w:val="nil"/>
                    <w:tr2bl w:val="nil"/>
                  </w:tcBorders>
                  <w:vAlign w:val="top"/>
                </w:tcPr>
                <w:p w14:paraId="28AF11E3">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469</w:t>
                  </w:r>
                </w:p>
              </w:tc>
              <w:tc>
                <w:tcPr>
                  <w:tcW w:w="2258" w:type="dxa"/>
                  <w:tcBorders>
                    <w:tl2br w:val="nil"/>
                    <w:tr2bl w:val="nil"/>
                  </w:tcBorders>
                  <w:vAlign w:val="top"/>
                </w:tcPr>
                <w:p w14:paraId="29772F0E">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东湖圩镇坳山村</w:t>
                  </w:r>
                </w:p>
              </w:tc>
            </w:tr>
            <w:tr w14:paraId="19F9C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3BD5AF01">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DZ20</w:t>
                  </w:r>
                </w:p>
              </w:tc>
              <w:tc>
                <w:tcPr>
                  <w:tcW w:w="1980" w:type="dxa"/>
                  <w:tcBorders>
                    <w:tl2br w:val="nil"/>
                    <w:tr2bl w:val="nil"/>
                  </w:tcBorders>
                  <w:vAlign w:val="top"/>
                </w:tcPr>
                <w:p w14:paraId="23359717">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38406508.6</w:t>
                  </w:r>
                </w:p>
              </w:tc>
              <w:tc>
                <w:tcPr>
                  <w:tcW w:w="1635" w:type="dxa"/>
                  <w:tcBorders>
                    <w:tl2br w:val="nil"/>
                    <w:tr2bl w:val="nil"/>
                  </w:tcBorders>
                  <w:vAlign w:val="top"/>
                </w:tcPr>
                <w:p w14:paraId="35030731">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2925930.6</w:t>
                  </w:r>
                </w:p>
              </w:tc>
              <w:tc>
                <w:tcPr>
                  <w:tcW w:w="1350" w:type="dxa"/>
                  <w:tcBorders>
                    <w:tl2br w:val="nil"/>
                    <w:tr2bl w:val="nil"/>
                  </w:tcBorders>
                  <w:vAlign w:val="top"/>
                </w:tcPr>
                <w:p w14:paraId="10337494">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474.8</w:t>
                  </w:r>
                </w:p>
              </w:tc>
              <w:tc>
                <w:tcPr>
                  <w:tcW w:w="2258" w:type="dxa"/>
                  <w:tcBorders>
                    <w:tl2br w:val="nil"/>
                    <w:tr2bl w:val="nil"/>
                  </w:tcBorders>
                  <w:vAlign w:val="top"/>
                </w:tcPr>
                <w:p w14:paraId="3A0B3F15">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东湖圩镇泉山村</w:t>
                  </w:r>
                </w:p>
              </w:tc>
            </w:tr>
            <w:tr w14:paraId="0FB1B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59F11EC5">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DZ21</w:t>
                  </w:r>
                </w:p>
              </w:tc>
              <w:tc>
                <w:tcPr>
                  <w:tcW w:w="1980" w:type="dxa"/>
                  <w:tcBorders>
                    <w:tl2br w:val="nil"/>
                    <w:tr2bl w:val="nil"/>
                  </w:tcBorders>
                  <w:vAlign w:val="top"/>
                </w:tcPr>
                <w:p w14:paraId="44760D1B">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38407476.6</w:t>
                  </w:r>
                </w:p>
              </w:tc>
              <w:tc>
                <w:tcPr>
                  <w:tcW w:w="1635" w:type="dxa"/>
                  <w:tcBorders>
                    <w:tl2br w:val="nil"/>
                    <w:tr2bl w:val="nil"/>
                  </w:tcBorders>
                  <w:vAlign w:val="top"/>
                </w:tcPr>
                <w:p w14:paraId="06D9E481">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2925317.7</w:t>
                  </w:r>
                </w:p>
              </w:tc>
              <w:tc>
                <w:tcPr>
                  <w:tcW w:w="1350" w:type="dxa"/>
                  <w:tcBorders>
                    <w:tl2br w:val="nil"/>
                    <w:tr2bl w:val="nil"/>
                  </w:tcBorders>
                  <w:vAlign w:val="top"/>
                </w:tcPr>
                <w:p w14:paraId="13E100A0">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451.2</w:t>
                  </w:r>
                </w:p>
              </w:tc>
              <w:tc>
                <w:tcPr>
                  <w:tcW w:w="2258" w:type="dxa"/>
                  <w:tcBorders>
                    <w:tl2br w:val="nil"/>
                    <w:tr2bl w:val="nil"/>
                  </w:tcBorders>
                  <w:vAlign w:val="top"/>
                </w:tcPr>
                <w:p w14:paraId="7858AED5">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东湖圩镇板桥村</w:t>
                  </w:r>
                </w:p>
              </w:tc>
            </w:tr>
            <w:tr w14:paraId="2E628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22EFAADB">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DZ22</w:t>
                  </w:r>
                </w:p>
              </w:tc>
              <w:tc>
                <w:tcPr>
                  <w:tcW w:w="1980" w:type="dxa"/>
                  <w:tcBorders>
                    <w:tl2br w:val="nil"/>
                    <w:tr2bl w:val="nil"/>
                  </w:tcBorders>
                  <w:vAlign w:val="top"/>
                </w:tcPr>
                <w:p w14:paraId="01925DBA">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38415088.6</w:t>
                  </w:r>
                </w:p>
              </w:tc>
              <w:tc>
                <w:tcPr>
                  <w:tcW w:w="1635" w:type="dxa"/>
                  <w:tcBorders>
                    <w:tl2br w:val="nil"/>
                    <w:tr2bl w:val="nil"/>
                  </w:tcBorders>
                  <w:vAlign w:val="top"/>
                </w:tcPr>
                <w:p w14:paraId="3E3C0150">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2930191.1</w:t>
                  </w:r>
                </w:p>
              </w:tc>
              <w:tc>
                <w:tcPr>
                  <w:tcW w:w="1350" w:type="dxa"/>
                  <w:tcBorders>
                    <w:tl2br w:val="nil"/>
                    <w:tr2bl w:val="nil"/>
                  </w:tcBorders>
                  <w:vAlign w:val="top"/>
                </w:tcPr>
                <w:p w14:paraId="0FE7E03C">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495.4</w:t>
                  </w:r>
                </w:p>
              </w:tc>
              <w:tc>
                <w:tcPr>
                  <w:tcW w:w="2258" w:type="dxa"/>
                  <w:tcBorders>
                    <w:tl2br w:val="nil"/>
                    <w:tr2bl w:val="nil"/>
                  </w:tcBorders>
                  <w:vAlign w:val="top"/>
                </w:tcPr>
                <w:p w14:paraId="7C5275E8">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东湖圩镇小山村</w:t>
                  </w:r>
                </w:p>
              </w:tc>
            </w:tr>
            <w:tr w14:paraId="274DD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2E3573B7">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DZ24</w:t>
                  </w:r>
                </w:p>
              </w:tc>
              <w:tc>
                <w:tcPr>
                  <w:tcW w:w="1980" w:type="dxa"/>
                  <w:tcBorders>
                    <w:tl2br w:val="nil"/>
                    <w:tr2bl w:val="nil"/>
                  </w:tcBorders>
                  <w:vAlign w:val="top"/>
                </w:tcPr>
                <w:p w14:paraId="49868612">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38414876.3</w:t>
                  </w:r>
                </w:p>
              </w:tc>
              <w:tc>
                <w:tcPr>
                  <w:tcW w:w="1635" w:type="dxa"/>
                  <w:tcBorders>
                    <w:tl2br w:val="nil"/>
                    <w:tr2bl w:val="nil"/>
                  </w:tcBorders>
                  <w:vAlign w:val="top"/>
                </w:tcPr>
                <w:p w14:paraId="05D95FE5">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2930782.9</w:t>
                  </w:r>
                </w:p>
              </w:tc>
              <w:tc>
                <w:tcPr>
                  <w:tcW w:w="1350" w:type="dxa"/>
                  <w:tcBorders>
                    <w:tl2br w:val="nil"/>
                    <w:tr2bl w:val="nil"/>
                  </w:tcBorders>
                  <w:vAlign w:val="top"/>
                </w:tcPr>
                <w:p w14:paraId="22700DFB">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499</w:t>
                  </w:r>
                </w:p>
              </w:tc>
              <w:tc>
                <w:tcPr>
                  <w:tcW w:w="2258" w:type="dxa"/>
                  <w:tcBorders>
                    <w:tl2br w:val="nil"/>
                    <w:tr2bl w:val="nil"/>
                  </w:tcBorders>
                  <w:vAlign w:val="top"/>
                </w:tcPr>
                <w:p w14:paraId="74E4DE2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东湖圩镇枫林村</w:t>
                  </w:r>
                </w:p>
              </w:tc>
            </w:tr>
            <w:tr w14:paraId="77698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605" w:type="dxa"/>
                  <w:gridSpan w:val="5"/>
                  <w:tcBorders>
                    <w:tl2br w:val="nil"/>
                    <w:tr2bl w:val="nil"/>
                  </w:tcBorders>
                  <w:vAlign w:val="top"/>
                </w:tcPr>
                <w:p w14:paraId="3EA2FF00">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二、备选的2个风机点位</w:t>
                  </w:r>
                </w:p>
              </w:tc>
            </w:tr>
            <w:tr w14:paraId="442AFC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41EB6AAF">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编号</w:t>
                  </w:r>
                </w:p>
              </w:tc>
              <w:tc>
                <w:tcPr>
                  <w:tcW w:w="1980" w:type="dxa"/>
                  <w:tcBorders>
                    <w:tl2br w:val="nil"/>
                    <w:tr2bl w:val="nil"/>
                  </w:tcBorders>
                  <w:vAlign w:val="top"/>
                </w:tcPr>
                <w:p w14:paraId="21C96049">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X</w:t>
                  </w:r>
                </w:p>
              </w:tc>
              <w:tc>
                <w:tcPr>
                  <w:tcW w:w="1635" w:type="dxa"/>
                  <w:tcBorders>
                    <w:tl2br w:val="nil"/>
                    <w:tr2bl w:val="nil"/>
                  </w:tcBorders>
                  <w:vAlign w:val="top"/>
                </w:tcPr>
                <w:p w14:paraId="21FB7EF0">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Y</w:t>
                  </w:r>
                </w:p>
              </w:tc>
              <w:tc>
                <w:tcPr>
                  <w:tcW w:w="1350" w:type="dxa"/>
                  <w:tcBorders>
                    <w:tl2br w:val="nil"/>
                    <w:tr2bl w:val="nil"/>
                  </w:tcBorders>
                  <w:vAlign w:val="top"/>
                </w:tcPr>
                <w:p w14:paraId="5E4FB9F4">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s="Times New Roman"/>
                      <w:color w:val="FF0000"/>
                      <w:kern w:val="2"/>
                      <w:sz w:val="21"/>
                      <w:szCs w:val="21"/>
                      <w:u w:val="none"/>
                      <w:lang w:val="en-US" w:eastAsia="zh-CN" w:bidi="ar-SA"/>
                    </w:rPr>
                    <w:t>Z</w:t>
                  </w:r>
                </w:p>
              </w:tc>
              <w:tc>
                <w:tcPr>
                  <w:tcW w:w="2258" w:type="dxa"/>
                  <w:tcBorders>
                    <w:tl2br w:val="nil"/>
                    <w:tr2bl w:val="nil"/>
                  </w:tcBorders>
                  <w:vAlign w:val="top"/>
                </w:tcPr>
                <w:p w14:paraId="603B900C">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备注</w:t>
                  </w:r>
                </w:p>
              </w:tc>
            </w:tr>
            <w:tr w14:paraId="691CE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37B3E467">
                  <w:pPr>
                    <w:adjustRightInd w:val="0"/>
                    <w:snapToGrid w:val="0"/>
                    <w:jc w:val="center"/>
                    <w:rPr>
                      <w:rFonts w:hint="default"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DZ18</w:t>
                  </w:r>
                </w:p>
              </w:tc>
              <w:tc>
                <w:tcPr>
                  <w:tcW w:w="1980" w:type="dxa"/>
                  <w:tcBorders>
                    <w:tl2br w:val="nil"/>
                    <w:tr2bl w:val="nil"/>
                  </w:tcBorders>
                  <w:vAlign w:val="top"/>
                </w:tcPr>
                <w:p w14:paraId="7CCD8653">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38405720.4</w:t>
                  </w:r>
                </w:p>
              </w:tc>
              <w:tc>
                <w:tcPr>
                  <w:tcW w:w="1635" w:type="dxa"/>
                  <w:tcBorders>
                    <w:tl2br w:val="nil"/>
                    <w:tr2bl w:val="nil"/>
                  </w:tcBorders>
                  <w:vAlign w:val="top"/>
                </w:tcPr>
                <w:p w14:paraId="53B7B877">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2933927.4</w:t>
                  </w:r>
                </w:p>
              </w:tc>
              <w:tc>
                <w:tcPr>
                  <w:tcW w:w="1350" w:type="dxa"/>
                  <w:tcBorders>
                    <w:tl2br w:val="nil"/>
                    <w:tr2bl w:val="nil"/>
                  </w:tcBorders>
                  <w:vAlign w:val="top"/>
                </w:tcPr>
                <w:p w14:paraId="423E9E42">
                  <w:pPr>
                    <w:adjustRightInd w:val="0"/>
                    <w:snapToGrid w:val="0"/>
                    <w:jc w:val="center"/>
                    <w:rPr>
                      <w:rFonts w:hint="eastAsia" w:ascii="Times New Roman" w:hAnsi="Times New Roman" w:eastAsia="宋体" w:cs="Times New Roman"/>
                      <w:color w:val="FF0000"/>
                      <w:kern w:val="2"/>
                      <w:sz w:val="21"/>
                      <w:szCs w:val="21"/>
                      <w:u w:val="none"/>
                      <w:lang w:val="en-US" w:eastAsia="zh-CN" w:bidi="ar-SA"/>
                    </w:rPr>
                  </w:pPr>
                  <w:r>
                    <w:rPr>
                      <w:rFonts w:hint="eastAsia"/>
                      <w:color w:val="FF0000"/>
                      <w:sz w:val="21"/>
                      <w:szCs w:val="21"/>
                      <w:u w:val="none"/>
                      <w:lang w:val="en-US" w:eastAsia="zh-CN"/>
                    </w:rPr>
                    <w:t>463.4</w:t>
                  </w:r>
                </w:p>
              </w:tc>
              <w:tc>
                <w:tcPr>
                  <w:tcW w:w="2258" w:type="dxa"/>
                  <w:tcBorders>
                    <w:tl2br w:val="nil"/>
                    <w:tr2bl w:val="nil"/>
                  </w:tcBorders>
                  <w:vAlign w:val="top"/>
                </w:tcPr>
                <w:p w14:paraId="539327A9">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导子镇董溪村</w:t>
                  </w:r>
                </w:p>
              </w:tc>
            </w:tr>
            <w:tr w14:paraId="4382CC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82" w:type="dxa"/>
                  <w:tcBorders>
                    <w:tl2br w:val="nil"/>
                    <w:tr2bl w:val="nil"/>
                  </w:tcBorders>
                  <w:vAlign w:val="top"/>
                </w:tcPr>
                <w:p w14:paraId="3CE2DCAA">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DZ23</w:t>
                  </w:r>
                </w:p>
              </w:tc>
              <w:tc>
                <w:tcPr>
                  <w:tcW w:w="1980" w:type="dxa"/>
                  <w:tcBorders>
                    <w:tl2br w:val="nil"/>
                    <w:tr2bl w:val="nil"/>
                  </w:tcBorders>
                  <w:vAlign w:val="top"/>
                </w:tcPr>
                <w:p w14:paraId="14DA3135">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38406202.9</w:t>
                  </w:r>
                </w:p>
              </w:tc>
              <w:tc>
                <w:tcPr>
                  <w:tcW w:w="1635" w:type="dxa"/>
                  <w:tcBorders>
                    <w:tl2br w:val="nil"/>
                    <w:tr2bl w:val="nil"/>
                  </w:tcBorders>
                  <w:vAlign w:val="top"/>
                </w:tcPr>
                <w:p w14:paraId="7FFE0C2E">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2931626.3</w:t>
                  </w:r>
                </w:p>
              </w:tc>
              <w:tc>
                <w:tcPr>
                  <w:tcW w:w="1350" w:type="dxa"/>
                  <w:tcBorders>
                    <w:tl2br w:val="nil"/>
                    <w:tr2bl w:val="nil"/>
                  </w:tcBorders>
                  <w:vAlign w:val="top"/>
                </w:tcPr>
                <w:p w14:paraId="561F400D">
                  <w:pPr>
                    <w:adjustRightInd w:val="0"/>
                    <w:snapToGrid w:val="0"/>
                    <w:jc w:val="center"/>
                    <w:rPr>
                      <w:rFonts w:hint="default"/>
                      <w:color w:val="FF0000"/>
                      <w:sz w:val="21"/>
                      <w:szCs w:val="21"/>
                      <w:u w:val="none"/>
                      <w:lang w:val="en-US" w:eastAsia="zh-CN"/>
                    </w:rPr>
                  </w:pPr>
                  <w:r>
                    <w:rPr>
                      <w:rFonts w:hint="eastAsia"/>
                      <w:color w:val="FF0000"/>
                      <w:sz w:val="21"/>
                      <w:szCs w:val="21"/>
                      <w:u w:val="none"/>
                      <w:lang w:val="en-US" w:eastAsia="zh-CN"/>
                    </w:rPr>
                    <w:t>423.6</w:t>
                  </w:r>
                </w:p>
              </w:tc>
              <w:tc>
                <w:tcPr>
                  <w:tcW w:w="2258" w:type="dxa"/>
                  <w:tcBorders>
                    <w:tl2br w:val="nil"/>
                    <w:tr2bl w:val="nil"/>
                  </w:tcBorders>
                  <w:vAlign w:val="top"/>
                </w:tcPr>
                <w:p w14:paraId="7982AAB8">
                  <w:pPr>
                    <w:adjustRightInd w:val="0"/>
                    <w:snapToGrid w:val="0"/>
                    <w:jc w:val="center"/>
                    <w:rPr>
                      <w:rFonts w:hint="eastAsia"/>
                      <w:color w:val="FF0000"/>
                      <w:sz w:val="21"/>
                      <w:szCs w:val="21"/>
                      <w:u w:val="none"/>
                      <w:lang w:val="en-US" w:eastAsia="zh-CN"/>
                    </w:rPr>
                  </w:pPr>
                  <w:r>
                    <w:rPr>
                      <w:rFonts w:hint="eastAsia"/>
                      <w:color w:val="FF0000"/>
                      <w:sz w:val="21"/>
                      <w:szCs w:val="21"/>
                      <w:u w:val="none"/>
                      <w:lang w:val="en-US" w:eastAsia="zh-CN"/>
                    </w:rPr>
                    <w:t>东湖圩镇小山村</w:t>
                  </w:r>
                </w:p>
              </w:tc>
            </w:tr>
            <w:tr w14:paraId="088F5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605" w:type="dxa"/>
                  <w:gridSpan w:val="5"/>
                  <w:tcBorders>
                    <w:tl2br w:val="nil"/>
                    <w:tr2bl w:val="nil"/>
                  </w:tcBorders>
                  <w:vAlign w:val="top"/>
                </w:tcPr>
                <w:p w14:paraId="30D7E2FB">
                  <w:pPr>
                    <w:adjustRightInd w:val="0"/>
                    <w:snapToGrid w:val="0"/>
                    <w:jc w:val="both"/>
                    <w:rPr>
                      <w:rFonts w:hint="default"/>
                      <w:color w:val="FF0000"/>
                      <w:sz w:val="21"/>
                      <w:szCs w:val="21"/>
                      <w:u w:val="none"/>
                      <w:lang w:val="en-US" w:eastAsia="zh-CN"/>
                    </w:rPr>
                  </w:pPr>
                  <w:r>
                    <w:rPr>
                      <w:rFonts w:hint="eastAsia"/>
                      <w:color w:val="FF0000"/>
                      <w:sz w:val="21"/>
                      <w:szCs w:val="21"/>
                      <w:u w:val="none"/>
                      <w:lang w:val="en-US" w:eastAsia="zh-CN"/>
                    </w:rPr>
                    <w:t>注：1、点位坐标为国家2000坐标系，3度带；2、DZ13在可研阶段删除，</w:t>
                  </w:r>
                  <w:r>
                    <w:rPr>
                      <w:rFonts w:hint="eastAsia"/>
                      <w:color w:val="FF0000"/>
                      <w:u w:val="none"/>
                      <w:lang w:val="en-US" w:eastAsia="zh-CN"/>
                    </w:rPr>
                    <w:t>DZ4、DZ9、DZ10、DZ16、DZ19等5个风机点位在后续优化过程中删除</w:t>
                  </w:r>
                </w:p>
              </w:tc>
            </w:tr>
          </w:tbl>
          <w:p w14:paraId="49EB1241">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2</w:t>
            </w:r>
            <w:r>
              <w:rPr>
                <w:rFonts w:hint="eastAsia"/>
                <w:b/>
                <w:bCs/>
                <w:sz w:val="24"/>
                <w:u w:val="none"/>
                <w:lang w:eastAsia="zh-CN"/>
              </w:rPr>
              <w:t>）</w:t>
            </w:r>
            <w:r>
              <w:rPr>
                <w:rFonts w:hint="eastAsia"/>
                <w:b/>
                <w:bCs/>
                <w:sz w:val="24"/>
                <w:u w:val="none"/>
              </w:rPr>
              <w:t>升压站</w:t>
            </w:r>
          </w:p>
          <w:p w14:paraId="64299003">
            <w:pPr>
              <w:spacing w:line="360" w:lineRule="auto"/>
              <w:ind w:firstLine="480" w:firstLineChars="200"/>
              <w:rPr>
                <w:rFonts w:hint="default" w:eastAsia="宋体"/>
                <w:sz w:val="24"/>
                <w:szCs w:val="32"/>
                <w:u w:val="none"/>
                <w:lang w:val="en-US" w:eastAsia="zh-CN"/>
              </w:rPr>
            </w:pPr>
            <w:r>
              <w:rPr>
                <w:rFonts w:hint="eastAsia"/>
                <w:sz w:val="24"/>
                <w:szCs w:val="32"/>
                <w:u w:val="none"/>
              </w:rPr>
              <w:t>升压站布置于风电场</w:t>
            </w:r>
            <w:r>
              <w:rPr>
                <w:rFonts w:hint="eastAsia"/>
                <w:sz w:val="24"/>
                <w:szCs w:val="32"/>
                <w:u w:val="none"/>
                <w:lang w:val="en-US" w:eastAsia="zh-CN"/>
              </w:rPr>
              <w:t>西</w:t>
            </w:r>
            <w:r>
              <w:rPr>
                <w:rFonts w:hint="eastAsia"/>
                <w:sz w:val="24"/>
                <w:szCs w:val="32"/>
                <w:u w:val="none"/>
              </w:rPr>
              <w:t>部，</w:t>
            </w:r>
            <w:r>
              <w:rPr>
                <w:rFonts w:hint="eastAsia"/>
                <w:sz w:val="24"/>
                <w:szCs w:val="32"/>
                <w:u w:val="none"/>
                <w:lang w:val="en-US" w:eastAsia="zh-CN"/>
              </w:rPr>
              <w:t>行政区划隶属于东湖圩镇，</w:t>
            </w:r>
            <w:r>
              <w:rPr>
                <w:rFonts w:hint="eastAsia"/>
                <w:sz w:val="24"/>
                <w:szCs w:val="32"/>
                <w:u w:val="none"/>
              </w:rPr>
              <w:t>中心位置经纬度</w:t>
            </w:r>
            <w:r>
              <w:rPr>
                <w:rFonts w:hint="eastAsia"/>
                <w:sz w:val="24"/>
                <w:szCs w:val="32"/>
                <w:u w:val="none"/>
                <w:lang w:val="en-US" w:eastAsia="zh-CN"/>
              </w:rPr>
              <w:t>为</w:t>
            </w:r>
            <w:r>
              <w:rPr>
                <w:rFonts w:hint="eastAsia"/>
                <w:sz w:val="24"/>
                <w:szCs w:val="32"/>
                <w:u w:val="none"/>
              </w:rPr>
              <w:t>：</w:t>
            </w:r>
            <w:r>
              <w:rPr>
                <w:rFonts w:hint="default" w:ascii="Times New Roman" w:hAnsi="Times New Roman" w:cs="Times New Roman"/>
                <w:sz w:val="24"/>
                <w:szCs w:val="32"/>
                <w:u w:val="none"/>
              </w:rPr>
              <w:t>东经</w:t>
            </w:r>
            <w:r>
              <w:rPr>
                <w:rFonts w:hint="default" w:ascii="Times New Roman" w:hAnsi="Times New Roman" w:cs="Times New Roman"/>
                <w:sz w:val="24"/>
                <w:szCs w:val="32"/>
                <w:u w:val="none"/>
                <w:lang w:val="en-US" w:eastAsia="zh-CN"/>
              </w:rPr>
              <w:t>113°3′47.56712″</w:t>
            </w:r>
            <w:r>
              <w:rPr>
                <w:rFonts w:hint="eastAsia"/>
                <w:sz w:val="24"/>
                <w:szCs w:val="32"/>
                <w:u w:val="none"/>
              </w:rPr>
              <w:t>，北纬</w:t>
            </w:r>
            <w:r>
              <w:rPr>
                <w:rFonts w:hint="eastAsia" w:cs="Times New Roman"/>
                <w:sz w:val="24"/>
                <w:szCs w:val="32"/>
                <w:u w:val="none"/>
                <w:lang w:val="en-US" w:eastAsia="zh-CN"/>
              </w:rPr>
              <w:t>26</w:t>
            </w:r>
            <w:r>
              <w:rPr>
                <w:rFonts w:hint="default" w:ascii="Times New Roman" w:hAnsi="Times New Roman" w:cs="Times New Roman"/>
                <w:sz w:val="24"/>
                <w:szCs w:val="32"/>
                <w:u w:val="none"/>
                <w:lang w:val="en-US" w:eastAsia="zh-CN"/>
              </w:rPr>
              <w:t>°</w:t>
            </w:r>
            <w:r>
              <w:rPr>
                <w:rFonts w:hint="eastAsia" w:cs="Times New Roman"/>
                <w:sz w:val="24"/>
                <w:szCs w:val="32"/>
                <w:u w:val="none"/>
                <w:lang w:val="en-US" w:eastAsia="zh-CN"/>
              </w:rPr>
              <w:t>27</w:t>
            </w:r>
            <w:r>
              <w:rPr>
                <w:rFonts w:hint="default" w:ascii="Times New Roman" w:hAnsi="Times New Roman" w:cs="Times New Roman"/>
                <w:sz w:val="24"/>
                <w:szCs w:val="32"/>
                <w:u w:val="none"/>
                <w:lang w:val="en-US" w:eastAsia="zh-CN"/>
              </w:rPr>
              <w:t>′</w:t>
            </w:r>
            <w:r>
              <w:rPr>
                <w:rFonts w:hint="eastAsia" w:cs="Times New Roman"/>
                <w:sz w:val="24"/>
                <w:szCs w:val="32"/>
                <w:u w:val="none"/>
                <w:lang w:val="en-US" w:eastAsia="zh-CN"/>
              </w:rPr>
              <w:t>57.00474</w:t>
            </w:r>
            <w:r>
              <w:rPr>
                <w:rFonts w:hint="default" w:ascii="Times New Roman" w:hAnsi="Times New Roman" w:cs="Times New Roman"/>
                <w:sz w:val="24"/>
                <w:szCs w:val="32"/>
                <w:u w:val="none"/>
                <w:lang w:val="en-US" w:eastAsia="zh-CN"/>
              </w:rPr>
              <w:t>″</w:t>
            </w:r>
            <w:r>
              <w:rPr>
                <w:rFonts w:hint="eastAsia"/>
                <w:sz w:val="24"/>
                <w:szCs w:val="32"/>
                <w:u w:val="none"/>
              </w:rPr>
              <w:t>。升压站进站道路从</w:t>
            </w:r>
            <w:r>
              <w:rPr>
                <w:rFonts w:hint="eastAsia"/>
                <w:sz w:val="24"/>
                <w:szCs w:val="32"/>
                <w:u w:val="none"/>
                <w:lang w:val="en-US" w:eastAsia="zh-CN"/>
              </w:rPr>
              <w:t>国道G356上</w:t>
            </w:r>
            <w:r>
              <w:rPr>
                <w:rFonts w:hint="eastAsia"/>
                <w:sz w:val="24"/>
                <w:szCs w:val="32"/>
                <w:u w:val="none"/>
              </w:rPr>
              <w:t>引接。</w:t>
            </w:r>
            <w:r>
              <w:rPr>
                <w:rFonts w:hint="eastAsia"/>
                <w:sz w:val="24"/>
                <w:szCs w:val="32"/>
                <w:u w:val="none"/>
                <w:lang w:val="en-US" w:eastAsia="zh-CN"/>
              </w:rPr>
              <w:t>总占地面积0.93hm</w:t>
            </w:r>
            <w:r>
              <w:rPr>
                <w:rFonts w:hint="eastAsia"/>
                <w:sz w:val="24"/>
                <w:szCs w:val="32"/>
                <w:u w:val="none"/>
                <w:vertAlign w:val="superscript"/>
                <w:lang w:val="en-US" w:eastAsia="zh-CN"/>
              </w:rPr>
              <w:t>2</w:t>
            </w:r>
            <w:r>
              <w:rPr>
                <w:rFonts w:hint="eastAsia"/>
                <w:sz w:val="24"/>
                <w:szCs w:val="32"/>
                <w:u w:val="none"/>
                <w:lang w:val="en-US" w:eastAsia="zh-CN"/>
              </w:rPr>
              <w:t>，总建筑面积3275m</w:t>
            </w:r>
            <w:r>
              <w:rPr>
                <w:rFonts w:hint="eastAsia"/>
                <w:sz w:val="24"/>
                <w:szCs w:val="32"/>
                <w:u w:val="none"/>
                <w:vertAlign w:val="superscript"/>
                <w:lang w:val="en-US" w:eastAsia="zh-CN"/>
              </w:rPr>
              <w:t>2</w:t>
            </w:r>
            <w:r>
              <w:rPr>
                <w:rFonts w:hint="eastAsia"/>
                <w:sz w:val="24"/>
                <w:szCs w:val="32"/>
                <w:u w:val="none"/>
                <w:lang w:val="en-US" w:eastAsia="zh-CN"/>
              </w:rPr>
              <w:t>，主变压器采用室外布置，主变高压侧采用架空导线连接，主变低压侧采用母排与35kV配电装置连接，</w:t>
            </w:r>
            <w:r>
              <w:rPr>
                <w:rFonts w:hint="eastAsia"/>
                <w:sz w:val="24"/>
                <w:szCs w:val="32"/>
                <w:u w:val="none"/>
              </w:rPr>
              <w:t>设置1台</w:t>
            </w:r>
            <w:r>
              <w:rPr>
                <w:rFonts w:hint="eastAsia"/>
                <w:sz w:val="24"/>
                <w:szCs w:val="32"/>
                <w:u w:val="none"/>
                <w:lang w:val="en-US" w:eastAsia="zh-CN"/>
              </w:rPr>
              <w:t>SZ18-180000/110</w:t>
            </w:r>
            <w:r>
              <w:rPr>
                <w:rFonts w:hint="eastAsia"/>
                <w:sz w:val="24"/>
                <w:szCs w:val="32"/>
                <w:u w:val="none"/>
              </w:rPr>
              <w:t>、容量</w:t>
            </w:r>
            <w:r>
              <w:rPr>
                <w:rFonts w:hint="eastAsia"/>
                <w:sz w:val="24"/>
                <w:szCs w:val="32"/>
                <w:u w:val="none"/>
                <w:lang w:val="en-US" w:eastAsia="zh-CN"/>
              </w:rPr>
              <w:t>180</w:t>
            </w:r>
            <w:r>
              <w:rPr>
                <w:rFonts w:hint="eastAsia"/>
                <w:sz w:val="24"/>
                <w:szCs w:val="32"/>
                <w:u w:val="none"/>
              </w:rPr>
              <w:t>MVA的主变压器。站内主要建构筑物有</w:t>
            </w:r>
            <w:r>
              <w:rPr>
                <w:rFonts w:hint="eastAsia"/>
                <w:sz w:val="24"/>
                <w:szCs w:val="32"/>
                <w:u w:val="none"/>
                <w:lang w:val="en-US" w:eastAsia="zh-CN"/>
              </w:rPr>
              <w:t>综合楼、配电楼、控制楼以及附属用房，配套建设了</w:t>
            </w:r>
            <w:r>
              <w:rPr>
                <w:rFonts w:hint="eastAsia"/>
                <w:sz w:val="24"/>
                <w:szCs w:val="32"/>
                <w:u w:val="none"/>
              </w:rPr>
              <w:t>无功补偿装置</w:t>
            </w:r>
            <w:r>
              <w:rPr>
                <w:rFonts w:hint="eastAsia"/>
                <w:sz w:val="24"/>
                <w:szCs w:val="32"/>
                <w:u w:val="none"/>
                <w:lang w:eastAsia="zh-CN"/>
              </w:rPr>
              <w:t>（</w:t>
            </w:r>
            <w:r>
              <w:rPr>
                <w:rFonts w:hint="eastAsia"/>
                <w:sz w:val="24"/>
                <w:szCs w:val="32"/>
                <w:u w:val="none"/>
                <w:lang w:val="en-US" w:eastAsia="zh-CN"/>
              </w:rPr>
              <w:t>SVG+FC</w:t>
            </w:r>
            <w:r>
              <w:rPr>
                <w:rFonts w:hint="eastAsia"/>
                <w:sz w:val="24"/>
                <w:szCs w:val="32"/>
                <w:u w:val="none"/>
                <w:lang w:eastAsia="zh-CN"/>
              </w:rPr>
              <w:t>）</w:t>
            </w:r>
            <w:r>
              <w:rPr>
                <w:rFonts w:hint="eastAsia"/>
                <w:sz w:val="24"/>
                <w:szCs w:val="32"/>
                <w:u w:val="none"/>
              </w:rPr>
              <w:t>、主变事故油池（30m</w:t>
            </w:r>
            <w:r>
              <w:rPr>
                <w:rFonts w:hint="eastAsia"/>
                <w:sz w:val="24"/>
                <w:szCs w:val="32"/>
                <w:u w:val="none"/>
                <w:vertAlign w:val="superscript"/>
              </w:rPr>
              <w:t>3</w:t>
            </w:r>
            <w:r>
              <w:rPr>
                <w:rFonts w:hint="eastAsia"/>
                <w:sz w:val="24"/>
                <w:szCs w:val="32"/>
                <w:u w:val="none"/>
              </w:rPr>
              <w:t>）、独立避雷针、一体化污水处理装置等。整个升压站规划布置合理，便于生产管理。</w:t>
            </w:r>
            <w:r>
              <w:rPr>
                <w:rFonts w:hint="eastAsia"/>
                <w:sz w:val="24"/>
                <w:szCs w:val="32"/>
                <w:u w:val="none"/>
                <w:lang w:val="en-US" w:eastAsia="zh-CN"/>
              </w:rPr>
              <w:t>见附图2-3。</w:t>
            </w:r>
          </w:p>
          <w:p w14:paraId="5C262AB4">
            <w:pPr>
              <w:spacing w:line="360" w:lineRule="auto"/>
              <w:ind w:firstLine="482" w:firstLineChars="200"/>
              <w:jc w:val="left"/>
              <w:rPr>
                <w:rFonts w:hint="eastAsia"/>
                <w:b/>
                <w:bCs/>
                <w:sz w:val="24"/>
                <w:u w:val="none"/>
                <w:lang w:eastAsia="zh-CN"/>
              </w:rPr>
            </w:pPr>
            <w:r>
              <w:rPr>
                <w:rFonts w:hint="eastAsia"/>
                <w:b/>
                <w:bCs/>
                <w:sz w:val="24"/>
                <w:u w:val="none"/>
                <w:lang w:eastAsia="zh-CN"/>
              </w:rPr>
              <w:t>（</w:t>
            </w:r>
            <w:r>
              <w:rPr>
                <w:rFonts w:hint="eastAsia"/>
                <w:b/>
                <w:bCs/>
                <w:sz w:val="24"/>
                <w:u w:val="none"/>
                <w:lang w:val="en-US" w:eastAsia="zh-CN"/>
              </w:rPr>
              <w:t>3</w:t>
            </w:r>
            <w:r>
              <w:rPr>
                <w:rFonts w:hint="eastAsia"/>
                <w:b/>
                <w:bCs/>
                <w:sz w:val="24"/>
                <w:u w:val="none"/>
                <w:lang w:eastAsia="zh-CN"/>
              </w:rPr>
              <w:t>）进场道路、场内道路、集电线路</w:t>
            </w:r>
          </w:p>
          <w:p w14:paraId="3616F94A">
            <w:pPr>
              <w:spacing w:line="360" w:lineRule="auto"/>
              <w:ind w:firstLine="480" w:firstLineChars="200"/>
              <w:rPr>
                <w:rFonts w:hint="eastAsia"/>
                <w:color w:val="FF0000"/>
                <w:sz w:val="24"/>
                <w:szCs w:val="32"/>
                <w:u w:val="none"/>
              </w:rPr>
            </w:pPr>
            <w:r>
              <w:rPr>
                <w:rFonts w:hint="eastAsia"/>
                <w:color w:val="FF0000"/>
                <w:sz w:val="24"/>
                <w:szCs w:val="32"/>
                <w:u w:val="none"/>
                <w:lang w:val="en-US" w:eastAsia="zh-CN"/>
              </w:rPr>
              <w:t>道路工程</w:t>
            </w:r>
            <w:r>
              <w:rPr>
                <w:rFonts w:hint="eastAsia"/>
                <w:color w:val="FF0000"/>
                <w:sz w:val="24"/>
                <w:szCs w:val="32"/>
                <w:u w:val="none"/>
              </w:rPr>
              <w:t>共计</w:t>
            </w:r>
            <w:r>
              <w:rPr>
                <w:rFonts w:hint="eastAsia"/>
                <w:color w:val="FF0000"/>
                <w:sz w:val="24"/>
                <w:szCs w:val="32"/>
                <w:u w:val="none"/>
                <w:lang w:val="en-US" w:eastAsia="zh-CN"/>
              </w:rPr>
              <w:t>30.75</w:t>
            </w:r>
            <w:r>
              <w:rPr>
                <w:rFonts w:hint="eastAsia"/>
                <w:color w:val="FF0000"/>
                <w:sz w:val="24"/>
                <w:szCs w:val="32"/>
                <w:u w:val="none"/>
              </w:rPr>
              <w:t>km，其中新建场内道路</w:t>
            </w:r>
            <w:r>
              <w:rPr>
                <w:rFonts w:hint="eastAsia"/>
                <w:color w:val="FF0000"/>
                <w:sz w:val="24"/>
                <w:szCs w:val="32"/>
                <w:u w:val="none"/>
                <w:lang w:val="en-US" w:eastAsia="zh-CN"/>
              </w:rPr>
              <w:t>27</w:t>
            </w:r>
            <w:r>
              <w:rPr>
                <w:rFonts w:hint="eastAsia"/>
                <w:color w:val="FF0000"/>
                <w:sz w:val="24"/>
                <w:szCs w:val="32"/>
                <w:u w:val="none"/>
              </w:rPr>
              <w:t>.</w:t>
            </w:r>
            <w:r>
              <w:rPr>
                <w:rFonts w:hint="eastAsia"/>
                <w:color w:val="FF0000"/>
                <w:sz w:val="24"/>
                <w:szCs w:val="32"/>
                <w:u w:val="none"/>
                <w:lang w:val="en-US" w:eastAsia="zh-CN"/>
              </w:rPr>
              <w:t>9</w:t>
            </w:r>
            <w:r>
              <w:rPr>
                <w:rFonts w:hint="eastAsia"/>
                <w:color w:val="FF0000"/>
                <w:sz w:val="24"/>
                <w:szCs w:val="32"/>
                <w:u w:val="none"/>
              </w:rPr>
              <w:t>8km</w:t>
            </w:r>
            <w:r>
              <w:rPr>
                <w:rFonts w:hint="eastAsia"/>
                <w:color w:val="FF0000"/>
                <w:sz w:val="24"/>
                <w:szCs w:val="32"/>
                <w:u w:val="none"/>
                <w:lang w:eastAsia="zh-CN"/>
              </w:rPr>
              <w:t>（</w:t>
            </w:r>
            <w:r>
              <w:rPr>
                <w:rFonts w:hint="eastAsia"/>
                <w:color w:val="FF0000"/>
                <w:sz w:val="24"/>
                <w:szCs w:val="32"/>
                <w:u w:val="none"/>
                <w:lang w:val="en-US" w:eastAsia="zh-CN"/>
              </w:rPr>
              <w:t>路面宽7.5m，路基宽8.5m，路面结构采用180mm厚泥结碎石层</w:t>
            </w:r>
            <w:r>
              <w:rPr>
                <w:rFonts w:hint="eastAsia"/>
                <w:color w:val="FF0000"/>
                <w:sz w:val="24"/>
                <w:szCs w:val="32"/>
                <w:u w:val="none"/>
                <w:lang w:eastAsia="zh-CN"/>
              </w:rPr>
              <w:t>）</w:t>
            </w:r>
            <w:r>
              <w:rPr>
                <w:rFonts w:hint="eastAsia"/>
                <w:color w:val="FF0000"/>
                <w:sz w:val="24"/>
                <w:szCs w:val="32"/>
                <w:u w:val="none"/>
              </w:rPr>
              <w:t>，改造道路2.77km</w:t>
            </w:r>
            <w:r>
              <w:rPr>
                <w:rFonts w:hint="eastAsia"/>
                <w:color w:val="FF0000"/>
                <w:sz w:val="24"/>
                <w:szCs w:val="32"/>
                <w:u w:val="none"/>
                <w:lang w:eastAsia="zh-CN"/>
              </w:rPr>
              <w:t>（</w:t>
            </w:r>
            <w:r>
              <w:rPr>
                <w:rFonts w:hint="eastAsia"/>
                <w:color w:val="FF0000"/>
                <w:sz w:val="24"/>
                <w:szCs w:val="32"/>
                <w:u w:val="none"/>
              </w:rPr>
              <w:t>现有村道和机耕道</w:t>
            </w:r>
            <w:r>
              <w:rPr>
                <w:rFonts w:hint="eastAsia"/>
                <w:color w:val="FF0000"/>
                <w:sz w:val="24"/>
                <w:szCs w:val="32"/>
                <w:u w:val="none"/>
                <w:lang w:eastAsia="zh-CN"/>
              </w:rPr>
              <w:t>）</w:t>
            </w:r>
            <w:r>
              <w:rPr>
                <w:rFonts w:hint="eastAsia"/>
                <w:color w:val="FF0000"/>
                <w:sz w:val="24"/>
                <w:szCs w:val="32"/>
                <w:u w:val="none"/>
              </w:rPr>
              <w:t>，</w:t>
            </w:r>
            <w:r>
              <w:rPr>
                <w:rFonts w:hint="eastAsia"/>
                <w:color w:val="FF0000"/>
                <w:sz w:val="24"/>
                <w:szCs w:val="32"/>
                <w:u w:val="none"/>
                <w:lang w:val="en-US" w:eastAsia="zh-CN"/>
              </w:rPr>
              <w:t>升压站</w:t>
            </w:r>
            <w:r>
              <w:rPr>
                <w:rFonts w:hint="eastAsia"/>
                <w:color w:val="FF0000"/>
                <w:sz w:val="24"/>
                <w:szCs w:val="32"/>
                <w:u w:val="none"/>
              </w:rPr>
              <w:t>进站道路200m</w:t>
            </w:r>
            <w:r>
              <w:rPr>
                <w:rFonts w:hint="eastAsia"/>
                <w:color w:val="FF0000"/>
                <w:sz w:val="24"/>
                <w:szCs w:val="32"/>
                <w:u w:val="none"/>
                <w:lang w:eastAsia="zh-CN"/>
              </w:rPr>
              <w:t>（</w:t>
            </w:r>
            <w:r>
              <w:rPr>
                <w:rFonts w:hint="eastAsia"/>
                <w:color w:val="FF0000"/>
                <w:sz w:val="24"/>
                <w:szCs w:val="32"/>
                <w:u w:val="none"/>
                <w:lang w:val="en-US" w:eastAsia="zh-CN"/>
              </w:rPr>
              <w:t>路面宽7.5m，路基宽8.5m，公路型混凝土道路</w:t>
            </w:r>
            <w:r>
              <w:rPr>
                <w:rFonts w:hint="eastAsia"/>
                <w:color w:val="FF0000"/>
                <w:sz w:val="24"/>
                <w:szCs w:val="32"/>
                <w:u w:val="none"/>
                <w:lang w:eastAsia="zh-CN"/>
              </w:rPr>
              <w:t>）。</w:t>
            </w:r>
            <w:r>
              <w:rPr>
                <w:rFonts w:hint="eastAsia"/>
                <w:color w:val="FF0000"/>
                <w:sz w:val="24"/>
                <w:szCs w:val="32"/>
                <w:u w:val="none"/>
                <w:lang w:val="en-US" w:eastAsia="zh-CN"/>
              </w:rPr>
              <w:t>总占地面积25.18hm</w:t>
            </w:r>
            <w:r>
              <w:rPr>
                <w:rFonts w:hint="eastAsia"/>
                <w:color w:val="FF0000"/>
                <w:sz w:val="24"/>
                <w:szCs w:val="32"/>
                <w:u w:val="none"/>
                <w:vertAlign w:val="superscript"/>
                <w:lang w:val="en-US" w:eastAsia="zh-CN"/>
              </w:rPr>
              <w:t>2</w:t>
            </w:r>
            <w:r>
              <w:rPr>
                <w:rFonts w:hint="eastAsia"/>
                <w:color w:val="FF0000"/>
                <w:sz w:val="24"/>
                <w:szCs w:val="32"/>
                <w:u w:val="none"/>
                <w:lang w:val="en-US" w:eastAsia="zh-CN"/>
              </w:rPr>
              <w:t>。</w:t>
            </w:r>
          </w:p>
          <w:p w14:paraId="51E37FBE">
            <w:pPr>
              <w:spacing w:line="360" w:lineRule="auto"/>
              <w:ind w:firstLine="480" w:firstLineChars="200"/>
              <w:rPr>
                <w:rFonts w:hint="eastAsia"/>
                <w:sz w:val="24"/>
                <w:szCs w:val="32"/>
                <w:u w:val="none"/>
              </w:rPr>
            </w:pPr>
            <w:r>
              <w:rPr>
                <w:rFonts w:hint="eastAsia"/>
                <w:sz w:val="24"/>
                <w:szCs w:val="32"/>
                <w:u w:val="none"/>
              </w:rPr>
              <w:t>集电线路采用35kV全电缆直埋敷设方式，电缆沿风电场场内道路内侧敷设，集电线路直埋电缆长度为</w:t>
            </w:r>
            <w:r>
              <w:rPr>
                <w:rFonts w:hint="eastAsia"/>
                <w:color w:val="FF0000"/>
                <w:sz w:val="24"/>
                <w:szCs w:val="32"/>
                <w:u w:val="none"/>
                <w:lang w:val="en-US" w:eastAsia="zh-CN"/>
              </w:rPr>
              <w:t>31.1</w:t>
            </w:r>
            <w:r>
              <w:rPr>
                <w:rFonts w:hint="eastAsia"/>
                <w:color w:val="FF0000"/>
                <w:sz w:val="24"/>
                <w:szCs w:val="32"/>
                <w:u w:val="none"/>
              </w:rPr>
              <w:t>km</w:t>
            </w:r>
            <w:r>
              <w:rPr>
                <w:rFonts w:hint="eastAsia"/>
                <w:sz w:val="24"/>
                <w:szCs w:val="32"/>
                <w:u w:val="none"/>
                <w:lang w:eastAsia="zh-CN"/>
              </w:rPr>
              <w:t>。</w:t>
            </w:r>
          </w:p>
          <w:p w14:paraId="71E44688">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4</w:t>
            </w:r>
            <w:r>
              <w:rPr>
                <w:rFonts w:hint="eastAsia"/>
                <w:b/>
                <w:bCs/>
                <w:sz w:val="24"/>
                <w:u w:val="none"/>
                <w:lang w:eastAsia="zh-CN"/>
              </w:rPr>
              <w:t>）</w:t>
            </w:r>
            <w:r>
              <w:rPr>
                <w:rFonts w:hint="eastAsia"/>
                <w:b/>
                <w:bCs/>
                <w:sz w:val="24"/>
                <w:u w:val="none"/>
                <w:lang w:val="en-US" w:eastAsia="zh-CN"/>
              </w:rPr>
              <w:t>施工临建区</w:t>
            </w:r>
          </w:p>
          <w:p w14:paraId="7C2D253D">
            <w:pPr>
              <w:spacing w:line="360" w:lineRule="auto"/>
              <w:ind w:firstLine="480" w:firstLineChars="200"/>
              <w:rPr>
                <w:rFonts w:hint="default" w:eastAsia="宋体"/>
                <w:sz w:val="24"/>
                <w:szCs w:val="32"/>
                <w:u w:val="none"/>
                <w:lang w:val="en-US" w:eastAsia="zh-CN"/>
              </w:rPr>
            </w:pPr>
            <w:r>
              <w:rPr>
                <w:rFonts w:hint="eastAsia"/>
                <w:sz w:val="24"/>
                <w:szCs w:val="32"/>
                <w:u w:val="none"/>
                <w:lang w:val="en-US" w:eastAsia="zh-CN"/>
              </w:rPr>
              <w:t>施工临建区占地面积0.4hm</w:t>
            </w:r>
            <w:r>
              <w:rPr>
                <w:rFonts w:hint="eastAsia"/>
                <w:sz w:val="24"/>
                <w:szCs w:val="32"/>
                <w:u w:val="none"/>
                <w:vertAlign w:val="superscript"/>
                <w:lang w:val="en-US" w:eastAsia="zh-CN"/>
              </w:rPr>
              <w:t>2</w:t>
            </w:r>
            <w:r>
              <w:rPr>
                <w:rFonts w:hint="eastAsia"/>
                <w:sz w:val="24"/>
                <w:szCs w:val="32"/>
                <w:u w:val="none"/>
                <w:lang w:val="en-US" w:eastAsia="zh-CN"/>
              </w:rPr>
              <w:t>，包括施工生活和管理区、砂石料堆场、综合仓库等，其中施工生活和管理区位于升压站附近，占地面积1000m</w:t>
            </w:r>
            <w:r>
              <w:rPr>
                <w:rFonts w:hint="eastAsia"/>
                <w:sz w:val="24"/>
                <w:szCs w:val="32"/>
                <w:u w:val="none"/>
                <w:vertAlign w:val="superscript"/>
                <w:lang w:val="en-US" w:eastAsia="zh-CN"/>
              </w:rPr>
              <w:t>2</w:t>
            </w:r>
            <w:r>
              <w:rPr>
                <w:rFonts w:hint="eastAsia"/>
                <w:sz w:val="24"/>
                <w:szCs w:val="32"/>
                <w:u w:val="none"/>
                <w:lang w:val="en-US" w:eastAsia="zh-CN"/>
              </w:rPr>
              <w:t>，施工材料堆放区位于各风机安装平台，占地面积3000m</w:t>
            </w:r>
            <w:r>
              <w:rPr>
                <w:rFonts w:hint="eastAsia"/>
                <w:sz w:val="24"/>
                <w:szCs w:val="32"/>
                <w:u w:val="none"/>
                <w:vertAlign w:val="superscript"/>
                <w:lang w:val="en-US" w:eastAsia="zh-CN"/>
              </w:rPr>
              <w:t>2</w:t>
            </w:r>
            <w:r>
              <w:rPr>
                <w:rFonts w:hint="eastAsia"/>
                <w:sz w:val="24"/>
                <w:szCs w:val="32"/>
                <w:u w:val="none"/>
                <w:lang w:val="en-US" w:eastAsia="zh-CN"/>
              </w:rPr>
              <w:t>。</w:t>
            </w:r>
          </w:p>
          <w:p w14:paraId="1CCDA623">
            <w:pPr>
              <w:spacing w:line="360" w:lineRule="auto"/>
              <w:ind w:firstLine="482" w:firstLineChars="200"/>
              <w:rPr>
                <w:sz w:val="24"/>
                <w:szCs w:val="32"/>
                <w:u w:val="none"/>
              </w:rPr>
            </w:pPr>
            <w:r>
              <w:rPr>
                <w:rFonts w:hint="eastAsia"/>
                <w:b/>
                <w:bCs/>
                <w:sz w:val="24"/>
                <w:u w:val="none"/>
                <w:lang w:eastAsia="zh-CN"/>
              </w:rPr>
              <w:t>（</w:t>
            </w:r>
            <w:r>
              <w:rPr>
                <w:rFonts w:hint="eastAsia"/>
                <w:b/>
                <w:bCs/>
                <w:sz w:val="24"/>
                <w:u w:val="none"/>
                <w:lang w:val="en-US" w:eastAsia="zh-CN"/>
              </w:rPr>
              <w:t>5</w:t>
            </w:r>
            <w:r>
              <w:rPr>
                <w:rFonts w:hint="eastAsia"/>
                <w:b/>
                <w:bCs/>
                <w:sz w:val="24"/>
                <w:u w:val="none"/>
                <w:lang w:eastAsia="zh-CN"/>
              </w:rPr>
              <w:t>）</w:t>
            </w:r>
            <w:r>
              <w:rPr>
                <w:rFonts w:hint="eastAsia"/>
                <w:b/>
                <w:bCs/>
                <w:sz w:val="24"/>
                <w:u w:val="none"/>
              </w:rPr>
              <w:t>弃渣场平面布置</w:t>
            </w:r>
          </w:p>
          <w:p w14:paraId="53AF8501">
            <w:pPr>
              <w:spacing w:line="360" w:lineRule="auto"/>
              <w:ind w:firstLine="480" w:firstLineChars="200"/>
              <w:rPr>
                <w:rFonts w:hint="eastAsia"/>
                <w:sz w:val="24"/>
                <w:szCs w:val="32"/>
                <w:u w:val="none"/>
              </w:rPr>
            </w:pPr>
            <w:r>
              <w:rPr>
                <w:rFonts w:hint="eastAsia"/>
                <w:sz w:val="24"/>
                <w:szCs w:val="32"/>
                <w:u w:val="none"/>
              </w:rPr>
              <w:t>本项目共设置</w:t>
            </w:r>
            <w:r>
              <w:rPr>
                <w:rFonts w:hint="eastAsia"/>
                <w:sz w:val="24"/>
                <w:szCs w:val="32"/>
                <w:u w:val="none"/>
                <w:lang w:val="en-US" w:eastAsia="zh-CN"/>
              </w:rPr>
              <w:t>9</w:t>
            </w:r>
            <w:r>
              <w:rPr>
                <w:rFonts w:hint="eastAsia"/>
                <w:sz w:val="24"/>
                <w:szCs w:val="32"/>
                <w:u w:val="none"/>
              </w:rPr>
              <w:t>个弃渣场</w:t>
            </w:r>
            <w:r>
              <w:rPr>
                <w:rFonts w:hint="eastAsia"/>
                <w:sz w:val="24"/>
                <w:szCs w:val="32"/>
                <w:u w:val="none"/>
                <w:lang w:eastAsia="zh-CN"/>
              </w:rPr>
              <w:t>（</w:t>
            </w:r>
            <w:r>
              <w:rPr>
                <w:rFonts w:hint="eastAsia"/>
                <w:sz w:val="24"/>
                <w:szCs w:val="32"/>
                <w:u w:val="none"/>
                <w:lang w:val="en-US" w:eastAsia="zh-CN"/>
              </w:rPr>
              <w:t>位置见表2-5</w:t>
            </w:r>
            <w:r>
              <w:rPr>
                <w:rFonts w:hint="eastAsia"/>
                <w:sz w:val="24"/>
                <w:szCs w:val="32"/>
                <w:u w:val="none"/>
                <w:lang w:eastAsia="zh-CN"/>
              </w:rPr>
              <w:t>）</w:t>
            </w:r>
            <w:r>
              <w:rPr>
                <w:rFonts w:hint="eastAsia"/>
                <w:sz w:val="24"/>
                <w:szCs w:val="32"/>
                <w:u w:val="none"/>
              </w:rPr>
              <w:t>，</w:t>
            </w:r>
            <w:r>
              <w:rPr>
                <w:rFonts w:hint="eastAsia"/>
                <w:sz w:val="24"/>
                <w:szCs w:val="32"/>
                <w:u w:val="none"/>
                <w:lang w:val="en-US" w:eastAsia="zh-CN"/>
              </w:rPr>
              <w:t>选址均位于荒沟、坡地等位置，</w:t>
            </w:r>
            <w:r>
              <w:rPr>
                <w:rFonts w:hint="eastAsia"/>
                <w:sz w:val="24"/>
                <w:szCs w:val="32"/>
                <w:u w:val="none"/>
              </w:rPr>
              <w:t>弃渣最大运距</w:t>
            </w:r>
            <w:r>
              <w:rPr>
                <w:rFonts w:hint="eastAsia"/>
                <w:sz w:val="24"/>
                <w:szCs w:val="32"/>
                <w:u w:val="none"/>
                <w:lang w:val="en-US" w:eastAsia="zh-CN"/>
              </w:rPr>
              <w:t>不超过</w:t>
            </w:r>
            <w:r>
              <w:rPr>
                <w:rFonts w:hint="eastAsia"/>
                <w:sz w:val="24"/>
                <w:szCs w:val="32"/>
                <w:u w:val="none"/>
              </w:rPr>
              <w:t>5km，弃渣场与施工部位距离适中，满足项目区弃渣需要。从水土保持角度分析，本工程弃渣场紧邻交通道路布置，便于弃渣和防护材料的运输。</w:t>
            </w:r>
            <w:r>
              <w:rPr>
                <w:rFonts w:hint="eastAsia"/>
                <w:sz w:val="24"/>
                <w:szCs w:val="32"/>
                <w:u w:val="none"/>
                <w:lang w:val="en-US" w:eastAsia="zh-CN"/>
              </w:rPr>
              <w:t>各</w:t>
            </w:r>
            <w:r>
              <w:rPr>
                <w:rFonts w:hint="eastAsia"/>
                <w:sz w:val="24"/>
                <w:szCs w:val="32"/>
                <w:u w:val="none"/>
              </w:rPr>
              <w:t>弃渣场不在河道、湖泊和建成的水库管理范围内，下游侧无公共设施、基础设施、工业企业、居民点，上游侧没有大的集雨区域和防洪排水量。</w:t>
            </w:r>
            <w:r>
              <w:rPr>
                <w:rFonts w:hint="eastAsia"/>
                <w:sz w:val="24"/>
                <w:szCs w:val="32"/>
                <w:u w:val="none"/>
                <w:lang w:val="en-US" w:eastAsia="zh-CN"/>
              </w:rPr>
              <w:t>此外</w:t>
            </w:r>
            <w:r>
              <w:rPr>
                <w:rFonts w:hint="eastAsia"/>
                <w:sz w:val="24"/>
                <w:szCs w:val="32"/>
                <w:u w:val="none"/>
              </w:rPr>
              <w:t>弃渣场现状土壤侵蚀属于轻度水力侵蚀，符合《生产建设项目水土保持技术标准》中弃渣场选址的要求。</w:t>
            </w:r>
          </w:p>
          <w:p w14:paraId="1233FF6E">
            <w:pPr>
              <w:spacing w:line="360" w:lineRule="auto"/>
              <w:rPr>
                <w:rFonts w:hint="eastAsia"/>
                <w:sz w:val="24"/>
                <w:szCs w:val="32"/>
                <w:u w:val="none"/>
              </w:rPr>
            </w:pPr>
            <w:r>
              <w:drawing>
                <wp:inline distT="0" distB="0" distL="114300" distR="114300">
                  <wp:extent cx="2672080" cy="2087880"/>
                  <wp:effectExtent l="0" t="0" r="13970" b="762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10"/>
                          <a:stretch>
                            <a:fillRect/>
                          </a:stretch>
                        </pic:blipFill>
                        <pic:spPr>
                          <a:xfrm>
                            <a:off x="0" y="0"/>
                            <a:ext cx="2672080" cy="2087880"/>
                          </a:xfrm>
                          <a:prstGeom prst="rect">
                            <a:avLst/>
                          </a:prstGeom>
                          <a:noFill/>
                          <a:ln>
                            <a:noFill/>
                          </a:ln>
                        </pic:spPr>
                      </pic:pic>
                    </a:graphicData>
                  </a:graphic>
                </wp:inline>
              </w:drawing>
            </w:r>
            <w:r>
              <w:drawing>
                <wp:inline distT="0" distB="0" distL="114300" distR="114300">
                  <wp:extent cx="2671445" cy="2087880"/>
                  <wp:effectExtent l="0" t="0" r="14605" b="762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1"/>
                          <a:stretch>
                            <a:fillRect/>
                          </a:stretch>
                        </pic:blipFill>
                        <pic:spPr>
                          <a:xfrm>
                            <a:off x="0" y="0"/>
                            <a:ext cx="2671445" cy="2087880"/>
                          </a:xfrm>
                          <a:prstGeom prst="rect">
                            <a:avLst/>
                          </a:prstGeom>
                          <a:noFill/>
                          <a:ln>
                            <a:noFill/>
                          </a:ln>
                        </pic:spPr>
                      </pic:pic>
                    </a:graphicData>
                  </a:graphic>
                </wp:inline>
              </w:drawing>
            </w:r>
          </w:p>
          <w:p w14:paraId="4DCEFFC2">
            <w:pPr>
              <w:spacing w:line="360" w:lineRule="auto"/>
              <w:rPr>
                <w:rFonts w:hint="eastAsia"/>
                <w:sz w:val="24"/>
                <w:szCs w:val="32"/>
                <w:u w:val="none"/>
              </w:rPr>
            </w:pPr>
            <w:r>
              <w:drawing>
                <wp:inline distT="0" distB="0" distL="114300" distR="114300">
                  <wp:extent cx="2670810" cy="2087880"/>
                  <wp:effectExtent l="0" t="0" r="15240" b="762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12"/>
                          <a:stretch>
                            <a:fillRect/>
                          </a:stretch>
                        </pic:blipFill>
                        <pic:spPr>
                          <a:xfrm>
                            <a:off x="0" y="0"/>
                            <a:ext cx="2670810" cy="2087880"/>
                          </a:xfrm>
                          <a:prstGeom prst="rect">
                            <a:avLst/>
                          </a:prstGeom>
                          <a:noFill/>
                          <a:ln>
                            <a:noFill/>
                          </a:ln>
                        </pic:spPr>
                      </pic:pic>
                    </a:graphicData>
                  </a:graphic>
                </wp:inline>
              </w:drawing>
            </w:r>
            <w:r>
              <w:drawing>
                <wp:inline distT="0" distB="0" distL="114300" distR="114300">
                  <wp:extent cx="2671445" cy="2087880"/>
                  <wp:effectExtent l="0" t="0" r="14605" b="762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13"/>
                          <a:stretch>
                            <a:fillRect/>
                          </a:stretch>
                        </pic:blipFill>
                        <pic:spPr>
                          <a:xfrm>
                            <a:off x="0" y="0"/>
                            <a:ext cx="2671445" cy="2087880"/>
                          </a:xfrm>
                          <a:prstGeom prst="rect">
                            <a:avLst/>
                          </a:prstGeom>
                          <a:noFill/>
                          <a:ln>
                            <a:noFill/>
                          </a:ln>
                        </pic:spPr>
                      </pic:pic>
                    </a:graphicData>
                  </a:graphic>
                </wp:inline>
              </w:drawing>
            </w:r>
          </w:p>
          <w:p w14:paraId="138A6E97">
            <w:pPr>
              <w:spacing w:line="360" w:lineRule="auto"/>
              <w:rPr>
                <w:rFonts w:hint="eastAsia"/>
                <w:sz w:val="24"/>
                <w:szCs w:val="32"/>
                <w:u w:val="none"/>
              </w:rPr>
            </w:pPr>
            <w:r>
              <w:drawing>
                <wp:inline distT="0" distB="0" distL="114300" distR="114300">
                  <wp:extent cx="2671445" cy="2087880"/>
                  <wp:effectExtent l="0" t="0" r="14605" b="7620"/>
                  <wp:docPr id="50" name="图片 9"/>
                  <wp:cNvGraphicFramePr/>
                  <a:graphic xmlns:a="http://schemas.openxmlformats.org/drawingml/2006/main">
                    <a:graphicData uri="http://schemas.openxmlformats.org/drawingml/2006/picture">
                      <pic:pic xmlns:pic="http://schemas.openxmlformats.org/drawingml/2006/picture">
                        <pic:nvPicPr>
                          <pic:cNvPr id="50" name="图片 9"/>
                          <pic:cNvPicPr/>
                        </pic:nvPicPr>
                        <pic:blipFill>
                          <a:blip r:embed="rId14"/>
                          <a:stretch>
                            <a:fillRect/>
                          </a:stretch>
                        </pic:blipFill>
                        <pic:spPr>
                          <a:xfrm>
                            <a:off x="0" y="0"/>
                            <a:ext cx="2671445" cy="2087880"/>
                          </a:xfrm>
                          <a:prstGeom prst="rect">
                            <a:avLst/>
                          </a:prstGeom>
                          <a:noFill/>
                          <a:ln>
                            <a:noFill/>
                          </a:ln>
                        </pic:spPr>
                      </pic:pic>
                    </a:graphicData>
                  </a:graphic>
                </wp:inline>
              </w:drawing>
            </w:r>
            <w:r>
              <w:drawing>
                <wp:inline distT="0" distB="0" distL="114300" distR="114300">
                  <wp:extent cx="2671445" cy="2087880"/>
                  <wp:effectExtent l="0" t="0" r="14605" b="7620"/>
                  <wp:docPr id="51" name="图片 10"/>
                  <wp:cNvGraphicFramePr/>
                  <a:graphic xmlns:a="http://schemas.openxmlformats.org/drawingml/2006/main">
                    <a:graphicData uri="http://schemas.openxmlformats.org/drawingml/2006/picture">
                      <pic:pic xmlns:pic="http://schemas.openxmlformats.org/drawingml/2006/picture">
                        <pic:nvPicPr>
                          <pic:cNvPr id="51" name="图片 10"/>
                          <pic:cNvPicPr/>
                        </pic:nvPicPr>
                        <pic:blipFill>
                          <a:blip r:embed="rId15"/>
                          <a:stretch>
                            <a:fillRect/>
                          </a:stretch>
                        </pic:blipFill>
                        <pic:spPr>
                          <a:xfrm>
                            <a:off x="0" y="0"/>
                            <a:ext cx="2671445" cy="2087880"/>
                          </a:xfrm>
                          <a:prstGeom prst="rect">
                            <a:avLst/>
                          </a:prstGeom>
                          <a:noFill/>
                          <a:ln>
                            <a:noFill/>
                          </a:ln>
                        </pic:spPr>
                      </pic:pic>
                    </a:graphicData>
                  </a:graphic>
                </wp:inline>
              </w:drawing>
            </w:r>
          </w:p>
          <w:p w14:paraId="3A3CD574">
            <w:pPr>
              <w:spacing w:line="360" w:lineRule="auto"/>
              <w:rPr>
                <w:rFonts w:hint="eastAsia"/>
                <w:b/>
                <w:bCs/>
                <w:sz w:val="24"/>
                <w:u w:val="none"/>
                <w:lang w:eastAsia="zh-CN"/>
              </w:rPr>
            </w:pPr>
            <w:r>
              <w:drawing>
                <wp:inline distT="0" distB="0" distL="114300" distR="114300">
                  <wp:extent cx="2671445" cy="2087880"/>
                  <wp:effectExtent l="0" t="0" r="14605" b="7620"/>
                  <wp:docPr id="52" name="图片 11"/>
                  <wp:cNvGraphicFramePr/>
                  <a:graphic xmlns:a="http://schemas.openxmlformats.org/drawingml/2006/main">
                    <a:graphicData uri="http://schemas.openxmlformats.org/drawingml/2006/picture">
                      <pic:pic xmlns:pic="http://schemas.openxmlformats.org/drawingml/2006/picture">
                        <pic:nvPicPr>
                          <pic:cNvPr id="52" name="图片 11"/>
                          <pic:cNvPicPr/>
                        </pic:nvPicPr>
                        <pic:blipFill>
                          <a:blip r:embed="rId16"/>
                          <a:stretch>
                            <a:fillRect/>
                          </a:stretch>
                        </pic:blipFill>
                        <pic:spPr>
                          <a:xfrm>
                            <a:off x="0" y="0"/>
                            <a:ext cx="2671445" cy="2087880"/>
                          </a:xfrm>
                          <a:prstGeom prst="rect">
                            <a:avLst/>
                          </a:prstGeom>
                          <a:noFill/>
                          <a:ln>
                            <a:noFill/>
                          </a:ln>
                        </pic:spPr>
                      </pic:pic>
                    </a:graphicData>
                  </a:graphic>
                </wp:inline>
              </w:drawing>
            </w:r>
            <w:r>
              <w:drawing>
                <wp:inline distT="0" distB="0" distL="114300" distR="114300">
                  <wp:extent cx="2671445" cy="2087880"/>
                  <wp:effectExtent l="0" t="0" r="14605" b="7620"/>
                  <wp:docPr id="53" name="图片 12"/>
                  <wp:cNvGraphicFramePr/>
                  <a:graphic xmlns:a="http://schemas.openxmlformats.org/drawingml/2006/main">
                    <a:graphicData uri="http://schemas.openxmlformats.org/drawingml/2006/picture">
                      <pic:pic xmlns:pic="http://schemas.openxmlformats.org/drawingml/2006/picture">
                        <pic:nvPicPr>
                          <pic:cNvPr id="53" name="图片 12"/>
                          <pic:cNvPicPr/>
                        </pic:nvPicPr>
                        <pic:blipFill>
                          <a:blip r:embed="rId17"/>
                          <a:stretch>
                            <a:fillRect/>
                          </a:stretch>
                        </pic:blipFill>
                        <pic:spPr>
                          <a:xfrm>
                            <a:off x="0" y="0"/>
                            <a:ext cx="2671445" cy="2087880"/>
                          </a:xfrm>
                          <a:prstGeom prst="rect">
                            <a:avLst/>
                          </a:prstGeom>
                          <a:noFill/>
                          <a:ln>
                            <a:noFill/>
                          </a:ln>
                        </pic:spPr>
                      </pic:pic>
                    </a:graphicData>
                  </a:graphic>
                </wp:inline>
              </w:drawing>
            </w:r>
          </w:p>
          <w:p w14:paraId="6B4A707A">
            <w:pPr>
              <w:spacing w:line="360" w:lineRule="auto"/>
              <w:rPr>
                <w:rFonts w:hint="eastAsia"/>
                <w:b/>
                <w:bCs/>
                <w:sz w:val="24"/>
                <w:u w:val="none"/>
                <w:lang w:eastAsia="zh-CN"/>
              </w:rPr>
            </w:pPr>
            <w:r>
              <w:drawing>
                <wp:inline distT="0" distB="0" distL="114300" distR="114300">
                  <wp:extent cx="5362575" cy="3960495"/>
                  <wp:effectExtent l="0" t="0" r="9525" b="190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18"/>
                          <a:stretch>
                            <a:fillRect/>
                          </a:stretch>
                        </pic:blipFill>
                        <pic:spPr>
                          <a:xfrm>
                            <a:off x="0" y="0"/>
                            <a:ext cx="5362575" cy="3960495"/>
                          </a:xfrm>
                          <a:prstGeom prst="rect">
                            <a:avLst/>
                          </a:prstGeom>
                          <a:noFill/>
                          <a:ln>
                            <a:noFill/>
                          </a:ln>
                        </pic:spPr>
                      </pic:pic>
                    </a:graphicData>
                  </a:graphic>
                </wp:inline>
              </w:drawing>
            </w:r>
          </w:p>
          <w:p w14:paraId="3802D487">
            <w:pPr>
              <w:spacing w:line="360" w:lineRule="auto"/>
              <w:ind w:firstLine="482" w:firstLineChars="200"/>
              <w:jc w:val="center"/>
              <w:rPr>
                <w:rFonts w:hint="default"/>
                <w:b/>
                <w:bCs/>
                <w:sz w:val="24"/>
                <w:u w:val="none"/>
                <w:lang w:val="en-US" w:eastAsia="zh-CN"/>
              </w:rPr>
            </w:pPr>
            <w:r>
              <w:rPr>
                <w:rFonts w:hint="eastAsia"/>
                <w:b/>
                <w:bCs/>
                <w:sz w:val="24"/>
                <w:u w:val="none"/>
                <w:lang w:val="en-US" w:eastAsia="zh-CN"/>
              </w:rPr>
              <w:t>图2-1  9个弃渣场的位置图</w:t>
            </w:r>
          </w:p>
          <w:p w14:paraId="679C6C75">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6</w:t>
            </w:r>
            <w:r>
              <w:rPr>
                <w:rFonts w:hint="eastAsia"/>
                <w:b/>
                <w:bCs/>
                <w:sz w:val="24"/>
                <w:u w:val="none"/>
                <w:lang w:eastAsia="zh-CN"/>
              </w:rPr>
              <w:t>）</w:t>
            </w:r>
            <w:r>
              <w:rPr>
                <w:rFonts w:hint="eastAsia"/>
                <w:b/>
                <w:bCs/>
                <w:sz w:val="24"/>
                <w:u w:val="none"/>
              </w:rPr>
              <w:t>表土堆存区</w:t>
            </w:r>
          </w:p>
          <w:p w14:paraId="3C066D97">
            <w:pPr>
              <w:spacing w:line="360" w:lineRule="auto"/>
              <w:ind w:firstLine="480" w:firstLineChars="200"/>
              <w:rPr>
                <w:rFonts w:hint="eastAsia"/>
                <w:sz w:val="24"/>
                <w:szCs w:val="32"/>
                <w:u w:val="none"/>
              </w:rPr>
            </w:pPr>
            <w:r>
              <w:rPr>
                <w:rFonts w:hint="eastAsia"/>
                <w:sz w:val="24"/>
                <w:szCs w:val="32"/>
                <w:u w:val="none"/>
              </w:rPr>
              <w:t>根据</w:t>
            </w:r>
            <w:r>
              <w:rPr>
                <w:rFonts w:hint="eastAsia"/>
                <w:sz w:val="24"/>
                <w:szCs w:val="32"/>
                <w:u w:val="none"/>
                <w:lang w:val="en-US" w:eastAsia="zh-CN"/>
              </w:rPr>
              <w:t>项目水土保持报告书</w:t>
            </w:r>
            <w:r>
              <w:rPr>
                <w:rFonts w:hint="eastAsia"/>
                <w:sz w:val="24"/>
                <w:szCs w:val="32"/>
                <w:u w:val="none"/>
              </w:rPr>
              <w:t>，项目剥离的表土临时堆放于道路弯道拓宽处、临时错车道、或各区有条件的临时堆存区域</w:t>
            </w:r>
            <w:r>
              <w:rPr>
                <w:rFonts w:hint="eastAsia"/>
                <w:sz w:val="24"/>
                <w:szCs w:val="32"/>
                <w:u w:val="none"/>
                <w:lang w:eastAsia="zh-CN"/>
              </w:rPr>
              <w:t>，</w:t>
            </w:r>
            <w:r>
              <w:rPr>
                <w:rFonts w:hint="eastAsia"/>
                <w:sz w:val="24"/>
                <w:szCs w:val="32"/>
                <w:u w:val="none"/>
                <w:lang w:val="en-US" w:eastAsia="zh-CN"/>
              </w:rPr>
              <w:t>堆存过程中</w:t>
            </w:r>
            <w:r>
              <w:rPr>
                <w:rFonts w:hint="eastAsia"/>
                <w:sz w:val="24"/>
                <w:szCs w:val="32"/>
                <w:u w:val="none"/>
              </w:rPr>
              <w:t>表土用编织袋挡墙拦挡，防尘网覆盖。临时堆土堆高小于3m，堆放边坡不超过1:1。</w:t>
            </w:r>
            <w:r>
              <w:rPr>
                <w:rFonts w:hint="eastAsia"/>
                <w:sz w:val="24"/>
                <w:szCs w:val="32"/>
                <w:u w:val="none"/>
                <w:lang w:val="en-US" w:eastAsia="zh-CN"/>
              </w:rPr>
              <w:t>其中风机机组区剥离的表土堆置于风机安装场地的角落，不新增临时占地；道路工程区根据施工时序，就近堆置于道路一侧或弯道平台区域，待路基成型后及时回覆于道路绿化区域。</w:t>
            </w:r>
          </w:p>
        </w:tc>
      </w:tr>
      <w:tr w14:paraId="47D1F6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39" w:hRule="atLeast"/>
        </w:trPr>
        <w:tc>
          <w:tcPr>
            <w:tcW w:w="452" w:type="dxa"/>
            <w:vAlign w:val="center"/>
          </w:tcPr>
          <w:p w14:paraId="6A8CFD9E">
            <w:pPr>
              <w:jc w:val="center"/>
              <w:rPr>
                <w:b/>
                <w:bCs/>
                <w:sz w:val="24"/>
                <w:szCs w:val="32"/>
                <w:u w:val="none"/>
              </w:rPr>
            </w:pPr>
            <w:r>
              <w:rPr>
                <w:rFonts w:hint="eastAsia"/>
                <w:b/>
                <w:bCs/>
                <w:sz w:val="24"/>
                <w:szCs w:val="32"/>
                <w:u w:val="none"/>
              </w:rPr>
              <w:t>施工方案</w:t>
            </w:r>
          </w:p>
        </w:tc>
        <w:tc>
          <w:tcPr>
            <w:tcW w:w="8835" w:type="dxa"/>
          </w:tcPr>
          <w:p w14:paraId="2775CC5C">
            <w:pPr>
              <w:spacing w:line="360" w:lineRule="auto"/>
              <w:jc w:val="left"/>
              <w:rPr>
                <w:b/>
                <w:bCs/>
                <w:sz w:val="24"/>
                <w:u w:val="none"/>
              </w:rPr>
            </w:pPr>
            <w:r>
              <w:rPr>
                <w:rFonts w:hint="eastAsia"/>
                <w:b/>
                <w:bCs/>
                <w:sz w:val="24"/>
                <w:u w:val="none"/>
                <w:lang w:val="en-US" w:eastAsia="zh-CN"/>
              </w:rPr>
              <w:t>6、</w:t>
            </w:r>
            <w:r>
              <w:rPr>
                <w:rFonts w:hint="eastAsia"/>
                <w:b/>
                <w:bCs/>
                <w:sz w:val="24"/>
                <w:u w:val="none"/>
              </w:rPr>
              <w:t>施工工艺流程</w:t>
            </w:r>
          </w:p>
          <w:p w14:paraId="184EF488">
            <w:pPr>
              <w:pStyle w:val="58"/>
              <w:rPr>
                <w:rFonts w:hAnsi="Times New Roman"/>
                <w:kern w:val="2"/>
                <w:szCs w:val="24"/>
                <w:u w:val="none"/>
              </w:rPr>
            </w:pPr>
            <w:r>
              <w:rPr>
                <w:rFonts w:hAnsi="Times New Roman"/>
                <w:kern w:val="2"/>
                <w:szCs w:val="24"/>
                <w:u w:val="none"/>
              </w:rPr>
              <w:t>本项目施工工序主要包括：修建道路、平整场地、风电机组安装、集电线路敷设及临时性工程建设等。</w:t>
            </w:r>
            <w:r>
              <w:rPr>
                <w:rFonts w:hint="eastAsia" w:hAnsi="Times New Roman"/>
                <w:kern w:val="2"/>
                <w:szCs w:val="24"/>
                <w:u w:val="none"/>
              </w:rPr>
              <w:t>主体工程</w:t>
            </w:r>
            <w:r>
              <w:rPr>
                <w:rFonts w:hAnsi="Times New Roman"/>
                <w:kern w:val="2"/>
                <w:szCs w:val="24"/>
                <w:u w:val="none"/>
              </w:rPr>
              <w:t>及产污节点见图2</w:t>
            </w:r>
            <w:r>
              <w:rPr>
                <w:rFonts w:hint="eastAsia" w:hAnsi="Times New Roman"/>
                <w:kern w:val="2"/>
                <w:szCs w:val="24"/>
                <w:u w:val="none"/>
                <w:lang w:val="en-US" w:eastAsia="zh-CN"/>
              </w:rPr>
              <w:t>-4</w:t>
            </w:r>
            <w:r>
              <w:rPr>
                <w:rFonts w:hAnsi="Times New Roman"/>
                <w:kern w:val="2"/>
                <w:szCs w:val="24"/>
                <w:u w:val="none"/>
              </w:rPr>
              <w:t>。</w:t>
            </w:r>
            <w:r>
              <w:rPr>
                <w:rFonts w:hint="eastAsia" w:hAnsi="Times New Roman"/>
                <w:color w:val="FF0000"/>
                <w:kern w:val="2"/>
                <w:szCs w:val="24"/>
                <w:u w:val="none"/>
              </w:rPr>
              <w:t>混凝土</w:t>
            </w:r>
            <w:r>
              <w:rPr>
                <w:rFonts w:hint="eastAsia" w:hAnsi="Times New Roman"/>
                <w:color w:val="FF0000"/>
                <w:kern w:val="2"/>
                <w:szCs w:val="24"/>
                <w:u w:val="none"/>
                <w:lang w:val="en-US" w:eastAsia="zh-CN"/>
              </w:rPr>
              <w:t>均</w:t>
            </w:r>
            <w:r>
              <w:rPr>
                <w:rFonts w:hint="eastAsia" w:hAnsi="Times New Roman"/>
                <w:color w:val="FF0000"/>
                <w:kern w:val="2"/>
                <w:szCs w:val="24"/>
                <w:u w:val="none"/>
              </w:rPr>
              <w:t>为外购商混，施工</w:t>
            </w:r>
            <w:r>
              <w:rPr>
                <w:rFonts w:hint="eastAsia" w:hAnsi="Times New Roman"/>
                <w:color w:val="FF0000"/>
                <w:kern w:val="2"/>
                <w:szCs w:val="24"/>
                <w:u w:val="none"/>
                <w:lang w:val="en-US" w:eastAsia="zh-CN"/>
              </w:rPr>
              <w:t>现场不设置</w:t>
            </w:r>
            <w:r>
              <w:rPr>
                <w:rFonts w:hint="eastAsia" w:hAnsi="Times New Roman"/>
                <w:color w:val="FF0000"/>
                <w:kern w:val="2"/>
                <w:szCs w:val="24"/>
                <w:u w:val="none"/>
              </w:rPr>
              <w:t>混凝土</w:t>
            </w:r>
            <w:r>
              <w:rPr>
                <w:rFonts w:hint="eastAsia" w:hAnsi="Times New Roman"/>
                <w:color w:val="FF0000"/>
                <w:kern w:val="2"/>
                <w:szCs w:val="24"/>
                <w:u w:val="none"/>
                <w:lang w:val="en-US" w:eastAsia="zh-CN"/>
              </w:rPr>
              <w:t>拌和</w:t>
            </w:r>
            <w:r>
              <w:rPr>
                <w:rFonts w:hint="eastAsia" w:hAnsi="Times New Roman"/>
                <w:color w:val="FF0000"/>
                <w:kern w:val="2"/>
                <w:szCs w:val="24"/>
                <w:u w:val="none"/>
              </w:rPr>
              <w:t>站。</w:t>
            </w:r>
          </w:p>
          <w:p w14:paraId="50818699">
            <w:pPr>
              <w:pStyle w:val="58"/>
              <w:ind w:firstLine="0" w:firstLineChars="0"/>
              <w:jc w:val="center"/>
              <w:rPr>
                <w:rFonts w:hAnsi="Times New Roman"/>
                <w:kern w:val="2"/>
                <w:sz w:val="21"/>
                <w:szCs w:val="21"/>
                <w:u w:val="none"/>
              </w:rPr>
            </w:pPr>
            <w:r>
              <w:rPr>
                <w:u w:val="none"/>
              </w:rPr>
              <w:object>
                <v:shape id="_x0000_i1025" o:spt="75" type="#_x0000_t75" style="height:353pt;width:430.95pt;" o:ole="t" filled="f" o:preferrelative="t" stroked="f" coordsize="21600,21600">
                  <v:path/>
                  <v:fill on="f" focussize="0,0"/>
                  <v:stroke on="f" joinstyle="miter"/>
                  <v:imagedata r:id="rId20" o:title=""/>
                  <o:lock v:ext="edit" aspectratio="t"/>
                  <w10:wrap type="none"/>
                  <w10:anchorlock/>
                </v:shape>
                <o:OLEObject Type="Embed" ProgID="Visio.Drawing.15" ShapeID="_x0000_i1025" DrawAspect="Content" ObjectID="_1468075725" r:id="rId19">
                  <o:LockedField>false</o:LockedField>
                </o:OLEObject>
              </w:object>
            </w:r>
            <w:r>
              <w:rPr>
                <w:rFonts w:hAnsi="Times New Roman"/>
                <w:b/>
                <w:bCs/>
                <w:color w:val="FF0000"/>
                <w:kern w:val="2"/>
                <w:sz w:val="21"/>
                <w:szCs w:val="21"/>
                <w:u w:val="none"/>
              </w:rPr>
              <w:t>图</w:t>
            </w:r>
            <w:r>
              <w:rPr>
                <w:rFonts w:hint="eastAsia" w:hAnsi="Times New Roman"/>
                <w:b/>
                <w:bCs/>
                <w:color w:val="FF0000"/>
                <w:kern w:val="2"/>
                <w:sz w:val="21"/>
                <w:szCs w:val="21"/>
                <w:u w:val="none"/>
              </w:rPr>
              <w:t>2</w:t>
            </w:r>
            <w:r>
              <w:rPr>
                <w:rFonts w:hint="eastAsia" w:hAnsi="Times New Roman"/>
                <w:b/>
                <w:bCs/>
                <w:color w:val="FF0000"/>
                <w:kern w:val="2"/>
                <w:sz w:val="21"/>
                <w:szCs w:val="21"/>
                <w:u w:val="none"/>
                <w:lang w:val="en-US" w:eastAsia="zh-CN"/>
              </w:rPr>
              <w:t xml:space="preserve">-4  </w:t>
            </w:r>
            <w:r>
              <w:rPr>
                <w:rFonts w:hAnsi="Times New Roman"/>
                <w:b/>
                <w:bCs/>
                <w:color w:val="FF0000"/>
                <w:kern w:val="2"/>
                <w:sz w:val="21"/>
                <w:szCs w:val="21"/>
                <w:u w:val="none"/>
              </w:rPr>
              <w:t>施工工序及产污节点示意图</w:t>
            </w:r>
          </w:p>
          <w:p w14:paraId="7E20CB94">
            <w:pPr>
              <w:pStyle w:val="58"/>
              <w:rPr>
                <w:rFonts w:hAnsi="Times New Roman"/>
                <w:kern w:val="2"/>
                <w:szCs w:val="24"/>
                <w:u w:val="none"/>
              </w:rPr>
            </w:pPr>
            <w:r>
              <w:rPr>
                <w:rFonts w:hAnsi="Times New Roman"/>
                <w:kern w:val="2"/>
                <w:szCs w:val="24"/>
                <w:u w:val="none"/>
              </w:rPr>
              <w:t>施工期工艺流程</w:t>
            </w:r>
            <w:r>
              <w:rPr>
                <w:rFonts w:hint="eastAsia" w:hAnsi="Times New Roman"/>
                <w:kern w:val="2"/>
                <w:szCs w:val="24"/>
                <w:u w:val="none"/>
              </w:rPr>
              <w:t>为</w:t>
            </w:r>
            <w:r>
              <w:rPr>
                <w:rFonts w:hAnsi="Times New Roman"/>
                <w:kern w:val="2"/>
                <w:szCs w:val="24"/>
                <w:u w:val="none"/>
              </w:rPr>
              <w:t>：施工前期准备→施工道路及场地平整→风电机组基础施工及</w:t>
            </w:r>
            <w:r>
              <w:rPr>
                <w:rFonts w:hint="eastAsia" w:hAnsi="Times New Roman"/>
                <w:kern w:val="2"/>
                <w:szCs w:val="24"/>
                <w:u w:val="none"/>
              </w:rPr>
              <w:t>升压站</w:t>
            </w:r>
            <w:r>
              <w:rPr>
                <w:rFonts w:hAnsi="Times New Roman"/>
                <w:kern w:val="2"/>
                <w:szCs w:val="24"/>
                <w:u w:val="none"/>
              </w:rPr>
              <w:t>土建施工→风电机组安装、电力电缆铺设及</w:t>
            </w:r>
            <w:r>
              <w:rPr>
                <w:rFonts w:hint="eastAsia" w:hAnsi="Times New Roman"/>
                <w:kern w:val="2"/>
                <w:szCs w:val="24"/>
                <w:u w:val="none"/>
              </w:rPr>
              <w:t>升压站</w:t>
            </w:r>
            <w:r>
              <w:rPr>
                <w:rFonts w:hAnsi="Times New Roman"/>
                <w:kern w:val="2"/>
                <w:szCs w:val="24"/>
                <w:u w:val="none"/>
              </w:rPr>
              <w:t>电气设备安装、调试→风电机组调试、发电投产→工程竣工。</w:t>
            </w:r>
          </w:p>
          <w:p w14:paraId="101FC0F8">
            <w:pPr>
              <w:spacing w:line="360" w:lineRule="auto"/>
              <w:jc w:val="left"/>
              <w:rPr>
                <w:rFonts w:hint="eastAsia"/>
                <w:b/>
                <w:bCs/>
                <w:sz w:val="24"/>
                <w:u w:val="none"/>
                <w:lang w:val="en-US" w:eastAsia="zh-CN"/>
              </w:rPr>
            </w:pPr>
            <w:r>
              <w:rPr>
                <w:rFonts w:hint="eastAsia"/>
                <w:b/>
                <w:bCs/>
                <w:sz w:val="24"/>
                <w:u w:val="none"/>
                <w:lang w:val="en-US" w:eastAsia="zh-CN"/>
              </w:rPr>
              <w:t>7、施工方式</w:t>
            </w:r>
          </w:p>
          <w:p w14:paraId="165EB1FF">
            <w:pPr>
              <w:adjustRightInd w:val="0"/>
              <w:snapToGrid w:val="0"/>
              <w:spacing w:line="360" w:lineRule="auto"/>
              <w:ind w:firstLine="480" w:firstLineChars="200"/>
              <w:jc w:val="left"/>
              <w:rPr>
                <w:sz w:val="24"/>
                <w:u w:val="none"/>
              </w:rPr>
            </w:pPr>
            <w:r>
              <w:rPr>
                <w:rFonts w:hint="eastAsia"/>
                <w:sz w:val="24"/>
                <w:u w:val="none"/>
              </w:rPr>
              <w:t>根据施工进程合理安排施工进度，破土一处完工一处的原则，禁止大范围全面铺开施工，导致施工现场管理混乱、施工弃土随意堆放、水土流失严重等现象发生。进行破土施工前，需先做好施工计划，规划土方运输路线，提前按水土保持要求完成弃渣场建设等。进场前应加强施工人员管理教育，制定必要的奖惩措施，</w:t>
            </w:r>
            <w:r>
              <w:rPr>
                <w:rFonts w:hint="eastAsia"/>
                <w:sz w:val="24"/>
                <w:u w:val="none"/>
                <w:lang w:eastAsia="zh-CN"/>
              </w:rPr>
              <w:t>杜绝</w:t>
            </w:r>
            <w:r>
              <w:rPr>
                <w:rFonts w:hint="eastAsia"/>
                <w:sz w:val="24"/>
                <w:u w:val="none"/>
              </w:rPr>
              <w:t>野蛮施工行为发生。设置表土存放区，统一管理表层土。</w:t>
            </w:r>
          </w:p>
          <w:p w14:paraId="7D1AE084">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1</w:t>
            </w:r>
            <w:r>
              <w:rPr>
                <w:rFonts w:hint="eastAsia"/>
                <w:b/>
                <w:bCs/>
                <w:sz w:val="24"/>
                <w:u w:val="none"/>
                <w:lang w:eastAsia="zh-CN"/>
              </w:rPr>
              <w:t>）</w:t>
            </w:r>
            <w:r>
              <w:rPr>
                <w:rFonts w:hint="eastAsia"/>
                <w:b/>
                <w:bCs/>
                <w:sz w:val="24"/>
                <w:u w:val="none"/>
              </w:rPr>
              <w:t>道路工程</w:t>
            </w:r>
          </w:p>
          <w:p w14:paraId="2D69CCF0">
            <w:pPr>
              <w:spacing w:line="360" w:lineRule="auto"/>
              <w:ind w:firstLine="480" w:firstLineChars="200"/>
              <w:jc w:val="left"/>
              <w:rPr>
                <w:sz w:val="24"/>
                <w:u w:val="none"/>
              </w:rPr>
            </w:pPr>
            <w:r>
              <w:rPr>
                <w:rFonts w:hint="eastAsia"/>
                <w:sz w:val="24"/>
                <w:u w:val="none"/>
              </w:rPr>
              <w:t>本项目运输方式采用特种车辆运输，满足施工、设备运输、安装的需要，场内道路设计标准为等外道路：道路路面宽</w:t>
            </w:r>
            <w:r>
              <w:rPr>
                <w:rFonts w:hint="eastAsia"/>
                <w:sz w:val="24"/>
                <w:u w:val="none"/>
                <w:lang w:val="en-US" w:eastAsia="zh-CN"/>
              </w:rPr>
              <w:t>7</w:t>
            </w:r>
            <w:r>
              <w:rPr>
                <w:rFonts w:hint="eastAsia"/>
                <w:sz w:val="24"/>
                <w:u w:val="none"/>
              </w:rPr>
              <w:t>.5m，路基宽</w:t>
            </w:r>
            <w:r>
              <w:rPr>
                <w:rFonts w:hint="eastAsia"/>
                <w:sz w:val="24"/>
                <w:u w:val="none"/>
                <w:lang w:val="en-US" w:eastAsia="zh-CN"/>
              </w:rPr>
              <w:t>8</w:t>
            </w:r>
            <w:r>
              <w:rPr>
                <w:rFonts w:hint="eastAsia"/>
                <w:sz w:val="24"/>
                <w:u w:val="none"/>
              </w:rPr>
              <w:t>.5m，采用180mm厚泥结碎石层。平曲线和最小转弯半径应满足风电机长叶片运输及塔筒运输的要求，本阶段考虑最小转弯半径为25m。路基压实度达到93%，道路极限坡度控制在18%以内。最小竖曲线半径为200m。场内道路施工要求根据地势，在必要路段做好道路两侧的排水设施及挡墙、护坡工程，防止山体滑坡等地质灾害。施工完成后保留4.5m宽路面作为永久检修道路路面。</w:t>
            </w:r>
          </w:p>
          <w:p w14:paraId="7FDD7F50">
            <w:pPr>
              <w:spacing w:line="360" w:lineRule="auto"/>
              <w:ind w:firstLine="480" w:firstLineChars="200"/>
              <w:jc w:val="left"/>
              <w:rPr>
                <w:sz w:val="24"/>
                <w:u w:val="none"/>
              </w:rPr>
            </w:pPr>
            <w:r>
              <w:rPr>
                <w:rFonts w:hint="eastAsia"/>
                <w:sz w:val="24"/>
                <w:u w:val="none"/>
              </w:rPr>
              <w:t>道路土方采用挖掘机开挖，石方采用手风钻钻孔爆破，推土机集料，装载机配5t自卸汽车运至道路填方部位或改造道路加宽段，并根据现场开挖后的地质条件，在需要路段砌筑挡墙。对于路段的土石方填筑采用5t自卸汽车卸料，推土机推平，按设计要求采用振动、分层碾压至设计密实度。</w:t>
            </w:r>
          </w:p>
          <w:p w14:paraId="71AE4688">
            <w:pPr>
              <w:spacing w:line="360" w:lineRule="auto"/>
              <w:ind w:firstLine="482" w:firstLineChars="200"/>
              <w:jc w:val="left"/>
              <w:rPr>
                <w:sz w:val="24"/>
                <w:u w:val="none"/>
              </w:rPr>
            </w:pPr>
            <w:r>
              <w:rPr>
                <w:rFonts w:hint="eastAsia"/>
                <w:b/>
                <w:bCs/>
                <w:sz w:val="24"/>
                <w:u w:val="none"/>
                <w:lang w:eastAsia="zh-CN"/>
              </w:rPr>
              <w:t>（</w:t>
            </w:r>
            <w:r>
              <w:rPr>
                <w:rFonts w:hint="eastAsia"/>
                <w:b/>
                <w:bCs/>
                <w:sz w:val="24"/>
                <w:u w:val="none"/>
                <w:lang w:val="en-US" w:eastAsia="zh-CN"/>
              </w:rPr>
              <w:t>2</w:t>
            </w:r>
            <w:r>
              <w:rPr>
                <w:rFonts w:hint="eastAsia"/>
                <w:b/>
                <w:bCs/>
                <w:sz w:val="24"/>
                <w:u w:val="none"/>
                <w:lang w:eastAsia="zh-CN"/>
              </w:rPr>
              <w:t>）</w:t>
            </w:r>
            <w:r>
              <w:rPr>
                <w:rFonts w:hint="eastAsia"/>
                <w:b/>
                <w:bCs/>
                <w:sz w:val="24"/>
                <w:u w:val="none"/>
              </w:rPr>
              <w:t>集电线路施工</w:t>
            </w:r>
          </w:p>
          <w:p w14:paraId="4724B374">
            <w:pPr>
              <w:spacing w:line="360" w:lineRule="auto"/>
              <w:ind w:firstLine="480" w:firstLineChars="200"/>
              <w:jc w:val="left"/>
              <w:rPr>
                <w:b/>
                <w:bCs/>
                <w:sz w:val="24"/>
                <w:u w:val="none"/>
              </w:rPr>
            </w:pPr>
            <w:r>
              <w:rPr>
                <w:rFonts w:hint="eastAsia"/>
                <w:sz w:val="24"/>
                <w:u w:val="none"/>
              </w:rPr>
              <w:t>箱式变电站高压侧均采用并联接线方式。根据风电机组和箱式变电站的布置、容量，以及35kV集电线路走向，本工程1</w:t>
            </w:r>
            <w:r>
              <w:rPr>
                <w:rFonts w:hint="eastAsia"/>
                <w:sz w:val="24"/>
                <w:u w:val="none"/>
                <w:lang w:val="en-US" w:eastAsia="zh-CN"/>
              </w:rPr>
              <w:t>6</w:t>
            </w:r>
            <w:r>
              <w:rPr>
                <w:rFonts w:hint="eastAsia"/>
                <w:sz w:val="24"/>
                <w:u w:val="none"/>
              </w:rPr>
              <w:t>台风电机组-箱式变电站共分为3回采用35kV电缆。风力发电机到风机箱式变的连接电缆采用电缆直埋敷设方式，箱式变之间采用直埋敷设接入</w:t>
            </w:r>
            <w:r>
              <w:rPr>
                <w:rFonts w:hint="eastAsia"/>
                <w:sz w:val="24"/>
                <w:u w:val="none"/>
                <w:lang w:val="en-US" w:eastAsia="zh-CN"/>
              </w:rPr>
              <w:t>22</w:t>
            </w:r>
            <w:r>
              <w:rPr>
                <w:rFonts w:hint="eastAsia"/>
                <w:sz w:val="24"/>
                <w:u w:val="none"/>
              </w:rPr>
              <w:t>0kV升压站，直埋敷设的埋深为800mm。所有电缆按设计要求和相关规范分段施工，直埋敷设部分将电力电缆及光缆等直接埋入，人工回填。电缆沟施工及敷设时要求认真清理平电缆沟底，沟底铺设细砂或筛过的土；直埋电缆施工要求敷设电缆后先用砂回填，将电缆盖住，铺设混凝土板后再回填碎石土，人工夯实。所有电缆分段分项施工完成后，要按设计要求和相关规范进行施工验收。</w:t>
            </w:r>
          </w:p>
          <w:p w14:paraId="338E1E81">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3</w:t>
            </w:r>
            <w:r>
              <w:rPr>
                <w:rFonts w:hint="eastAsia"/>
                <w:b/>
                <w:bCs/>
                <w:sz w:val="24"/>
                <w:u w:val="none"/>
                <w:lang w:eastAsia="zh-CN"/>
              </w:rPr>
              <w:t>）</w:t>
            </w:r>
            <w:r>
              <w:rPr>
                <w:rFonts w:hint="eastAsia"/>
                <w:b/>
                <w:bCs/>
                <w:sz w:val="24"/>
                <w:u w:val="none"/>
              </w:rPr>
              <w:t>风电机组基础施工</w:t>
            </w:r>
          </w:p>
          <w:p w14:paraId="66F78128">
            <w:pPr>
              <w:pStyle w:val="41"/>
              <w:spacing w:line="360" w:lineRule="auto"/>
              <w:ind w:firstLine="480" w:firstLineChars="200"/>
              <w:jc w:val="left"/>
              <w:rPr>
                <w:rFonts w:ascii="Times New Roman" w:hAnsi="Times New Roman" w:eastAsia="宋体" w:cs="Times New Roman"/>
                <w:color w:val="auto"/>
                <w:u w:val="none"/>
              </w:rPr>
            </w:pPr>
            <w:r>
              <w:rPr>
                <w:rFonts w:ascii="Times New Roman" w:hAnsi="Times New Roman" w:eastAsia="宋体" w:cs="Times New Roman"/>
                <w:color w:val="auto"/>
                <w:u w:val="none"/>
              </w:rPr>
              <w:t>本风电场有1</w:t>
            </w:r>
            <w:r>
              <w:rPr>
                <w:rFonts w:hint="eastAsia" w:ascii="Times New Roman" w:hAnsi="Times New Roman" w:eastAsia="宋体" w:cs="Times New Roman"/>
                <w:color w:val="auto"/>
                <w:u w:val="none"/>
                <w:lang w:val="en-US" w:eastAsia="zh-CN"/>
              </w:rPr>
              <w:t>6</w:t>
            </w:r>
            <w:r>
              <w:rPr>
                <w:rFonts w:ascii="Times New Roman" w:hAnsi="Times New Roman" w:eastAsia="宋体" w:cs="Times New Roman"/>
                <w:color w:val="auto"/>
                <w:u w:val="none"/>
              </w:rPr>
              <w:t>台风机，拟采用C40圆形扩展预应力锚栓笼基础。场平区域范围施工前应先采用推土机、反铲清除地表的树墩、树根、草皮等杂物，采用反铲装10t～20t自卸车部分运至指定弃渣场堆放；在场地清表时先将腐殖质土进行收集，运至场内一角进行堆放；并在回填边坡部位修建浆砌石护脚墙拦挡，布设排水措施，再进行土石方的开挖填筑，按“先拦后填”的原则进行施工。</w:t>
            </w:r>
          </w:p>
          <w:p w14:paraId="17C921C5">
            <w:pPr>
              <w:pStyle w:val="41"/>
              <w:spacing w:line="360" w:lineRule="auto"/>
              <w:ind w:firstLine="480" w:firstLineChars="200"/>
              <w:jc w:val="left"/>
              <w:rPr>
                <w:rFonts w:ascii="Times New Roman" w:hAnsi="Times New Roman" w:cs="Times New Roman" w:eastAsiaTheme="minorEastAsia"/>
                <w:color w:val="auto"/>
                <w:kern w:val="0"/>
                <w:u w:val="none"/>
              </w:rPr>
            </w:pPr>
            <w:r>
              <w:rPr>
                <w:rFonts w:ascii="Times New Roman" w:hAnsi="Times New Roman" w:cs="Times New Roman" w:eastAsiaTheme="minorEastAsia"/>
                <w:color w:val="auto"/>
                <w:kern w:val="0"/>
                <w:u w:val="none"/>
              </w:rPr>
              <w:t>基础土石方开挖边坡按1:1控制，采用推土机或反铲剥离集料，一次开挖到位，为减少土料高含水量对施工造成的影响，尽量避免基底土方扰动，场区底部留30.0cm保护层，采用人工开挖；对于岩石基础开挖，应根据岩石特性，现场协调开挖方式，需要爆破要控制好爆破面，同时要做好拦截滚落石方工作。开挖的土方运往施工临时堆渣区堆放，用于土方回填。</w:t>
            </w:r>
          </w:p>
          <w:p w14:paraId="587E92CD">
            <w:pPr>
              <w:pStyle w:val="41"/>
              <w:spacing w:line="360" w:lineRule="auto"/>
              <w:ind w:firstLine="480" w:firstLineChars="200"/>
              <w:jc w:val="left"/>
              <w:rPr>
                <w:rFonts w:ascii="Times New Roman" w:hAnsi="Times New Roman" w:cs="Times New Roman" w:eastAsiaTheme="minorEastAsia"/>
                <w:color w:val="auto"/>
                <w:kern w:val="0"/>
                <w:u w:val="none"/>
              </w:rPr>
            </w:pPr>
            <w:r>
              <w:rPr>
                <w:rFonts w:ascii="Times New Roman" w:hAnsi="Times New Roman" w:cs="Times New Roman" w:eastAsiaTheme="minorEastAsia"/>
                <w:color w:val="auto"/>
                <w:kern w:val="0"/>
                <w:u w:val="none"/>
              </w:rPr>
              <w:t>风电机组承台混凝土采用薄层连续浇筑形式，层厚200mm～250mm。风电机组承台混凝土施工工艺流程如下：浇筑仓面准备(立模、绑钢筋、基础环安装)→质检及仓面验收→混凝土配料→混凝土搅拌→搅拌车运输→泵送混凝土入仓→平仓振捣→洒水养护→拆模→质量检查→修补缺陷。</w:t>
            </w:r>
          </w:p>
          <w:p w14:paraId="61335495">
            <w:pPr>
              <w:pStyle w:val="41"/>
              <w:spacing w:line="360" w:lineRule="auto"/>
              <w:ind w:firstLine="480" w:firstLineChars="200"/>
              <w:jc w:val="left"/>
              <w:rPr>
                <w:rFonts w:ascii="Times New Roman" w:hAnsi="Times New Roman" w:cs="Times New Roman" w:eastAsiaTheme="minorEastAsia"/>
                <w:color w:val="auto"/>
                <w:kern w:val="0"/>
                <w:u w:val="none"/>
              </w:rPr>
            </w:pPr>
            <w:r>
              <w:rPr>
                <w:rFonts w:ascii="Times New Roman" w:hAnsi="Times New Roman" w:cs="Times New Roman" w:eastAsiaTheme="minorEastAsia"/>
                <w:color w:val="auto"/>
                <w:kern w:val="0"/>
                <w:u w:val="none"/>
              </w:rPr>
              <w:t>风电机组安装平台施工主要为土方填筑及碾压</w:t>
            </w:r>
            <w:r>
              <w:rPr>
                <w:rFonts w:hint="eastAsia" w:ascii="Times New Roman" w:hAnsi="Times New Roman" w:cs="Times New Roman" w:eastAsiaTheme="minorEastAsia"/>
                <w:color w:val="auto"/>
                <w:kern w:val="0"/>
                <w:u w:val="none"/>
              </w:rPr>
              <w:t>。</w:t>
            </w:r>
            <w:r>
              <w:rPr>
                <w:rFonts w:ascii="Times New Roman" w:hAnsi="Times New Roman" w:cs="Times New Roman" w:eastAsiaTheme="minorEastAsia"/>
                <w:color w:val="auto"/>
                <w:kern w:val="0"/>
                <w:u w:val="none"/>
              </w:rPr>
              <w:t>采用20t自卸汽车从风机附近土料场运送土料至填筑区，推土机推平后，16t振动碾碾压，边角部位用1.0t手扶式振动碾碾压，斜坡采用10t牵引式斜坡振动碾碾压，再铺碎石。碾压的施工参数，由现场根据碾压试验后填土料的密实度确定。</w:t>
            </w:r>
          </w:p>
          <w:p w14:paraId="287A1408">
            <w:pPr>
              <w:adjustRightInd w:val="0"/>
              <w:spacing w:line="360" w:lineRule="auto"/>
              <w:ind w:firstLine="480" w:firstLineChars="200"/>
              <w:jc w:val="left"/>
              <w:rPr>
                <w:rFonts w:eastAsiaTheme="minorEastAsia"/>
                <w:kern w:val="0"/>
                <w:sz w:val="24"/>
                <w:u w:val="none"/>
              </w:rPr>
            </w:pPr>
            <w:r>
              <w:rPr>
                <w:rFonts w:eastAsiaTheme="minorEastAsia"/>
                <w:kern w:val="0"/>
                <w:sz w:val="24"/>
                <w:u w:val="none"/>
              </w:rPr>
              <w:t>锚栓笼安装工艺流程：准备工作→安装下锚板→安装上锚板→穿入其余锚栓→调整上、下锚板同心→调整上锚板水平→锚栓组合件加固。</w:t>
            </w:r>
          </w:p>
          <w:p w14:paraId="2B6BA47B">
            <w:pPr>
              <w:adjustRightInd w:val="0"/>
              <w:spacing w:line="360" w:lineRule="auto"/>
              <w:ind w:firstLine="482" w:firstLineChars="200"/>
              <w:jc w:val="left"/>
              <w:rPr>
                <w:rFonts w:eastAsiaTheme="minorEastAsia"/>
                <w:b/>
                <w:bCs/>
                <w:kern w:val="0"/>
                <w:sz w:val="24"/>
                <w:u w:val="none"/>
              </w:rPr>
            </w:pPr>
            <w:r>
              <w:rPr>
                <w:rFonts w:hint="eastAsia" w:eastAsiaTheme="minorEastAsia"/>
                <w:b/>
                <w:bCs/>
                <w:kern w:val="0"/>
                <w:sz w:val="24"/>
                <w:u w:val="none"/>
                <w:lang w:eastAsia="zh-CN"/>
              </w:rPr>
              <w:t>（</w:t>
            </w:r>
            <w:r>
              <w:rPr>
                <w:rFonts w:hint="eastAsia" w:eastAsiaTheme="minorEastAsia"/>
                <w:b/>
                <w:bCs/>
                <w:kern w:val="0"/>
                <w:sz w:val="24"/>
                <w:u w:val="none"/>
                <w:lang w:val="en-US" w:eastAsia="zh-CN"/>
              </w:rPr>
              <w:t>4</w:t>
            </w:r>
            <w:r>
              <w:rPr>
                <w:rFonts w:hint="eastAsia" w:eastAsiaTheme="minorEastAsia"/>
                <w:b/>
                <w:bCs/>
                <w:kern w:val="0"/>
                <w:sz w:val="24"/>
                <w:u w:val="none"/>
                <w:lang w:eastAsia="zh-CN"/>
              </w:rPr>
              <w:t>）</w:t>
            </w:r>
            <w:r>
              <w:rPr>
                <w:rFonts w:hint="eastAsia" w:eastAsiaTheme="minorEastAsia"/>
                <w:b/>
                <w:bCs/>
                <w:kern w:val="0"/>
                <w:sz w:val="24"/>
                <w:u w:val="none"/>
              </w:rPr>
              <w:t>箱式变压器基础施工</w:t>
            </w:r>
          </w:p>
          <w:p w14:paraId="7EC0ACDD">
            <w:pPr>
              <w:spacing w:line="360" w:lineRule="auto"/>
              <w:ind w:firstLine="480" w:firstLineChars="200"/>
              <w:rPr>
                <w:rFonts w:eastAsiaTheme="minorEastAsia"/>
                <w:kern w:val="0"/>
                <w:sz w:val="24"/>
                <w:u w:val="none"/>
              </w:rPr>
            </w:pPr>
            <w:r>
              <w:rPr>
                <w:rFonts w:hint="eastAsia" w:eastAsiaTheme="minorEastAsia"/>
                <w:kern w:val="0"/>
                <w:sz w:val="24"/>
                <w:u w:val="none"/>
              </w:rPr>
              <w:t>每组风电机组配置一台升压变压器，共计1</w:t>
            </w:r>
            <w:r>
              <w:rPr>
                <w:rFonts w:hint="eastAsia" w:eastAsiaTheme="minorEastAsia"/>
                <w:kern w:val="0"/>
                <w:sz w:val="24"/>
                <w:u w:val="none"/>
                <w:lang w:val="en-US" w:eastAsia="zh-CN"/>
              </w:rPr>
              <w:t>6</w:t>
            </w:r>
            <w:r>
              <w:rPr>
                <w:rFonts w:hint="eastAsia" w:eastAsiaTheme="minorEastAsia"/>
                <w:kern w:val="0"/>
                <w:sz w:val="24"/>
                <w:u w:val="none"/>
              </w:rPr>
              <w:t>台。升压变压器外形尺寸较小，设备自重较轻，采用天然地基。风机变压器基础为地面以上基础，基础底离地面高度为0.8m，基础形式为砖混箱形基础，平面尺寸为5.2m×3.0m，混凝土强度等级为C25。考虑箱变位于风机附近，在风机结冰的情况下，可能发生冰块掉落砸坏箱变的情况，造成安全事故，故箱变顶部需增设顶罩，并对其结构加强、加固，保证冰块掉落不会砸坏箱变，造成安全事故。</w:t>
            </w:r>
          </w:p>
          <w:p w14:paraId="57E22F4A">
            <w:pPr>
              <w:adjustRightInd w:val="0"/>
              <w:spacing w:line="360" w:lineRule="auto"/>
              <w:ind w:firstLine="480" w:firstLineChars="200"/>
              <w:jc w:val="left"/>
              <w:rPr>
                <w:b/>
                <w:bCs/>
                <w:sz w:val="28"/>
                <w:szCs w:val="36"/>
                <w:u w:val="none"/>
              </w:rPr>
            </w:pPr>
            <w:r>
              <w:rPr>
                <w:rFonts w:hint="eastAsia" w:eastAsiaTheme="minorEastAsia"/>
                <w:kern w:val="0"/>
                <w:sz w:val="24"/>
                <w:u w:val="none"/>
              </w:rPr>
              <w:t>混凝土由混凝土拌和站供料，用6m</w:t>
            </w:r>
            <w:r>
              <w:rPr>
                <w:rFonts w:hint="eastAsia" w:eastAsiaTheme="minorEastAsia"/>
                <w:kern w:val="0"/>
                <w:sz w:val="24"/>
                <w:u w:val="none"/>
                <w:vertAlign w:val="superscript"/>
              </w:rPr>
              <w:t>3</w:t>
            </w:r>
            <w:r>
              <w:rPr>
                <w:rFonts w:hint="eastAsia" w:eastAsiaTheme="minorEastAsia"/>
                <w:kern w:val="0"/>
                <w:sz w:val="24"/>
                <w:u w:val="none"/>
              </w:rPr>
              <w:t>自卸汽车运至浇筑点转卧罐，在箱变基础旁设一汽车吊进行垂直运输，在混凝土浇筑范围内，铺设平面脚手架仓面，直接将混凝土利用溜筒倒入仓面，人工平仓，振捣器振捣。</w:t>
            </w:r>
          </w:p>
          <w:p w14:paraId="50287E45">
            <w:pPr>
              <w:spacing w:line="360" w:lineRule="auto"/>
              <w:ind w:firstLine="482" w:firstLineChars="200"/>
              <w:rPr>
                <w:b/>
                <w:bCs/>
                <w:sz w:val="24"/>
                <w:u w:val="none"/>
              </w:rPr>
            </w:pPr>
            <w:r>
              <w:rPr>
                <w:rFonts w:hint="eastAsia"/>
                <w:b/>
                <w:bCs/>
                <w:sz w:val="24"/>
                <w:u w:val="none"/>
                <w:lang w:eastAsia="zh-CN"/>
              </w:rPr>
              <w:t>（</w:t>
            </w:r>
            <w:r>
              <w:rPr>
                <w:rFonts w:hint="eastAsia"/>
                <w:b/>
                <w:bCs/>
                <w:sz w:val="24"/>
                <w:u w:val="none"/>
                <w:lang w:val="en-US" w:eastAsia="zh-CN"/>
              </w:rPr>
              <w:t>5</w:t>
            </w:r>
            <w:r>
              <w:rPr>
                <w:rFonts w:hint="eastAsia"/>
                <w:b/>
                <w:bCs/>
                <w:sz w:val="24"/>
                <w:u w:val="none"/>
                <w:lang w:eastAsia="zh-CN"/>
              </w:rPr>
              <w:t>）</w:t>
            </w:r>
            <w:r>
              <w:rPr>
                <w:rFonts w:hint="eastAsia"/>
                <w:b/>
                <w:bCs/>
                <w:sz w:val="24"/>
                <w:u w:val="none"/>
              </w:rPr>
              <w:t>风机安装</w:t>
            </w:r>
          </w:p>
          <w:p w14:paraId="7CEEEEF3">
            <w:pPr>
              <w:spacing w:line="360" w:lineRule="auto"/>
              <w:ind w:firstLine="480" w:firstLineChars="200"/>
              <w:rPr>
                <w:rFonts w:eastAsiaTheme="minorEastAsia"/>
                <w:kern w:val="0"/>
                <w:sz w:val="24"/>
                <w:u w:val="none"/>
              </w:rPr>
            </w:pPr>
            <w:r>
              <w:rPr>
                <w:rFonts w:hint="eastAsia" w:eastAsiaTheme="minorEastAsia"/>
                <w:kern w:val="0"/>
                <w:sz w:val="24"/>
                <w:u w:val="none"/>
              </w:rPr>
              <w:t>风机安装包括塔筒、机舱及叶片的安装。</w:t>
            </w:r>
          </w:p>
          <w:p w14:paraId="4FC3D380">
            <w:pPr>
              <w:spacing w:line="360" w:lineRule="auto"/>
              <w:ind w:firstLine="480" w:firstLineChars="200"/>
              <w:rPr>
                <w:rFonts w:eastAsiaTheme="minorEastAsia"/>
                <w:kern w:val="0"/>
                <w:sz w:val="24"/>
                <w:u w:val="none"/>
              </w:rPr>
            </w:pPr>
            <w:r>
              <w:rPr>
                <w:rFonts w:hint="eastAsia" w:eastAsiaTheme="minorEastAsia"/>
                <w:kern w:val="0"/>
                <w:sz w:val="24"/>
                <w:u w:val="none"/>
              </w:rPr>
              <w:t>先将塔筒运到每个机组吊装场内，分节吊装就位后，再将机舱及叶片运到吊装场内摆放到位，分步施工。所有风机设备随吊随运，避免二次倒运。</w:t>
            </w:r>
          </w:p>
          <w:p w14:paraId="5FBF45D9">
            <w:pPr>
              <w:spacing w:line="360" w:lineRule="auto"/>
              <w:ind w:firstLine="480" w:firstLineChars="200"/>
              <w:rPr>
                <w:rFonts w:eastAsiaTheme="minorEastAsia"/>
                <w:kern w:val="0"/>
                <w:sz w:val="24"/>
                <w:u w:val="none"/>
              </w:rPr>
            </w:pPr>
            <w:r>
              <w:rPr>
                <w:rFonts w:hint="eastAsia" w:eastAsiaTheme="minorEastAsia"/>
                <w:kern w:val="0"/>
                <w:sz w:val="24"/>
                <w:u w:val="none"/>
              </w:rPr>
              <w:t>本工程共安装塔筒1</w:t>
            </w:r>
            <w:r>
              <w:rPr>
                <w:rFonts w:hint="eastAsia" w:eastAsiaTheme="minorEastAsia"/>
                <w:kern w:val="0"/>
                <w:sz w:val="24"/>
                <w:u w:val="none"/>
                <w:lang w:val="en-US" w:eastAsia="zh-CN"/>
              </w:rPr>
              <w:t>6</w:t>
            </w:r>
            <w:r>
              <w:rPr>
                <w:rFonts w:hint="eastAsia" w:eastAsiaTheme="minorEastAsia"/>
                <w:kern w:val="0"/>
                <w:sz w:val="24"/>
                <w:u w:val="none"/>
              </w:rPr>
              <w:t>套。塔筒每两段之间用法兰盘连接。塔筒分段运输到</w:t>
            </w:r>
            <w:r>
              <w:rPr>
                <w:rFonts w:hint="eastAsia" w:eastAsiaTheme="minorEastAsia"/>
                <w:kern w:val="0"/>
                <w:sz w:val="24"/>
                <w:u w:val="none"/>
                <w:lang w:eastAsia="zh-CN"/>
              </w:rPr>
              <w:t>现场</w:t>
            </w:r>
            <w:r>
              <w:rPr>
                <w:rFonts w:hint="eastAsia" w:eastAsiaTheme="minorEastAsia"/>
                <w:kern w:val="0"/>
                <w:sz w:val="24"/>
                <w:u w:val="none"/>
              </w:rPr>
              <w:t>，采用1200t汽车吊为主吊，配260t汽车吊为辅吊。塔筒要分段吊装，由下至上逐节安装，调整好后，按设备安装技术要求紧固连接螺栓。</w:t>
            </w:r>
          </w:p>
          <w:p w14:paraId="4FACD768">
            <w:pPr>
              <w:spacing w:line="360" w:lineRule="auto"/>
              <w:ind w:firstLine="480" w:firstLineChars="200"/>
              <w:rPr>
                <w:rFonts w:eastAsiaTheme="minorEastAsia"/>
                <w:kern w:val="0"/>
                <w:sz w:val="24"/>
                <w:u w:val="none"/>
              </w:rPr>
            </w:pPr>
            <w:r>
              <w:rPr>
                <w:rFonts w:hint="eastAsia" w:eastAsiaTheme="minorEastAsia"/>
                <w:kern w:val="0"/>
                <w:sz w:val="24"/>
                <w:u w:val="none"/>
              </w:rPr>
              <w:t>风轮组装需要在吊装机舱前完成。在地面上将三个叶片与风轮轮毂连接好，并调好叶片安装角。提升过程中，应保持机舱水平，如果产生较大的倾斜，应将机舱重新放下，矫正后再起吊。机舱应完全坐在塔筒法兰盘上，以保证制动垫圈位于塔筒法兰盘的中心。按设备安装技术要求，将连接螺栓拧紧，扭矩达到预定值。</w:t>
            </w:r>
          </w:p>
          <w:p w14:paraId="4BC66BA7">
            <w:pPr>
              <w:spacing w:line="360" w:lineRule="auto"/>
              <w:ind w:firstLine="480" w:firstLineChars="200"/>
              <w:rPr>
                <w:rFonts w:eastAsiaTheme="minorEastAsia"/>
                <w:kern w:val="0"/>
                <w:sz w:val="24"/>
                <w:u w:val="none"/>
              </w:rPr>
            </w:pPr>
            <w:r>
              <w:rPr>
                <w:rFonts w:hint="eastAsia" w:eastAsiaTheme="minorEastAsia"/>
                <w:kern w:val="0"/>
                <w:sz w:val="24"/>
                <w:u w:val="none"/>
              </w:rPr>
              <w:t>风机叶片由加长的平板拖车运输到安装现场。为了防止叶片与地面的接触，应使用运输支架将其固定。在运输时，每个叶片的排列之间必须保证相隔足够的距离，特别是叶尖与车板面之间至少距离40cm。风速是影响风电机组安装的主要因素，当风速超10m/s(气象站标准)时不允许安装叶轮。叶轮组装前，必须对叶片进行全面的检查，以查明其在运输过程中有否损坏，还应对叶片法兰和轮毂法兰进行清理。禁止不经全面检查的叶片，直接组装叶轮。叶轮在地面组装，用两小吊车配合吊装，将叶片的法兰一一对正于轮毂相应的法兰处，校对法兰安装中心，按设备安装技术要求紧固连接螺栓。叶轮整体吊装时，综合考虑吊车宽度，现场风速，安全，采用1200t汽车吊为主吊，配260t汽车吊为辅吊。为了避免叶片在提升过程中摆动，用圆环绳索分别套在三片叶片上，每片叶片用3～6名装配人员在地面上拉住。与吊装塔筒相似方法将带叶轮起吊并安装到机舱的法兰上，按设备安装技术要求紧固连接螺栓。</w:t>
            </w:r>
          </w:p>
          <w:p w14:paraId="0C1394F7">
            <w:pPr>
              <w:pStyle w:val="58"/>
              <w:ind w:firstLine="482" w:firstLineChars="200"/>
              <w:rPr>
                <w:b/>
                <w:bCs/>
                <w:szCs w:val="24"/>
                <w:u w:val="none"/>
              </w:rPr>
            </w:pPr>
            <w:r>
              <w:rPr>
                <w:rFonts w:hint="eastAsia"/>
                <w:b/>
                <w:bCs/>
                <w:szCs w:val="24"/>
                <w:u w:val="none"/>
                <w:lang w:eastAsia="zh-CN"/>
              </w:rPr>
              <w:t>（</w:t>
            </w:r>
            <w:r>
              <w:rPr>
                <w:rFonts w:hint="eastAsia"/>
                <w:b/>
                <w:bCs/>
                <w:szCs w:val="24"/>
                <w:u w:val="none"/>
                <w:lang w:val="en-US" w:eastAsia="zh-CN"/>
              </w:rPr>
              <w:t>6</w:t>
            </w:r>
            <w:r>
              <w:rPr>
                <w:rFonts w:hint="eastAsia"/>
                <w:b/>
                <w:bCs/>
                <w:szCs w:val="24"/>
                <w:u w:val="none"/>
                <w:lang w:eastAsia="zh-CN"/>
              </w:rPr>
              <w:t>）</w:t>
            </w:r>
            <w:r>
              <w:rPr>
                <w:rFonts w:hint="eastAsia"/>
                <w:b/>
                <w:bCs/>
                <w:szCs w:val="24"/>
                <w:u w:val="none"/>
              </w:rPr>
              <w:t>升压站施工</w:t>
            </w:r>
          </w:p>
          <w:p w14:paraId="2126C735">
            <w:pPr>
              <w:pStyle w:val="58"/>
              <w:rPr>
                <w:rFonts w:hAnsi="Times New Roman"/>
                <w:kern w:val="2"/>
                <w:szCs w:val="24"/>
                <w:u w:val="none"/>
              </w:rPr>
            </w:pPr>
            <w:r>
              <w:rPr>
                <w:rFonts w:hAnsi="Times New Roman"/>
                <w:kern w:val="2"/>
                <w:szCs w:val="24"/>
                <w:u w:val="none"/>
              </w:rPr>
              <w:t>1）</w:t>
            </w:r>
            <w:r>
              <w:rPr>
                <w:rFonts w:hint="eastAsia" w:hAnsi="Times New Roman"/>
                <w:kern w:val="2"/>
                <w:szCs w:val="24"/>
                <w:u w:val="none"/>
              </w:rPr>
              <w:t>土建工程施工</w:t>
            </w:r>
          </w:p>
          <w:p w14:paraId="449B4BC2">
            <w:pPr>
              <w:pStyle w:val="58"/>
              <w:rPr>
                <w:rFonts w:hAnsi="Times New Roman"/>
                <w:kern w:val="2"/>
                <w:szCs w:val="24"/>
                <w:u w:val="none"/>
              </w:rPr>
            </w:pPr>
            <w:r>
              <w:rPr>
                <w:rFonts w:hint="eastAsia" w:hAnsi="Times New Roman"/>
                <w:kern w:val="2"/>
                <w:szCs w:val="24"/>
                <w:u w:val="none"/>
              </w:rPr>
              <w:t>基础土石方开挖采用推土机或反铲剥离集料，一次开挖到位，为减少土料高含水量对施工造成的影响，尽量避免基底土方扰动，基坑底部留30cm保护层，采用人工开挖。开挖的土方运往施工临时堆渣区堆放，用于土方回填。混凝土由HZS35型混凝土拌和站供料，用6m</w:t>
            </w:r>
            <w:r>
              <w:rPr>
                <w:rFonts w:hint="eastAsia" w:hAnsi="Times New Roman"/>
                <w:kern w:val="2"/>
                <w:szCs w:val="24"/>
                <w:u w:val="none"/>
                <w:vertAlign w:val="superscript"/>
              </w:rPr>
              <w:t>3</w:t>
            </w:r>
            <w:r>
              <w:rPr>
                <w:rFonts w:hint="eastAsia" w:hAnsi="Times New Roman"/>
                <w:kern w:val="2"/>
                <w:szCs w:val="24"/>
                <w:u w:val="none"/>
              </w:rPr>
              <w:t>自卸汽车运至浇筑点转卧罐，在110kV升压站建筑场地中心位置设一简易塔机进行垂直运输，在建筑物下部结构铺设平面低脚手架仓面，在上部结构处铺设立体高脚手架仓面。由人工胶轮车在高低脚手架上将混凝土利用溜筒倒入仓面，人工平仓，振捣器振捣。</w:t>
            </w:r>
          </w:p>
          <w:p w14:paraId="2D2F8B36">
            <w:pPr>
              <w:pStyle w:val="58"/>
              <w:rPr>
                <w:rFonts w:hAnsi="Times New Roman"/>
                <w:kern w:val="2"/>
                <w:szCs w:val="24"/>
                <w:u w:val="none"/>
              </w:rPr>
            </w:pPr>
            <w:r>
              <w:rPr>
                <w:rFonts w:hAnsi="Times New Roman"/>
                <w:kern w:val="2"/>
                <w:szCs w:val="24"/>
                <w:u w:val="none"/>
              </w:rPr>
              <w:t>2）</w:t>
            </w:r>
            <w:r>
              <w:rPr>
                <w:rFonts w:hint="eastAsia" w:hAnsi="Times New Roman"/>
                <w:kern w:val="2"/>
                <w:szCs w:val="24"/>
                <w:u w:val="none"/>
              </w:rPr>
              <w:t>升压站设备安装</w:t>
            </w:r>
          </w:p>
          <w:p w14:paraId="61E68F26">
            <w:pPr>
              <w:pStyle w:val="58"/>
              <w:rPr>
                <w:rFonts w:hAnsi="Times New Roman"/>
                <w:kern w:val="2"/>
                <w:szCs w:val="24"/>
                <w:u w:val="none"/>
              </w:rPr>
            </w:pPr>
            <w:r>
              <w:rPr>
                <w:rFonts w:hint="eastAsia" w:hAnsi="Times New Roman"/>
                <w:kern w:val="2"/>
                <w:szCs w:val="24"/>
                <w:u w:val="none"/>
              </w:rPr>
              <w:t>a) 电缆线路安装技术要求</w:t>
            </w:r>
          </w:p>
          <w:p w14:paraId="2B9F87E3">
            <w:pPr>
              <w:pStyle w:val="58"/>
              <w:rPr>
                <w:rFonts w:hAnsi="Times New Roman"/>
                <w:kern w:val="2"/>
                <w:szCs w:val="24"/>
                <w:u w:val="none"/>
              </w:rPr>
            </w:pPr>
            <w:r>
              <w:rPr>
                <w:rFonts w:hint="eastAsia" w:hAnsi="Times New Roman"/>
                <w:kern w:val="2"/>
                <w:szCs w:val="24"/>
                <w:u w:val="none"/>
              </w:rPr>
              <w:t>电缆管的加工敷设，电缆桥架及电缆架的安装，电缆敷设及电缆终端头的制作等均应符合GB50168《电气装置安装工程电缆线路施工及验收规范》的有关规定。</w:t>
            </w:r>
          </w:p>
          <w:p w14:paraId="0E08F407">
            <w:pPr>
              <w:pStyle w:val="58"/>
              <w:rPr>
                <w:rFonts w:hAnsi="Times New Roman"/>
                <w:kern w:val="2"/>
                <w:szCs w:val="24"/>
                <w:u w:val="none"/>
              </w:rPr>
            </w:pPr>
            <w:r>
              <w:rPr>
                <w:rFonts w:hint="eastAsia" w:hAnsi="Times New Roman"/>
                <w:kern w:val="2"/>
                <w:szCs w:val="24"/>
                <w:u w:val="none"/>
              </w:rPr>
              <w:t xml:space="preserve">b) </w:t>
            </w:r>
            <w:r>
              <w:rPr>
                <w:rFonts w:hint="eastAsia" w:hAnsi="Times New Roman"/>
                <w:kern w:val="2"/>
                <w:szCs w:val="24"/>
                <w:u w:val="none"/>
                <w:lang w:val="en-US" w:eastAsia="zh-CN"/>
              </w:rPr>
              <w:t>22</w:t>
            </w:r>
            <w:r>
              <w:rPr>
                <w:rFonts w:hint="eastAsia" w:hAnsi="Times New Roman"/>
                <w:kern w:val="2"/>
                <w:szCs w:val="24"/>
                <w:u w:val="none"/>
              </w:rPr>
              <w:t>0kV主变压器安装技术要求和注意事项</w:t>
            </w:r>
          </w:p>
          <w:p w14:paraId="04974078">
            <w:pPr>
              <w:pStyle w:val="58"/>
              <w:rPr>
                <w:rFonts w:hAnsi="Times New Roman"/>
                <w:kern w:val="2"/>
                <w:szCs w:val="24"/>
                <w:u w:val="none"/>
              </w:rPr>
            </w:pPr>
            <w:r>
              <w:rPr>
                <w:rFonts w:hint="eastAsia" w:hAnsi="Times New Roman"/>
                <w:kern w:val="2"/>
                <w:szCs w:val="24"/>
                <w:u w:val="none"/>
              </w:rPr>
              <w:t>变压器是站内比较重要的设备，变压器的安装质量直接影响升压站的运行质量。变压器安装前要认真阅读施工图和厂家说明书，编制变压器具体细致的作业指导书，并进行技术交底，准备好施工所用机械和材料等。安装过程中要严格按照规范、规程以及作业指导书进行施工。安装时要合理安排工序，提高工作效率，减少暴露时间，安装中注意密封。做好变压器油及附件器身试验，安装后还要进行密封性试验、电抗器的整体试验和局放试验，注油完毕后，还应填写“绝缘油控制点记录”。变压器试验合格后，做好套管的封堵，要求防火、屏蔽、密封且在单个套管穿墙处不能有磁闭合回路。</w:t>
            </w:r>
          </w:p>
          <w:p w14:paraId="2A37FF42">
            <w:pPr>
              <w:spacing w:line="360" w:lineRule="auto"/>
              <w:jc w:val="left"/>
              <w:rPr>
                <w:rFonts w:hint="eastAsia"/>
                <w:b/>
                <w:bCs/>
                <w:sz w:val="24"/>
                <w:u w:val="none"/>
                <w:lang w:val="en-US" w:eastAsia="zh-CN"/>
              </w:rPr>
            </w:pPr>
            <w:r>
              <w:rPr>
                <w:rFonts w:hint="eastAsia"/>
                <w:b/>
                <w:bCs/>
                <w:sz w:val="24"/>
                <w:u w:val="none"/>
                <w:lang w:val="en-US" w:eastAsia="zh-CN"/>
              </w:rPr>
              <w:t>8、施工总进度</w:t>
            </w:r>
          </w:p>
          <w:p w14:paraId="7BC35A04">
            <w:pPr>
              <w:adjustRightInd w:val="0"/>
              <w:snapToGrid w:val="0"/>
              <w:spacing w:line="360" w:lineRule="auto"/>
              <w:ind w:firstLine="480" w:firstLineChars="200"/>
              <w:jc w:val="left"/>
              <w:rPr>
                <w:sz w:val="24"/>
                <w:u w:val="none"/>
              </w:rPr>
            </w:pPr>
            <w:r>
              <w:rPr>
                <w:rFonts w:hint="eastAsia"/>
                <w:sz w:val="24"/>
                <w:u w:val="none"/>
              </w:rPr>
              <w:t>生产设施的施工建设要满足首批机组发电能力的形成，</w:t>
            </w:r>
            <w:r>
              <w:rPr>
                <w:rFonts w:hint="eastAsia" w:eastAsiaTheme="minorEastAsia"/>
                <w:kern w:val="0"/>
                <w:sz w:val="24"/>
                <w:u w:val="none"/>
              </w:rPr>
              <w:t>1</w:t>
            </w:r>
            <w:r>
              <w:rPr>
                <w:rFonts w:hint="eastAsia" w:eastAsiaTheme="minorEastAsia"/>
                <w:kern w:val="0"/>
                <w:sz w:val="24"/>
                <w:u w:val="none"/>
                <w:lang w:val="en-US" w:eastAsia="zh-CN"/>
              </w:rPr>
              <w:t>6</w:t>
            </w:r>
            <w:r>
              <w:rPr>
                <w:rFonts w:hint="eastAsia" w:eastAsiaTheme="minorEastAsia"/>
                <w:kern w:val="0"/>
                <w:sz w:val="24"/>
                <w:u w:val="none"/>
              </w:rPr>
              <w:t>台</w:t>
            </w:r>
            <w:r>
              <w:rPr>
                <w:rFonts w:hint="eastAsia"/>
                <w:sz w:val="24"/>
                <w:u w:val="none"/>
              </w:rPr>
              <w:t>风机逐台安装与调试并投入运行，尽早取得投资效益，根据风力发电机的这种特点，配套工程的施工应有合理顺序，合理安排场内交通道路、土建与机电安装的施工程序，使土建、安装工程施工进度做到连续、均匀有序的进行，以降低施工高峰强度，提高经济效益，满足每安装一台风力发电机就能上网发电的要求，</w:t>
            </w:r>
            <w:r>
              <w:rPr>
                <w:rFonts w:hint="eastAsia"/>
                <w:sz w:val="24"/>
                <w:u w:val="none"/>
                <w:lang w:val="en-US" w:eastAsia="zh-CN"/>
              </w:rPr>
              <w:t>因此</w:t>
            </w:r>
            <w:r>
              <w:rPr>
                <w:rFonts w:hint="eastAsia"/>
                <w:sz w:val="24"/>
                <w:u w:val="none"/>
              </w:rPr>
              <w:t>升压站建设和集电线路敷设安排到风力发电机组安装调试工作开始前完成施工。在保证上述两项工程项目施工规划的原则情况下，其它工程的施工可以同步进行，平行建设。风电场电气设备安装及调试等根据总建筑面积及设备情况，与机组安装相协调安排工期。</w:t>
            </w:r>
          </w:p>
          <w:p w14:paraId="7CBCB2D3">
            <w:pPr>
              <w:adjustRightInd w:val="0"/>
              <w:snapToGrid w:val="0"/>
              <w:spacing w:line="360" w:lineRule="auto"/>
              <w:ind w:firstLine="480" w:firstLineChars="200"/>
              <w:jc w:val="left"/>
              <w:rPr>
                <w:sz w:val="24"/>
                <w:szCs w:val="32"/>
                <w:u w:val="none"/>
              </w:rPr>
            </w:pPr>
            <w:r>
              <w:rPr>
                <w:rFonts w:hint="eastAsia"/>
                <w:sz w:val="24"/>
                <w:u w:val="none"/>
              </w:rPr>
              <w:t>工程筹建期2个月</w:t>
            </w:r>
            <w:r>
              <w:rPr>
                <w:rFonts w:hint="eastAsia"/>
                <w:sz w:val="24"/>
                <w:u w:val="none"/>
                <w:lang w:eastAsia="zh-CN"/>
              </w:rPr>
              <w:t>，</w:t>
            </w:r>
            <w:r>
              <w:rPr>
                <w:rFonts w:hint="eastAsia"/>
                <w:sz w:val="24"/>
                <w:u w:val="none"/>
              </w:rPr>
              <w:t>建设总工期为1</w:t>
            </w:r>
            <w:r>
              <w:rPr>
                <w:rFonts w:hint="eastAsia"/>
                <w:sz w:val="24"/>
                <w:u w:val="none"/>
                <w:lang w:val="en-US" w:eastAsia="zh-CN"/>
              </w:rPr>
              <w:t>2</w:t>
            </w:r>
            <w:r>
              <w:rPr>
                <w:rFonts w:hint="eastAsia"/>
                <w:sz w:val="24"/>
                <w:u w:val="none"/>
              </w:rPr>
              <w:t>个月，主体工程于第1年第1个月开始，第9个月第一台风机发电，第12个月底</w:t>
            </w:r>
            <w:r>
              <w:rPr>
                <w:rFonts w:hint="eastAsia"/>
                <w:sz w:val="24"/>
                <w:u w:val="none"/>
                <w:lang w:val="en-US" w:eastAsia="zh-CN"/>
              </w:rPr>
              <w:t>16台机组</w:t>
            </w:r>
            <w:r>
              <w:rPr>
                <w:rFonts w:hint="eastAsia"/>
                <w:sz w:val="24"/>
                <w:u w:val="none"/>
              </w:rPr>
              <w:t>全部投产发电</w:t>
            </w:r>
            <w:r>
              <w:rPr>
                <w:rFonts w:hint="eastAsia"/>
                <w:sz w:val="24"/>
                <w:u w:val="none"/>
                <w:lang w:eastAsia="zh-CN"/>
              </w:rPr>
              <w:t>，</w:t>
            </w:r>
            <w:r>
              <w:rPr>
                <w:rFonts w:hint="eastAsia"/>
                <w:sz w:val="24"/>
                <w:u w:val="none"/>
                <w:lang w:val="en-US" w:eastAsia="zh-CN"/>
              </w:rPr>
              <w:t>工程完工</w:t>
            </w:r>
            <w:r>
              <w:rPr>
                <w:rFonts w:hint="eastAsia"/>
                <w:sz w:val="24"/>
                <w:u w:val="none"/>
              </w:rPr>
              <w:t>。</w:t>
            </w:r>
          </w:p>
        </w:tc>
      </w:tr>
      <w:tr w14:paraId="54B10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2" w:type="dxa"/>
            <w:vAlign w:val="center"/>
          </w:tcPr>
          <w:p w14:paraId="4D565BCC">
            <w:pPr>
              <w:jc w:val="center"/>
              <w:rPr>
                <w:b/>
                <w:bCs/>
                <w:sz w:val="24"/>
                <w:szCs w:val="32"/>
                <w:u w:val="none"/>
              </w:rPr>
            </w:pPr>
            <w:r>
              <w:rPr>
                <w:rFonts w:hint="eastAsia"/>
                <w:b/>
                <w:bCs/>
                <w:sz w:val="24"/>
                <w:szCs w:val="32"/>
                <w:u w:val="none"/>
              </w:rPr>
              <w:t>其他</w:t>
            </w:r>
          </w:p>
        </w:tc>
        <w:tc>
          <w:tcPr>
            <w:tcW w:w="8835" w:type="dxa"/>
            <w:vAlign w:val="center"/>
          </w:tcPr>
          <w:p w14:paraId="601B8B8B">
            <w:pPr>
              <w:spacing w:line="360" w:lineRule="auto"/>
              <w:jc w:val="center"/>
            </w:pPr>
            <w:r>
              <w:rPr>
                <w:rFonts w:hint="eastAsia"/>
                <w:sz w:val="24"/>
                <w:szCs w:val="32"/>
                <w:u w:val="none"/>
              </w:rPr>
              <w:t>无</w:t>
            </w:r>
          </w:p>
        </w:tc>
      </w:tr>
    </w:tbl>
    <w:p w14:paraId="5D85565F">
      <w:pPr>
        <w:rPr>
          <w:sz w:val="24"/>
          <w:szCs w:val="32"/>
        </w:rPr>
      </w:pPr>
      <w:r>
        <w:rPr>
          <w:rFonts w:hint="eastAsia"/>
          <w:sz w:val="24"/>
          <w:szCs w:val="32"/>
        </w:rPr>
        <w:br w:type="page"/>
      </w:r>
    </w:p>
    <w:p w14:paraId="604BC35E">
      <w:pPr>
        <w:pStyle w:val="3"/>
        <w:numPr>
          <w:ilvl w:val="0"/>
          <w:numId w:val="0"/>
        </w:numPr>
      </w:pPr>
      <w:bookmarkStart w:id="286" w:name="_Toc27545"/>
      <w:bookmarkStart w:id="287" w:name="_Toc17545"/>
      <w:r>
        <w:rPr>
          <w:rFonts w:hint="eastAsia"/>
        </w:rPr>
        <w:t>三、生态环境现状、保护目标及评价标准</w:t>
      </w:r>
      <w:bookmarkEnd w:id="286"/>
      <w:bookmarkEnd w:id="287"/>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8284"/>
      </w:tblGrid>
      <w:tr w14:paraId="48CCBE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4" w:type="dxa"/>
            <w:vAlign w:val="center"/>
          </w:tcPr>
          <w:p w14:paraId="448E1527">
            <w:pPr>
              <w:jc w:val="center"/>
              <w:rPr>
                <w:b/>
                <w:bCs/>
                <w:sz w:val="24"/>
                <w:szCs w:val="32"/>
                <w:u w:val="none"/>
              </w:rPr>
            </w:pPr>
            <w:r>
              <w:rPr>
                <w:rFonts w:hint="eastAsia"/>
                <w:b/>
                <w:bCs/>
                <w:sz w:val="24"/>
                <w:szCs w:val="32"/>
                <w:u w:val="none"/>
              </w:rPr>
              <w:t>生态环境现状</w:t>
            </w:r>
          </w:p>
        </w:tc>
        <w:tc>
          <w:tcPr>
            <w:tcW w:w="8284" w:type="dxa"/>
          </w:tcPr>
          <w:p w14:paraId="1FCF168B">
            <w:pPr>
              <w:spacing w:line="360" w:lineRule="auto"/>
              <w:jc w:val="left"/>
              <w:rPr>
                <w:b/>
                <w:bCs/>
                <w:sz w:val="24"/>
                <w:u w:val="none"/>
              </w:rPr>
            </w:pPr>
            <w:r>
              <w:rPr>
                <w:rFonts w:hint="eastAsia"/>
                <w:b/>
                <w:bCs/>
                <w:sz w:val="24"/>
                <w:u w:val="none"/>
                <w:lang w:val="en-US" w:eastAsia="zh-CN"/>
              </w:rPr>
              <w:t>1、</w:t>
            </w:r>
            <w:r>
              <w:rPr>
                <w:rFonts w:hint="eastAsia"/>
                <w:b/>
                <w:bCs/>
                <w:sz w:val="24"/>
                <w:u w:val="none"/>
              </w:rPr>
              <w:t>功能区划</w:t>
            </w:r>
          </w:p>
          <w:p w14:paraId="3B6BE3FE">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1</w:t>
            </w:r>
            <w:r>
              <w:rPr>
                <w:rFonts w:hint="eastAsia"/>
                <w:b/>
                <w:bCs/>
                <w:sz w:val="24"/>
                <w:u w:val="none"/>
                <w:lang w:eastAsia="zh-CN"/>
              </w:rPr>
              <w:t>）</w:t>
            </w:r>
            <w:r>
              <w:rPr>
                <w:rFonts w:hint="eastAsia"/>
                <w:b/>
                <w:bCs/>
                <w:sz w:val="24"/>
                <w:u w:val="none"/>
              </w:rPr>
              <w:t>主体功能区划</w:t>
            </w:r>
          </w:p>
          <w:p w14:paraId="338F70E1">
            <w:pPr>
              <w:pStyle w:val="57"/>
              <w:ind w:left="0" w:leftChars="0" w:right="0" w:rightChars="0" w:firstLine="480"/>
              <w:rPr>
                <w:rFonts w:hint="eastAsia"/>
                <w:u w:val="none"/>
              </w:rPr>
            </w:pPr>
            <w:r>
              <w:rPr>
                <w:rFonts w:hint="eastAsia"/>
                <w:u w:val="none"/>
              </w:rPr>
              <w:t>本项目风机机位选址位于</w:t>
            </w:r>
            <w:r>
              <w:rPr>
                <w:rFonts w:hint="eastAsia"/>
                <w:u w:val="none"/>
                <w:lang w:eastAsia="zh-CN"/>
              </w:rPr>
              <w:t>耒阳市导子镇、</w:t>
            </w:r>
            <w:r>
              <w:rPr>
                <w:rFonts w:hint="eastAsia"/>
                <w:u w:val="none"/>
                <w:lang w:val="en-US" w:eastAsia="zh-CN"/>
              </w:rPr>
              <w:t>东湖圩镇</w:t>
            </w:r>
            <w:r>
              <w:rPr>
                <w:rFonts w:hint="eastAsia"/>
                <w:u w:val="none"/>
              </w:rPr>
              <w:t>范围内</w:t>
            </w:r>
            <w:r>
              <w:rPr>
                <w:rFonts w:hint="eastAsia"/>
                <w:u w:val="none"/>
                <w:lang w:eastAsia="zh-CN"/>
              </w:rPr>
              <w:t>。</w:t>
            </w:r>
            <w:r>
              <w:rPr>
                <w:rFonts w:hint="eastAsia"/>
                <w:u w:val="none"/>
              </w:rPr>
              <w:t>根据《湖南省主体功能区划》，</w:t>
            </w:r>
            <w:r>
              <w:rPr>
                <w:rFonts w:hint="eastAsia"/>
                <w:u w:val="none"/>
                <w:lang w:eastAsia="zh-CN"/>
              </w:rPr>
              <w:t>导子镇</w:t>
            </w:r>
            <w:r>
              <w:rPr>
                <w:rFonts w:hint="eastAsia"/>
                <w:u w:val="none"/>
                <w:lang w:val="en-US" w:eastAsia="zh-CN"/>
              </w:rPr>
              <w:t>和东湖圩镇均</w:t>
            </w:r>
            <w:r>
              <w:rPr>
                <w:rFonts w:hint="eastAsia"/>
                <w:u w:val="none"/>
              </w:rPr>
              <w:t>为国家</w:t>
            </w:r>
            <w:r>
              <w:rPr>
                <w:rFonts w:hint="eastAsia"/>
                <w:u w:val="none"/>
                <w:lang w:val="en-US" w:eastAsia="zh-CN"/>
              </w:rPr>
              <w:t>层面</w:t>
            </w:r>
            <w:r>
              <w:rPr>
                <w:rFonts w:hint="eastAsia"/>
                <w:u w:val="none"/>
              </w:rPr>
              <w:t>农产品主产区。</w:t>
            </w:r>
          </w:p>
          <w:p w14:paraId="089D1B28">
            <w:pPr>
              <w:pStyle w:val="57"/>
              <w:ind w:left="0" w:leftChars="0" w:right="0" w:rightChars="0" w:firstLine="480"/>
              <w:rPr>
                <w:u w:val="none"/>
              </w:rPr>
            </w:pPr>
            <w:r>
              <w:rPr>
                <w:rFonts w:hint="eastAsia"/>
                <w:u w:val="none"/>
              </w:rPr>
              <w:t>其他环境功能区划情况详见下表：</w:t>
            </w:r>
          </w:p>
          <w:p w14:paraId="54D4C31F">
            <w:pPr>
              <w:pStyle w:val="57"/>
              <w:spacing w:line="240" w:lineRule="auto"/>
              <w:ind w:left="0" w:leftChars="0" w:right="0" w:rightChars="0" w:firstLine="0" w:firstLineChars="0"/>
              <w:jc w:val="center"/>
              <w:rPr>
                <w:b/>
                <w:bCs/>
                <w:sz w:val="21"/>
                <w:szCs w:val="21"/>
                <w:u w:val="none"/>
              </w:rPr>
            </w:pPr>
            <w:r>
              <w:rPr>
                <w:rFonts w:hint="eastAsia"/>
                <w:b/>
                <w:bCs/>
                <w:sz w:val="21"/>
                <w:szCs w:val="21"/>
                <w:u w:val="none"/>
              </w:rPr>
              <w:t>表3</w:t>
            </w:r>
            <w:r>
              <w:rPr>
                <w:b/>
                <w:bCs/>
                <w:sz w:val="21"/>
                <w:szCs w:val="21"/>
                <w:u w:val="none"/>
              </w:rPr>
              <w:t xml:space="preserve">-1 </w:t>
            </w:r>
            <w:r>
              <w:rPr>
                <w:rFonts w:hint="eastAsia"/>
                <w:b/>
                <w:bCs/>
                <w:sz w:val="21"/>
                <w:szCs w:val="21"/>
                <w:u w:val="none"/>
                <w:lang w:val="en-US" w:eastAsia="zh-CN"/>
              </w:rPr>
              <w:t xml:space="preserve"> </w:t>
            </w:r>
            <w:r>
              <w:rPr>
                <w:rFonts w:hint="eastAsia"/>
                <w:b/>
                <w:bCs/>
                <w:sz w:val="21"/>
                <w:szCs w:val="21"/>
                <w:u w:val="none"/>
              </w:rPr>
              <w:t>主体功能区划一览表</w:t>
            </w:r>
          </w:p>
          <w:tbl>
            <w:tblPr>
              <w:tblStyle w:val="32"/>
              <w:tblW w:w="4996" w:type="pct"/>
              <w:tblInd w:w="5"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28" w:type="dxa"/>
                <w:bottom w:w="0" w:type="dxa"/>
                <w:right w:w="28" w:type="dxa"/>
              </w:tblCellMar>
            </w:tblPr>
            <w:tblGrid>
              <w:gridCol w:w="1759"/>
              <w:gridCol w:w="1364"/>
              <w:gridCol w:w="4929"/>
            </w:tblGrid>
            <w:tr w14:paraId="43AD1E76">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blHeader/>
              </w:trPr>
              <w:tc>
                <w:tcPr>
                  <w:tcW w:w="1092" w:type="pct"/>
                  <w:tcBorders>
                    <w:top w:val="single" w:color="000000" w:sz="12" w:space="0"/>
                    <w:left w:val="nil"/>
                  </w:tcBorders>
                  <w:vAlign w:val="center"/>
                </w:tcPr>
                <w:p w14:paraId="6F3BC6DA">
                  <w:pPr>
                    <w:jc w:val="center"/>
                    <w:rPr>
                      <w:rFonts w:ascii="Times New Roman" w:hAnsi="Times New Roman" w:eastAsia="宋体" w:cs="Times New Roman"/>
                      <w:kern w:val="2"/>
                      <w:sz w:val="21"/>
                      <w:szCs w:val="21"/>
                      <w:u w:val="none"/>
                      <w:lang w:val="en-US" w:eastAsia="zh-CN" w:bidi="ar-SA"/>
                    </w:rPr>
                  </w:pPr>
                  <w:r>
                    <w:rPr>
                      <w:szCs w:val="21"/>
                      <w:u w:val="none"/>
                    </w:rPr>
                    <w:t>项目</w:t>
                  </w:r>
                </w:p>
              </w:tc>
              <w:tc>
                <w:tcPr>
                  <w:tcW w:w="846" w:type="pct"/>
                  <w:tcBorders>
                    <w:top w:val="single" w:color="000000" w:sz="12" w:space="0"/>
                  </w:tcBorders>
                  <w:vAlign w:val="center"/>
                </w:tcPr>
                <w:p w14:paraId="65823984">
                  <w:pPr>
                    <w:jc w:val="center"/>
                    <w:rPr>
                      <w:rFonts w:ascii="Times New Roman" w:hAnsi="Times New Roman" w:eastAsia="宋体" w:cs="Times New Roman"/>
                      <w:kern w:val="2"/>
                      <w:sz w:val="21"/>
                      <w:szCs w:val="21"/>
                      <w:u w:val="none"/>
                      <w:lang w:val="en-US" w:eastAsia="zh-CN" w:bidi="ar-SA"/>
                    </w:rPr>
                  </w:pPr>
                  <w:r>
                    <w:rPr>
                      <w:szCs w:val="21"/>
                      <w:u w:val="none"/>
                    </w:rPr>
                    <w:t>功能区</w:t>
                  </w:r>
                </w:p>
              </w:tc>
              <w:tc>
                <w:tcPr>
                  <w:tcW w:w="3060" w:type="pct"/>
                  <w:tcBorders>
                    <w:top w:val="single" w:color="000000" w:sz="12" w:space="0"/>
                    <w:right w:val="nil"/>
                  </w:tcBorders>
                  <w:vAlign w:val="center"/>
                </w:tcPr>
                <w:p w14:paraId="28E3D2A9">
                  <w:pPr>
                    <w:jc w:val="center"/>
                    <w:rPr>
                      <w:rFonts w:ascii="Times New Roman" w:hAnsi="Times New Roman" w:eastAsia="宋体" w:cs="Times New Roman"/>
                      <w:kern w:val="2"/>
                      <w:sz w:val="21"/>
                      <w:szCs w:val="21"/>
                      <w:u w:val="none"/>
                      <w:lang w:val="en-US" w:eastAsia="zh-CN" w:bidi="ar-SA"/>
                    </w:rPr>
                  </w:pPr>
                  <w:r>
                    <w:rPr>
                      <w:szCs w:val="21"/>
                      <w:u w:val="none"/>
                    </w:rPr>
                    <w:t>执行标准</w:t>
                  </w:r>
                </w:p>
              </w:tc>
            </w:tr>
            <w:tr w14:paraId="34B6ADBE">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5B58D96E">
                  <w:pPr>
                    <w:jc w:val="center"/>
                    <w:rPr>
                      <w:szCs w:val="21"/>
                      <w:u w:val="none"/>
                    </w:rPr>
                  </w:pPr>
                  <w:r>
                    <w:rPr>
                      <w:szCs w:val="21"/>
                      <w:u w:val="none"/>
                    </w:rPr>
                    <w:t>环境空气</w:t>
                  </w:r>
                </w:p>
              </w:tc>
              <w:tc>
                <w:tcPr>
                  <w:tcW w:w="846" w:type="pct"/>
                  <w:vAlign w:val="center"/>
                </w:tcPr>
                <w:p w14:paraId="6DCD4223">
                  <w:pPr>
                    <w:jc w:val="center"/>
                    <w:rPr>
                      <w:szCs w:val="21"/>
                      <w:u w:val="none"/>
                    </w:rPr>
                  </w:pPr>
                  <w:r>
                    <w:rPr>
                      <w:szCs w:val="21"/>
                      <w:u w:val="none"/>
                    </w:rPr>
                    <w:t>二类区</w:t>
                  </w:r>
                </w:p>
              </w:tc>
              <w:tc>
                <w:tcPr>
                  <w:tcW w:w="3060" w:type="pct"/>
                  <w:tcBorders>
                    <w:right w:val="nil"/>
                  </w:tcBorders>
                  <w:vAlign w:val="center"/>
                </w:tcPr>
                <w:p w14:paraId="51F9C303">
                  <w:pPr>
                    <w:jc w:val="center"/>
                    <w:rPr>
                      <w:szCs w:val="21"/>
                      <w:u w:val="none"/>
                    </w:rPr>
                  </w:pPr>
                  <w:r>
                    <w:rPr>
                      <w:szCs w:val="21"/>
                      <w:u w:val="none"/>
                    </w:rPr>
                    <w:t>《环境空气质量标准》（GB3095-2012）</w:t>
                  </w:r>
                  <w:r>
                    <w:rPr>
                      <w:rFonts w:hint="eastAsia"/>
                      <w:szCs w:val="21"/>
                      <w:u w:val="none"/>
                      <w:lang w:val="en-US" w:eastAsia="zh-CN"/>
                    </w:rPr>
                    <w:t>及修改单</w:t>
                  </w:r>
                  <w:r>
                    <w:rPr>
                      <w:szCs w:val="21"/>
                      <w:u w:val="none"/>
                    </w:rPr>
                    <w:t>二级标准</w:t>
                  </w:r>
                </w:p>
              </w:tc>
            </w:tr>
            <w:tr w14:paraId="7667A0E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244B9581">
                  <w:pPr>
                    <w:jc w:val="center"/>
                    <w:rPr>
                      <w:szCs w:val="21"/>
                      <w:u w:val="none"/>
                    </w:rPr>
                  </w:pPr>
                  <w:r>
                    <w:rPr>
                      <w:szCs w:val="21"/>
                      <w:u w:val="none"/>
                    </w:rPr>
                    <w:t>声环境</w:t>
                  </w:r>
                </w:p>
              </w:tc>
              <w:tc>
                <w:tcPr>
                  <w:tcW w:w="846" w:type="pct"/>
                  <w:vAlign w:val="center"/>
                </w:tcPr>
                <w:p w14:paraId="29E53336">
                  <w:pPr>
                    <w:jc w:val="center"/>
                    <w:rPr>
                      <w:szCs w:val="21"/>
                      <w:u w:val="none"/>
                    </w:rPr>
                  </w:pPr>
                  <w:r>
                    <w:rPr>
                      <w:szCs w:val="21"/>
                      <w:u w:val="none"/>
                    </w:rPr>
                    <w:t>2类区</w:t>
                  </w:r>
                </w:p>
              </w:tc>
              <w:tc>
                <w:tcPr>
                  <w:tcW w:w="3060" w:type="pct"/>
                  <w:tcBorders>
                    <w:right w:val="nil"/>
                  </w:tcBorders>
                  <w:vAlign w:val="center"/>
                </w:tcPr>
                <w:p w14:paraId="5238CCF3">
                  <w:pPr>
                    <w:jc w:val="center"/>
                    <w:rPr>
                      <w:szCs w:val="21"/>
                      <w:u w:val="none"/>
                    </w:rPr>
                  </w:pPr>
                  <w:r>
                    <w:rPr>
                      <w:szCs w:val="21"/>
                      <w:u w:val="none"/>
                    </w:rPr>
                    <w:t>《声环境质量标准》（GB3096-2008）2类标准</w:t>
                  </w:r>
                </w:p>
              </w:tc>
            </w:tr>
            <w:tr w14:paraId="6138CBF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7DFDD06E">
                  <w:pPr>
                    <w:jc w:val="center"/>
                    <w:rPr>
                      <w:szCs w:val="21"/>
                      <w:u w:val="none"/>
                    </w:rPr>
                  </w:pPr>
                  <w:r>
                    <w:rPr>
                      <w:szCs w:val="21"/>
                      <w:u w:val="none"/>
                    </w:rPr>
                    <w:t>地表水环境</w:t>
                  </w:r>
                </w:p>
              </w:tc>
              <w:tc>
                <w:tcPr>
                  <w:tcW w:w="846" w:type="pct"/>
                  <w:vAlign w:val="center"/>
                </w:tcPr>
                <w:p w14:paraId="22D9B96C">
                  <w:pPr>
                    <w:jc w:val="center"/>
                    <w:rPr>
                      <w:szCs w:val="21"/>
                      <w:u w:val="none"/>
                    </w:rPr>
                  </w:pPr>
                  <w:r>
                    <w:rPr>
                      <w:rFonts w:hint="eastAsia"/>
                      <w:szCs w:val="21"/>
                      <w:u w:val="none"/>
                    </w:rPr>
                    <w:t>农业用水</w:t>
                  </w:r>
                  <w:r>
                    <w:rPr>
                      <w:szCs w:val="21"/>
                      <w:u w:val="none"/>
                    </w:rPr>
                    <w:t>区</w:t>
                  </w:r>
                </w:p>
              </w:tc>
              <w:tc>
                <w:tcPr>
                  <w:tcW w:w="3060" w:type="pct"/>
                  <w:tcBorders>
                    <w:right w:val="nil"/>
                  </w:tcBorders>
                  <w:vAlign w:val="center"/>
                </w:tcPr>
                <w:p w14:paraId="3D1FB200">
                  <w:pPr>
                    <w:jc w:val="center"/>
                    <w:rPr>
                      <w:szCs w:val="21"/>
                      <w:u w:val="none"/>
                    </w:rPr>
                  </w:pPr>
                  <w:r>
                    <w:rPr>
                      <w:szCs w:val="21"/>
                      <w:u w:val="none"/>
                    </w:rPr>
                    <w:t>《地表水环境质量标准》</w:t>
                  </w:r>
                  <w:r>
                    <w:rPr>
                      <w:rFonts w:hint="eastAsia"/>
                      <w:szCs w:val="21"/>
                      <w:u w:val="none"/>
                      <w:lang w:eastAsia="zh-CN"/>
                    </w:rPr>
                    <w:t>（</w:t>
                  </w:r>
                  <w:r>
                    <w:rPr>
                      <w:szCs w:val="21"/>
                      <w:u w:val="none"/>
                    </w:rPr>
                    <w:t>GB3838-2002</w:t>
                  </w:r>
                  <w:r>
                    <w:rPr>
                      <w:rFonts w:hint="eastAsia"/>
                      <w:szCs w:val="21"/>
                      <w:u w:val="none"/>
                      <w:lang w:eastAsia="zh-CN"/>
                    </w:rPr>
                    <w:t>）</w:t>
                  </w:r>
                  <w:r>
                    <w:rPr>
                      <w:rFonts w:hint="eastAsia" w:ascii="宋体" w:hAnsi="宋体" w:cs="宋体"/>
                      <w:szCs w:val="21"/>
                      <w:u w:val="none"/>
                    </w:rPr>
                    <w:t>Ⅲ</w:t>
                  </w:r>
                  <w:r>
                    <w:rPr>
                      <w:szCs w:val="21"/>
                      <w:u w:val="none"/>
                    </w:rPr>
                    <w:t>类标准</w:t>
                  </w:r>
                </w:p>
              </w:tc>
            </w:tr>
            <w:tr w14:paraId="5B5A6528">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007F8BA2">
                  <w:pPr>
                    <w:jc w:val="center"/>
                    <w:rPr>
                      <w:szCs w:val="21"/>
                      <w:u w:val="none"/>
                    </w:rPr>
                  </w:pPr>
                  <w:r>
                    <w:rPr>
                      <w:szCs w:val="21"/>
                      <w:u w:val="none"/>
                    </w:rPr>
                    <w:t>基本农田保护区</w:t>
                  </w:r>
                </w:p>
              </w:tc>
              <w:tc>
                <w:tcPr>
                  <w:tcW w:w="846" w:type="pct"/>
                  <w:vAlign w:val="center"/>
                </w:tcPr>
                <w:p w14:paraId="21AC2E44">
                  <w:pPr>
                    <w:jc w:val="center"/>
                    <w:rPr>
                      <w:szCs w:val="21"/>
                      <w:u w:val="none"/>
                    </w:rPr>
                  </w:pPr>
                  <w:r>
                    <w:rPr>
                      <w:szCs w:val="21"/>
                      <w:u w:val="none"/>
                    </w:rPr>
                    <w:t>否</w:t>
                  </w:r>
                </w:p>
              </w:tc>
              <w:tc>
                <w:tcPr>
                  <w:tcW w:w="3060" w:type="pct"/>
                  <w:tcBorders>
                    <w:right w:val="nil"/>
                  </w:tcBorders>
                  <w:vAlign w:val="center"/>
                </w:tcPr>
                <w:p w14:paraId="736F690F">
                  <w:pPr>
                    <w:jc w:val="center"/>
                    <w:rPr>
                      <w:szCs w:val="21"/>
                      <w:u w:val="none"/>
                    </w:rPr>
                  </w:pPr>
                  <w:r>
                    <w:rPr>
                      <w:rFonts w:hint="eastAsia"/>
                      <w:szCs w:val="21"/>
                      <w:u w:val="none"/>
                    </w:rPr>
                    <w:t>-</w:t>
                  </w:r>
                </w:p>
              </w:tc>
            </w:tr>
            <w:tr w14:paraId="6A95E584">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2159FCC9">
                  <w:pPr>
                    <w:jc w:val="center"/>
                    <w:rPr>
                      <w:szCs w:val="21"/>
                      <w:u w:val="none"/>
                    </w:rPr>
                  </w:pPr>
                  <w:r>
                    <w:rPr>
                      <w:szCs w:val="21"/>
                      <w:u w:val="none"/>
                    </w:rPr>
                    <w:t>风景保护区</w:t>
                  </w:r>
                </w:p>
              </w:tc>
              <w:tc>
                <w:tcPr>
                  <w:tcW w:w="846" w:type="pct"/>
                  <w:vAlign w:val="center"/>
                </w:tcPr>
                <w:p w14:paraId="0AD29254">
                  <w:pPr>
                    <w:jc w:val="center"/>
                    <w:rPr>
                      <w:szCs w:val="21"/>
                      <w:u w:val="none"/>
                    </w:rPr>
                  </w:pPr>
                  <w:r>
                    <w:rPr>
                      <w:szCs w:val="21"/>
                      <w:u w:val="none"/>
                    </w:rPr>
                    <w:t>否</w:t>
                  </w:r>
                </w:p>
              </w:tc>
              <w:tc>
                <w:tcPr>
                  <w:tcW w:w="3060" w:type="pct"/>
                  <w:tcBorders>
                    <w:right w:val="nil"/>
                  </w:tcBorders>
                  <w:vAlign w:val="center"/>
                </w:tcPr>
                <w:p w14:paraId="25444CE0">
                  <w:pPr>
                    <w:jc w:val="center"/>
                    <w:rPr>
                      <w:szCs w:val="21"/>
                      <w:u w:val="none"/>
                    </w:rPr>
                  </w:pPr>
                  <w:r>
                    <w:rPr>
                      <w:rFonts w:hint="eastAsia"/>
                      <w:szCs w:val="21"/>
                      <w:u w:val="none"/>
                    </w:rPr>
                    <w:t>-</w:t>
                  </w:r>
                </w:p>
              </w:tc>
            </w:tr>
            <w:tr w14:paraId="3CB9C2DC">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tcBorders>
                  <w:vAlign w:val="center"/>
                </w:tcPr>
                <w:p w14:paraId="681BC05E">
                  <w:pPr>
                    <w:jc w:val="center"/>
                    <w:rPr>
                      <w:szCs w:val="21"/>
                      <w:u w:val="none"/>
                    </w:rPr>
                  </w:pPr>
                  <w:r>
                    <w:rPr>
                      <w:szCs w:val="21"/>
                      <w:u w:val="none"/>
                    </w:rPr>
                    <w:t>特殊保护区</w:t>
                  </w:r>
                </w:p>
              </w:tc>
              <w:tc>
                <w:tcPr>
                  <w:tcW w:w="846" w:type="pct"/>
                  <w:vAlign w:val="center"/>
                </w:tcPr>
                <w:p w14:paraId="18F82C20">
                  <w:pPr>
                    <w:jc w:val="center"/>
                    <w:rPr>
                      <w:szCs w:val="21"/>
                      <w:u w:val="none"/>
                    </w:rPr>
                  </w:pPr>
                  <w:r>
                    <w:rPr>
                      <w:szCs w:val="21"/>
                      <w:u w:val="none"/>
                    </w:rPr>
                    <w:t>否</w:t>
                  </w:r>
                </w:p>
              </w:tc>
              <w:tc>
                <w:tcPr>
                  <w:tcW w:w="3060" w:type="pct"/>
                  <w:tcBorders>
                    <w:right w:val="nil"/>
                  </w:tcBorders>
                  <w:vAlign w:val="center"/>
                </w:tcPr>
                <w:p w14:paraId="5F46AF60">
                  <w:pPr>
                    <w:jc w:val="center"/>
                    <w:rPr>
                      <w:szCs w:val="21"/>
                      <w:u w:val="none"/>
                    </w:rPr>
                  </w:pPr>
                  <w:r>
                    <w:rPr>
                      <w:szCs w:val="21"/>
                      <w:u w:val="none"/>
                    </w:rPr>
                    <w:t>-</w:t>
                  </w:r>
                </w:p>
              </w:tc>
            </w:tr>
            <w:tr w14:paraId="5C5ED7EB">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28" w:type="dxa"/>
                  <w:bottom w:w="0" w:type="dxa"/>
                  <w:right w:w="28" w:type="dxa"/>
                </w:tblCellMar>
              </w:tblPrEx>
              <w:trPr>
                <w:trHeight w:val="23" w:hRule="atLeast"/>
              </w:trPr>
              <w:tc>
                <w:tcPr>
                  <w:tcW w:w="1092" w:type="pct"/>
                  <w:tcBorders>
                    <w:left w:val="nil"/>
                    <w:bottom w:val="single" w:color="000000" w:sz="12" w:space="0"/>
                  </w:tcBorders>
                  <w:vAlign w:val="center"/>
                </w:tcPr>
                <w:p w14:paraId="2C065D1E">
                  <w:pPr>
                    <w:jc w:val="center"/>
                    <w:rPr>
                      <w:szCs w:val="21"/>
                      <w:u w:val="none"/>
                    </w:rPr>
                  </w:pPr>
                  <w:r>
                    <w:rPr>
                      <w:rFonts w:hint="eastAsia"/>
                      <w:szCs w:val="21"/>
                      <w:u w:val="none"/>
                    </w:rPr>
                    <w:t>生态红线</w:t>
                  </w:r>
                </w:p>
              </w:tc>
              <w:tc>
                <w:tcPr>
                  <w:tcW w:w="846" w:type="pct"/>
                  <w:tcBorders>
                    <w:bottom w:val="single" w:color="000000" w:sz="12" w:space="0"/>
                  </w:tcBorders>
                  <w:vAlign w:val="center"/>
                </w:tcPr>
                <w:p w14:paraId="5AE2D662">
                  <w:pPr>
                    <w:jc w:val="center"/>
                    <w:rPr>
                      <w:szCs w:val="21"/>
                      <w:u w:val="none"/>
                    </w:rPr>
                  </w:pPr>
                  <w:r>
                    <w:rPr>
                      <w:rFonts w:hint="eastAsia"/>
                      <w:szCs w:val="21"/>
                      <w:u w:val="none"/>
                    </w:rPr>
                    <w:t>否</w:t>
                  </w:r>
                </w:p>
              </w:tc>
              <w:tc>
                <w:tcPr>
                  <w:tcW w:w="3060" w:type="pct"/>
                  <w:tcBorders>
                    <w:bottom w:val="single" w:color="000000" w:sz="12" w:space="0"/>
                    <w:right w:val="nil"/>
                  </w:tcBorders>
                  <w:vAlign w:val="center"/>
                </w:tcPr>
                <w:p w14:paraId="5808BE3B">
                  <w:pPr>
                    <w:jc w:val="center"/>
                    <w:rPr>
                      <w:szCs w:val="21"/>
                      <w:u w:val="none"/>
                    </w:rPr>
                  </w:pPr>
                  <w:r>
                    <w:rPr>
                      <w:rFonts w:hint="eastAsia"/>
                      <w:szCs w:val="21"/>
                      <w:u w:val="none"/>
                    </w:rPr>
                    <w:t>-</w:t>
                  </w:r>
                </w:p>
              </w:tc>
            </w:tr>
          </w:tbl>
          <w:p w14:paraId="49C59337">
            <w:pPr>
              <w:spacing w:line="360" w:lineRule="auto"/>
              <w:ind w:firstLine="482" w:firstLineChars="200"/>
              <w:jc w:val="left"/>
              <w:rPr>
                <w:b/>
                <w:bCs/>
                <w:sz w:val="24"/>
                <w:u w:val="none"/>
              </w:rPr>
            </w:pPr>
            <w:r>
              <w:rPr>
                <w:rFonts w:hint="eastAsia"/>
                <w:b/>
                <w:bCs/>
                <w:sz w:val="24"/>
                <w:u w:val="none"/>
                <w:lang w:eastAsia="zh-CN"/>
              </w:rPr>
              <w:t>（</w:t>
            </w:r>
            <w:r>
              <w:rPr>
                <w:rFonts w:hint="eastAsia"/>
                <w:b/>
                <w:bCs/>
                <w:sz w:val="24"/>
                <w:u w:val="none"/>
                <w:lang w:val="en-US" w:eastAsia="zh-CN"/>
              </w:rPr>
              <w:t>2</w:t>
            </w:r>
            <w:r>
              <w:rPr>
                <w:rFonts w:hint="eastAsia"/>
                <w:b/>
                <w:bCs/>
                <w:sz w:val="24"/>
                <w:u w:val="none"/>
                <w:lang w:eastAsia="zh-CN"/>
              </w:rPr>
              <w:t>）</w:t>
            </w:r>
            <w:r>
              <w:rPr>
                <w:rFonts w:hint="eastAsia"/>
                <w:b/>
                <w:bCs/>
                <w:sz w:val="24"/>
                <w:u w:val="none"/>
              </w:rPr>
              <w:t>生态功能区划</w:t>
            </w:r>
          </w:p>
          <w:p w14:paraId="30C7CA93">
            <w:pPr>
              <w:pStyle w:val="57"/>
              <w:ind w:left="42" w:right="42" w:firstLine="480"/>
              <w:rPr>
                <w:u w:val="none"/>
              </w:rPr>
            </w:pPr>
            <w:r>
              <w:rPr>
                <w:rFonts w:hint="eastAsia"/>
                <w:u w:val="none"/>
              </w:rPr>
              <w:t>根据《全国生态功能区划（修编版）》（环境保护部</w:t>
            </w:r>
            <w:r>
              <w:rPr>
                <w:rFonts w:hint="eastAsia"/>
                <w:u w:val="none"/>
                <w:lang w:eastAsia="zh-CN"/>
              </w:rPr>
              <w:t>、</w:t>
            </w:r>
            <w:r>
              <w:rPr>
                <w:rFonts w:hint="eastAsia"/>
                <w:u w:val="none"/>
              </w:rPr>
              <w:t>中国科学院，2015），评价区属于湖南中部丘陵农产品提供功能区。</w:t>
            </w:r>
          </w:p>
          <w:p w14:paraId="64F430FA">
            <w:pPr>
              <w:pStyle w:val="57"/>
              <w:ind w:left="42" w:right="42" w:firstLine="480"/>
              <w:rPr>
                <w:u w:val="none"/>
              </w:rPr>
            </w:pPr>
            <w:r>
              <w:rPr>
                <w:rFonts w:hint="eastAsia"/>
                <w:u w:val="none"/>
              </w:rPr>
              <w:t>根据《湖南省生态功能区划研究报告》（湖南省环境保护厅等，2005），</w:t>
            </w:r>
            <w:r>
              <w:rPr>
                <w:rFonts w:hint="eastAsia"/>
                <w:u w:val="none"/>
                <w:lang w:val="en-US" w:eastAsia="zh-CN"/>
              </w:rPr>
              <w:t>项目区域</w:t>
            </w:r>
            <w:r>
              <w:rPr>
                <w:rFonts w:hint="eastAsia"/>
                <w:u w:val="none"/>
              </w:rPr>
              <w:t>属于湘中-湘南丘陵山地常绿阔叶林生态区—衡阳盆地丘陵农业生态亚区-衡南社会生产与土壤保持生态功能区及罗霄山地常绿阔叶林生态亚区—渌江-高峰低山丘陵农林生态功能区。</w:t>
            </w:r>
          </w:p>
          <w:p w14:paraId="4CE39527">
            <w:pPr>
              <w:pStyle w:val="57"/>
              <w:ind w:left="42" w:right="42" w:firstLine="480"/>
              <w:rPr>
                <w:u w:val="none"/>
              </w:rPr>
            </w:pPr>
            <w:r>
              <w:rPr>
                <w:rFonts w:hint="eastAsia"/>
                <w:u w:val="none"/>
              </w:rPr>
              <w:t>该区域以盆地、丘陵为主要特征，兼有岗地、台地、山地等，属中亚热带季风湿润气候，以农田生态系统和森林生态系统以及河流生态系统为主，兼有城镇生态系统。红壤丘陵以人工植被为主，植被以灌草丛为主，兼有乔木林，常见植物有油茶、马尾松、杉木等。土壤侵蚀敏感性以中度敏感为主，酸雨敏感性以轻度敏感为主。</w:t>
            </w:r>
          </w:p>
          <w:p w14:paraId="7B396FE7">
            <w:pPr>
              <w:spacing w:line="360" w:lineRule="auto"/>
              <w:jc w:val="left"/>
              <w:rPr>
                <w:rFonts w:hint="eastAsia" w:eastAsia="宋体"/>
                <w:b/>
                <w:bCs/>
                <w:color w:val="auto"/>
                <w:sz w:val="24"/>
                <w:u w:val="none"/>
                <w:lang w:eastAsia="zh-CN"/>
              </w:rPr>
            </w:pPr>
            <w:bookmarkStart w:id="288" w:name="_Toc15588"/>
            <w:bookmarkStart w:id="289" w:name="_Toc16654"/>
            <w:bookmarkStart w:id="290" w:name="_Toc17268_WPSOffice_Level2"/>
            <w:r>
              <w:rPr>
                <w:rFonts w:hint="eastAsia"/>
                <w:b/>
                <w:bCs/>
                <w:color w:val="auto"/>
                <w:sz w:val="24"/>
                <w:u w:val="none"/>
                <w:lang w:val="en-US" w:eastAsia="zh-CN"/>
              </w:rPr>
              <w:t>2、</w:t>
            </w:r>
            <w:r>
              <w:rPr>
                <w:rFonts w:hint="eastAsia"/>
                <w:b/>
                <w:bCs/>
                <w:color w:val="auto"/>
                <w:sz w:val="24"/>
                <w:u w:val="none"/>
              </w:rPr>
              <w:t>生态环境现状调查</w:t>
            </w:r>
          </w:p>
          <w:p w14:paraId="4A3CAAA6">
            <w:pPr>
              <w:spacing w:line="360" w:lineRule="auto"/>
              <w:ind w:firstLine="482"/>
              <w:rPr>
                <w:b/>
                <w:bCs/>
                <w:sz w:val="28"/>
                <w:szCs w:val="36"/>
                <w:u w:val="none"/>
              </w:rPr>
            </w:pPr>
            <w:r>
              <w:rPr>
                <w:rFonts w:hint="eastAsia" w:cs="Arial"/>
                <w:color w:val="FF0000"/>
                <w:kern w:val="0"/>
                <w:sz w:val="24"/>
                <w:u w:val="none"/>
                <w:lang w:val="en-US" w:eastAsia="zh-CN" w:bidi="en-US"/>
              </w:rPr>
              <w:t>项目总占地面积38.79hm</w:t>
            </w:r>
            <w:r>
              <w:rPr>
                <w:rFonts w:hint="eastAsia" w:cs="Arial"/>
                <w:color w:val="FF0000"/>
                <w:kern w:val="0"/>
                <w:sz w:val="24"/>
                <w:u w:val="none"/>
                <w:vertAlign w:val="superscript"/>
                <w:lang w:val="en-US" w:eastAsia="zh-CN" w:bidi="en-US"/>
              </w:rPr>
              <w:t>2</w:t>
            </w:r>
            <w:r>
              <w:rPr>
                <w:rFonts w:hint="eastAsia" w:cs="Arial"/>
                <w:color w:val="FF0000"/>
                <w:kern w:val="0"/>
                <w:sz w:val="24"/>
                <w:u w:val="none"/>
                <w:lang w:val="en-US" w:eastAsia="zh-CN" w:bidi="en-US"/>
              </w:rPr>
              <w:t>，其中永久1.46hm</w:t>
            </w:r>
            <w:r>
              <w:rPr>
                <w:rFonts w:hint="eastAsia" w:cs="Arial"/>
                <w:color w:val="FF0000"/>
                <w:kern w:val="0"/>
                <w:sz w:val="24"/>
                <w:u w:val="none"/>
                <w:vertAlign w:val="superscript"/>
                <w:lang w:val="en-US" w:eastAsia="zh-CN" w:bidi="en-US"/>
              </w:rPr>
              <w:t>2</w:t>
            </w:r>
            <w:r>
              <w:rPr>
                <w:rFonts w:hint="eastAsia" w:cs="Arial"/>
                <w:color w:val="FF0000"/>
                <w:kern w:val="0"/>
                <w:sz w:val="24"/>
                <w:u w:val="none"/>
                <w:lang w:val="en-US" w:eastAsia="zh-CN" w:bidi="en-US"/>
              </w:rPr>
              <w:t>，临时37.33hm</w:t>
            </w:r>
            <w:r>
              <w:rPr>
                <w:rFonts w:hint="eastAsia" w:cs="Arial"/>
                <w:color w:val="FF0000"/>
                <w:kern w:val="0"/>
                <w:sz w:val="24"/>
                <w:u w:val="none"/>
                <w:vertAlign w:val="superscript"/>
                <w:lang w:val="en-US" w:eastAsia="zh-CN" w:bidi="en-US"/>
              </w:rPr>
              <w:t>2</w:t>
            </w:r>
            <w:r>
              <w:rPr>
                <w:rFonts w:hint="eastAsia" w:cs="Arial"/>
                <w:color w:val="FF0000"/>
                <w:kern w:val="0"/>
                <w:sz w:val="24"/>
                <w:u w:val="none"/>
                <w:lang w:val="en-US" w:eastAsia="zh-CN" w:bidi="en-US"/>
              </w:rPr>
              <w:t>，不涉及生态敏感区。经对照</w:t>
            </w:r>
            <w:r>
              <w:rPr>
                <w:rFonts w:hint="eastAsia" w:cs="Arial"/>
                <w:color w:val="FF0000"/>
                <w:kern w:val="0"/>
                <w:sz w:val="24"/>
                <w:u w:val="none"/>
                <w:lang w:val="sq-AL" w:bidi="en-US"/>
              </w:rPr>
              <w:t>《环境影响评价技术导则  生态影响》（HJ19-2022）</w:t>
            </w:r>
            <w:r>
              <w:rPr>
                <w:rFonts w:hint="eastAsia" w:cs="Arial"/>
                <w:color w:val="FF0000"/>
                <w:kern w:val="0"/>
                <w:sz w:val="24"/>
                <w:u w:val="none"/>
                <w:lang w:val="sq-AL" w:eastAsia="zh-CN" w:bidi="en-US"/>
              </w:rPr>
              <w:t>，</w:t>
            </w:r>
            <w:r>
              <w:rPr>
                <w:rFonts w:hint="eastAsia" w:cs="Arial"/>
                <w:color w:val="FF0000"/>
                <w:kern w:val="0"/>
                <w:sz w:val="24"/>
                <w:u w:val="none"/>
                <w:lang w:val="sq-AL" w:bidi="en-US"/>
              </w:rPr>
              <w:t>本项目</w:t>
            </w:r>
            <w:r>
              <w:rPr>
                <w:rFonts w:hint="eastAsia" w:cs="Arial"/>
                <w:color w:val="FF0000"/>
                <w:kern w:val="0"/>
                <w:sz w:val="24"/>
                <w:u w:val="none"/>
                <w:lang w:val="en-US" w:eastAsia="zh-CN" w:bidi="en-US"/>
              </w:rPr>
              <w:t>生态环境影响</w:t>
            </w:r>
            <w:r>
              <w:rPr>
                <w:rFonts w:hint="eastAsia" w:cs="Arial"/>
                <w:color w:val="FF0000"/>
                <w:kern w:val="0"/>
                <w:sz w:val="24"/>
                <w:u w:val="none"/>
                <w:lang w:val="sq-AL" w:bidi="en-US"/>
              </w:rPr>
              <w:t>评价等级为三级</w:t>
            </w:r>
            <w:r>
              <w:rPr>
                <w:rFonts w:hint="eastAsia" w:cs="Arial"/>
                <w:color w:val="FF0000"/>
                <w:kern w:val="0"/>
                <w:sz w:val="24"/>
                <w:u w:val="none"/>
                <w:lang w:val="sq-AL" w:eastAsia="zh-CN" w:bidi="en-US"/>
              </w:rPr>
              <w:t>；</w:t>
            </w:r>
            <w:r>
              <w:rPr>
                <w:rFonts w:hint="eastAsia" w:cs="Arial"/>
                <w:color w:val="FF0000"/>
                <w:kern w:val="0"/>
                <w:sz w:val="24"/>
                <w:u w:val="none"/>
                <w:lang w:val="en-US" w:eastAsia="zh-CN" w:bidi="en-US"/>
              </w:rPr>
              <w:t>考虑到项目为</w:t>
            </w:r>
            <w:r>
              <w:rPr>
                <w:rFonts w:hint="eastAsia" w:hAnsi="宋体"/>
                <w:color w:val="FF0000"/>
                <w:sz w:val="24"/>
              </w:rPr>
              <w:t>点状和线状相结合的工程</w:t>
            </w:r>
            <w:r>
              <w:rPr>
                <w:rFonts w:hint="eastAsia" w:cs="Arial"/>
                <w:color w:val="FF0000"/>
                <w:kern w:val="0"/>
                <w:sz w:val="24"/>
                <w:u w:val="none"/>
                <w:lang w:val="en-US" w:eastAsia="zh-CN" w:bidi="en-US"/>
              </w:rPr>
              <w:t>，且穿越的区域均为非生态敏感区，因此</w:t>
            </w:r>
            <w:r>
              <w:rPr>
                <w:rFonts w:hint="eastAsia" w:cs="Arial"/>
                <w:color w:val="FF0000"/>
                <w:kern w:val="0"/>
                <w:sz w:val="24"/>
                <w:u w:val="none"/>
                <w:lang w:val="sq-AL" w:bidi="en-US"/>
              </w:rPr>
              <w:t>评价范围</w:t>
            </w:r>
            <w:r>
              <w:rPr>
                <w:rFonts w:hint="eastAsia" w:cs="Arial"/>
                <w:color w:val="FF0000"/>
                <w:kern w:val="0"/>
                <w:sz w:val="24"/>
                <w:u w:val="none"/>
                <w:lang w:val="en-US" w:eastAsia="zh-CN" w:bidi="en-US"/>
              </w:rPr>
              <w:t>按照</w:t>
            </w:r>
            <w:r>
              <w:rPr>
                <w:rFonts w:hint="eastAsia" w:cs="Arial"/>
                <w:color w:val="FF0000"/>
                <w:kern w:val="0"/>
                <w:sz w:val="24"/>
                <w:u w:val="none"/>
                <w:lang w:val="sq-AL" w:bidi="en-US"/>
              </w:rPr>
              <w:t>《环境影响评价技术导则  生态影响》（HJ19-2022）</w:t>
            </w:r>
            <w:r>
              <w:rPr>
                <w:rFonts w:hint="eastAsia" w:cs="Arial"/>
                <w:color w:val="FF0000"/>
                <w:kern w:val="0"/>
                <w:sz w:val="24"/>
                <w:u w:val="none"/>
                <w:lang w:val="sq-AL" w:eastAsia="zh-CN" w:bidi="en-US"/>
              </w:rPr>
              <w:t>“</w:t>
            </w:r>
            <w:r>
              <w:rPr>
                <w:rFonts w:hint="eastAsia" w:cs="Arial"/>
                <w:color w:val="FF0000"/>
                <w:kern w:val="0"/>
                <w:sz w:val="24"/>
                <w:u w:val="none"/>
                <w:lang w:val="en-US" w:eastAsia="zh-CN" w:bidi="en-US"/>
              </w:rPr>
              <w:t>6.2.5线性工程穿越非生态敏感区时，以线路中心线向两侧外侧300米为参考评价范围</w:t>
            </w:r>
            <w:r>
              <w:rPr>
                <w:rFonts w:hint="eastAsia" w:cs="Arial"/>
                <w:color w:val="FF0000"/>
                <w:kern w:val="0"/>
                <w:sz w:val="24"/>
                <w:u w:val="none"/>
                <w:lang w:val="sq-AL" w:eastAsia="zh-CN" w:bidi="en-US"/>
              </w:rPr>
              <w:t>”，</w:t>
            </w:r>
            <w:r>
              <w:rPr>
                <w:rFonts w:hint="eastAsia" w:cs="Arial"/>
                <w:color w:val="FF0000"/>
                <w:kern w:val="0"/>
                <w:sz w:val="24"/>
                <w:u w:val="none"/>
                <w:lang w:val="en-US" w:eastAsia="zh-CN" w:bidi="en-US"/>
              </w:rPr>
              <w:t>即项目区域及外延300米区域</w:t>
            </w:r>
            <w:r>
              <w:rPr>
                <w:rFonts w:hint="eastAsia" w:cs="Arial"/>
                <w:color w:val="FF0000"/>
                <w:kern w:val="0"/>
                <w:sz w:val="24"/>
                <w:u w:val="none"/>
                <w:lang w:val="sq-AL" w:bidi="en-US"/>
              </w:rPr>
              <w:t>，</w:t>
            </w:r>
            <w:r>
              <w:rPr>
                <w:rFonts w:hint="eastAsia"/>
                <w:color w:val="FF0000"/>
                <w:kern w:val="0"/>
                <w:sz w:val="24"/>
                <w:u w:val="none"/>
                <w:lang w:bidi="ar"/>
              </w:rPr>
              <w:t>评价区总面积为</w:t>
            </w:r>
            <w:r>
              <w:rPr>
                <w:rFonts w:hint="eastAsia"/>
                <w:color w:val="FF0000"/>
                <w:kern w:val="0"/>
                <w:sz w:val="24"/>
                <w:u w:val="none"/>
                <w:lang w:val="en-US" w:eastAsia="zh-CN" w:bidi="ar"/>
              </w:rPr>
              <w:t>2832.79</w:t>
            </w:r>
            <w:r>
              <w:rPr>
                <w:rFonts w:hint="eastAsia"/>
                <w:color w:val="FF0000"/>
                <w:kern w:val="0"/>
                <w:sz w:val="24"/>
                <w:u w:val="none"/>
                <w:lang w:bidi="ar"/>
              </w:rPr>
              <w:t>hm</w:t>
            </w:r>
            <w:r>
              <w:rPr>
                <w:color w:val="FF0000"/>
                <w:kern w:val="0"/>
                <w:sz w:val="24"/>
                <w:u w:val="none"/>
                <w:vertAlign w:val="superscript"/>
                <w:lang w:bidi="ar"/>
              </w:rPr>
              <w:t>2</w:t>
            </w:r>
            <w:r>
              <w:rPr>
                <w:rFonts w:hint="eastAsia" w:cs="Arial"/>
                <w:color w:val="FF0000"/>
                <w:kern w:val="0"/>
                <w:sz w:val="24"/>
                <w:u w:val="none"/>
                <w:lang w:val="sq-AL" w:bidi="en-US"/>
              </w:rPr>
              <w:t>。</w:t>
            </w:r>
          </w:p>
          <w:p w14:paraId="359ED4A1">
            <w:pPr>
              <w:spacing w:line="360" w:lineRule="auto"/>
              <w:jc w:val="left"/>
              <w:rPr>
                <w:sz w:val="24"/>
                <w:u w:val="none"/>
              </w:rPr>
            </w:pPr>
            <w:r>
              <w:rPr>
                <w:rFonts w:hint="eastAsia"/>
                <w:b/>
                <w:bCs/>
                <w:sz w:val="24"/>
                <w:u w:val="none"/>
                <w:lang w:val="en-US" w:eastAsia="zh-CN"/>
              </w:rPr>
              <w:t>2.1</w:t>
            </w:r>
            <w:r>
              <w:rPr>
                <w:b/>
                <w:bCs/>
                <w:sz w:val="24"/>
                <w:u w:val="none"/>
              </w:rPr>
              <w:t>土地利用现状</w:t>
            </w:r>
            <w:bookmarkEnd w:id="288"/>
            <w:bookmarkEnd w:id="289"/>
            <w:bookmarkEnd w:id="290"/>
          </w:p>
          <w:p w14:paraId="4B85506B">
            <w:pPr>
              <w:spacing w:line="360" w:lineRule="auto"/>
              <w:ind w:firstLine="482"/>
              <w:rPr>
                <w:snapToGrid w:val="0"/>
                <w:color w:val="FF0000"/>
                <w:sz w:val="24"/>
                <w:u w:val="none"/>
              </w:rPr>
            </w:pPr>
            <w:r>
              <w:rPr>
                <w:color w:val="FF0000"/>
                <w:kern w:val="0"/>
                <w:sz w:val="24"/>
                <w:u w:val="none"/>
                <w:lang w:bidi="ar"/>
              </w:rPr>
              <w:t>评价区</w:t>
            </w:r>
            <w:r>
              <w:rPr>
                <w:rFonts w:hint="eastAsia"/>
                <w:color w:val="FF0000"/>
                <w:kern w:val="0"/>
                <w:sz w:val="24"/>
                <w:u w:val="none"/>
                <w:lang w:bidi="ar"/>
              </w:rPr>
              <w:t>为项目占地及外延3</w:t>
            </w:r>
            <w:r>
              <w:rPr>
                <w:color w:val="FF0000"/>
                <w:kern w:val="0"/>
                <w:sz w:val="24"/>
                <w:u w:val="none"/>
                <w:lang w:bidi="ar"/>
              </w:rPr>
              <w:t>00</w:t>
            </w:r>
            <w:r>
              <w:rPr>
                <w:rFonts w:hint="eastAsia"/>
                <w:color w:val="FF0000"/>
                <w:kern w:val="0"/>
                <w:sz w:val="24"/>
                <w:u w:val="none"/>
                <w:lang w:bidi="ar"/>
              </w:rPr>
              <w:t>m范围，评价区总面积为</w:t>
            </w:r>
            <w:r>
              <w:rPr>
                <w:rFonts w:hint="eastAsia"/>
                <w:color w:val="FF0000"/>
                <w:kern w:val="0"/>
                <w:sz w:val="24"/>
                <w:u w:val="none"/>
                <w:lang w:val="en-US" w:eastAsia="zh-CN" w:bidi="ar"/>
              </w:rPr>
              <w:t>2832.79</w:t>
            </w:r>
            <w:r>
              <w:rPr>
                <w:rFonts w:hint="eastAsia"/>
                <w:color w:val="FF0000"/>
                <w:kern w:val="0"/>
                <w:sz w:val="24"/>
                <w:u w:val="none"/>
                <w:lang w:bidi="ar"/>
              </w:rPr>
              <w:t>hm</w:t>
            </w:r>
            <w:r>
              <w:rPr>
                <w:color w:val="FF0000"/>
                <w:kern w:val="0"/>
                <w:sz w:val="24"/>
                <w:u w:val="none"/>
                <w:vertAlign w:val="superscript"/>
                <w:lang w:bidi="ar"/>
              </w:rPr>
              <w:t>2</w:t>
            </w:r>
            <w:r>
              <w:rPr>
                <w:rFonts w:hint="eastAsia"/>
                <w:color w:val="FF0000"/>
                <w:kern w:val="0"/>
                <w:sz w:val="24"/>
                <w:u w:val="none"/>
                <w:lang w:bidi="ar"/>
              </w:rPr>
              <w:t>，</w:t>
            </w:r>
            <w:r>
              <w:rPr>
                <w:color w:val="FF0000"/>
                <w:kern w:val="0"/>
                <w:sz w:val="24"/>
                <w:u w:val="none"/>
                <w:lang w:bidi="ar"/>
              </w:rPr>
              <w:t>土地利用现状是在</w:t>
            </w:r>
            <w:r>
              <w:rPr>
                <w:rFonts w:hint="eastAsia"/>
                <w:color w:val="FF0000"/>
                <w:kern w:val="0"/>
                <w:sz w:val="24"/>
                <w:u w:val="none"/>
                <w:lang w:bidi="ar"/>
              </w:rPr>
              <w:t>查阅资料</w:t>
            </w:r>
            <w:r>
              <w:rPr>
                <w:color w:val="FF0000"/>
                <w:kern w:val="0"/>
                <w:sz w:val="24"/>
                <w:u w:val="none"/>
                <w:lang w:bidi="ar"/>
              </w:rPr>
              <w:t>的基础上，结合</w:t>
            </w:r>
            <w:r>
              <w:rPr>
                <w:rFonts w:hint="eastAsia"/>
                <w:color w:val="FF0000"/>
                <w:kern w:val="0"/>
                <w:sz w:val="24"/>
                <w:u w:val="none"/>
                <w:lang w:bidi="ar"/>
              </w:rPr>
              <w:t>现场踏勘</w:t>
            </w:r>
            <w:r>
              <w:rPr>
                <w:color w:val="FF0000"/>
                <w:kern w:val="0"/>
                <w:sz w:val="24"/>
                <w:u w:val="none"/>
                <w:lang w:bidi="ar"/>
              </w:rPr>
              <w:t>，运用景观生态法（即以植被作为主导因素），并结合土壤、地貌等因子进行综合分析，将土地利用格局的拼块类型分为林地、</w:t>
            </w:r>
            <w:r>
              <w:rPr>
                <w:rFonts w:hint="eastAsia"/>
                <w:color w:val="FF0000"/>
                <w:kern w:val="0"/>
                <w:sz w:val="24"/>
                <w:u w:val="none"/>
                <w:lang w:bidi="ar"/>
              </w:rPr>
              <w:t>灌</w:t>
            </w:r>
            <w:r>
              <w:rPr>
                <w:color w:val="FF0000"/>
                <w:kern w:val="0"/>
                <w:sz w:val="24"/>
                <w:u w:val="none"/>
                <w:lang w:bidi="ar"/>
              </w:rPr>
              <w:t>草地、耕地、水域、建设用地等几种类型。</w:t>
            </w:r>
            <w:r>
              <w:rPr>
                <w:snapToGrid w:val="0"/>
                <w:color w:val="FF0000"/>
                <w:sz w:val="24"/>
                <w:u w:val="none"/>
                <w:lang w:bidi="ar"/>
              </w:rPr>
              <w:t>评价区</w:t>
            </w:r>
            <w:r>
              <w:rPr>
                <w:rFonts w:hint="eastAsia"/>
                <w:snapToGrid w:val="0"/>
                <w:color w:val="FF0000"/>
                <w:sz w:val="24"/>
                <w:u w:val="none"/>
                <w:lang w:val="en-US" w:eastAsia="zh-CN" w:bidi="ar"/>
              </w:rPr>
              <w:t>林地</w:t>
            </w:r>
            <w:r>
              <w:rPr>
                <w:rFonts w:hint="eastAsia"/>
                <w:snapToGrid w:val="0"/>
                <w:color w:val="FF0000"/>
                <w:sz w:val="24"/>
                <w:u w:val="none"/>
                <w:lang w:bidi="ar"/>
              </w:rPr>
              <w:t>较多</w:t>
            </w:r>
            <w:r>
              <w:rPr>
                <w:snapToGrid w:val="0"/>
                <w:color w:val="FF0000"/>
                <w:sz w:val="24"/>
                <w:u w:val="none"/>
                <w:lang w:bidi="ar"/>
              </w:rPr>
              <w:t>，占评价区总面积</w:t>
            </w:r>
            <w:r>
              <w:rPr>
                <w:rFonts w:hint="eastAsia"/>
                <w:snapToGrid w:val="0"/>
                <w:color w:val="FF0000"/>
                <w:sz w:val="24"/>
                <w:u w:val="none"/>
                <w:lang w:val="en-US" w:eastAsia="zh-CN" w:bidi="ar"/>
              </w:rPr>
              <w:t>58.41</w:t>
            </w:r>
            <w:r>
              <w:rPr>
                <w:snapToGrid w:val="0"/>
                <w:color w:val="FF0000"/>
                <w:sz w:val="24"/>
                <w:u w:val="none"/>
                <w:lang w:bidi="ar"/>
              </w:rPr>
              <w:t>%，</w:t>
            </w:r>
            <w:r>
              <w:rPr>
                <w:rFonts w:hint="eastAsia"/>
                <w:snapToGrid w:val="0"/>
                <w:color w:val="FF0000"/>
                <w:sz w:val="24"/>
                <w:u w:val="none"/>
                <w:lang w:val="en-US" w:eastAsia="zh-CN" w:bidi="ar"/>
              </w:rPr>
              <w:t>灌草地</w:t>
            </w:r>
            <w:r>
              <w:rPr>
                <w:snapToGrid w:val="0"/>
                <w:color w:val="FF0000"/>
                <w:sz w:val="24"/>
                <w:u w:val="none"/>
                <w:lang w:bidi="ar"/>
              </w:rPr>
              <w:t>占评价区总面积</w:t>
            </w:r>
            <w:r>
              <w:rPr>
                <w:rFonts w:hint="eastAsia"/>
                <w:snapToGrid w:val="0"/>
                <w:color w:val="FF0000"/>
                <w:sz w:val="24"/>
                <w:u w:val="none"/>
                <w:lang w:val="en-US" w:eastAsia="zh-CN" w:bidi="ar"/>
              </w:rPr>
              <w:t>26.47</w:t>
            </w:r>
            <w:r>
              <w:rPr>
                <w:snapToGrid w:val="0"/>
                <w:color w:val="FF0000"/>
                <w:sz w:val="24"/>
                <w:u w:val="none"/>
                <w:lang w:bidi="ar"/>
              </w:rPr>
              <w:t>%</w:t>
            </w:r>
            <w:r>
              <w:rPr>
                <w:rFonts w:hint="eastAsia"/>
                <w:snapToGrid w:val="0"/>
                <w:color w:val="FF0000"/>
                <w:sz w:val="24"/>
                <w:u w:val="none"/>
                <w:lang w:bidi="ar"/>
              </w:rPr>
              <w:t>，耕</w:t>
            </w:r>
            <w:r>
              <w:rPr>
                <w:snapToGrid w:val="0"/>
                <w:color w:val="FF0000"/>
                <w:sz w:val="24"/>
                <w:u w:val="none"/>
                <w:lang w:bidi="ar"/>
              </w:rPr>
              <w:t>地</w:t>
            </w:r>
            <w:r>
              <w:rPr>
                <w:rFonts w:hint="eastAsia"/>
                <w:snapToGrid w:val="0"/>
                <w:color w:val="FF0000"/>
                <w:sz w:val="24"/>
                <w:u w:val="none"/>
                <w:lang w:bidi="ar"/>
              </w:rPr>
              <w:t>占评价区总面积的</w:t>
            </w:r>
            <w:r>
              <w:rPr>
                <w:rFonts w:hint="eastAsia"/>
                <w:snapToGrid w:val="0"/>
                <w:color w:val="FF0000"/>
                <w:sz w:val="24"/>
                <w:u w:val="none"/>
                <w:lang w:val="en-US" w:eastAsia="zh-CN" w:bidi="ar"/>
              </w:rPr>
              <w:t>10.09</w:t>
            </w:r>
            <w:r>
              <w:rPr>
                <w:snapToGrid w:val="0"/>
                <w:color w:val="FF0000"/>
                <w:sz w:val="24"/>
                <w:u w:val="none"/>
                <w:lang w:bidi="ar"/>
              </w:rPr>
              <w:t>%</w:t>
            </w:r>
            <w:r>
              <w:rPr>
                <w:rFonts w:hint="eastAsia"/>
                <w:snapToGrid w:val="0"/>
                <w:color w:val="FF0000"/>
                <w:sz w:val="24"/>
                <w:u w:val="none"/>
                <w:lang w:bidi="ar"/>
              </w:rPr>
              <w:t>，水域较少，占评价区总面积的</w:t>
            </w:r>
            <w:r>
              <w:rPr>
                <w:snapToGrid w:val="0"/>
                <w:color w:val="FF0000"/>
                <w:sz w:val="24"/>
                <w:u w:val="none"/>
                <w:lang w:bidi="ar"/>
              </w:rPr>
              <w:t>0.2</w:t>
            </w:r>
            <w:r>
              <w:rPr>
                <w:rFonts w:hint="eastAsia"/>
                <w:snapToGrid w:val="0"/>
                <w:color w:val="FF0000"/>
                <w:sz w:val="24"/>
                <w:u w:val="none"/>
                <w:lang w:val="en-US" w:eastAsia="zh-CN" w:bidi="ar"/>
              </w:rPr>
              <w:t>5</w:t>
            </w:r>
            <w:r>
              <w:rPr>
                <w:snapToGrid w:val="0"/>
                <w:color w:val="FF0000"/>
                <w:sz w:val="24"/>
                <w:u w:val="none"/>
                <w:lang w:bidi="ar"/>
              </w:rPr>
              <w:t>%。</w:t>
            </w:r>
          </w:p>
          <w:p w14:paraId="5C72E470">
            <w:pPr>
              <w:ind w:left="167" w:firstLine="422"/>
              <w:jc w:val="center"/>
              <w:rPr>
                <w:b/>
                <w:u w:val="none"/>
              </w:rPr>
            </w:pPr>
            <w:bookmarkStart w:id="291" w:name="_Ref404943385"/>
            <w:r>
              <w:rPr>
                <w:b/>
                <w:u w:val="none"/>
                <w:lang w:bidi="ar"/>
              </w:rPr>
              <w:t>表</w:t>
            </w:r>
            <w:r>
              <w:rPr>
                <w:rFonts w:hint="eastAsia"/>
                <w:b/>
                <w:u w:val="none"/>
                <w:lang w:bidi="ar"/>
              </w:rPr>
              <w:t>3</w:t>
            </w:r>
            <w:r>
              <w:rPr>
                <w:b/>
                <w:u w:val="none"/>
                <w:lang w:bidi="ar"/>
              </w:rPr>
              <w:noBreakHyphen/>
            </w:r>
            <w:r>
              <w:rPr>
                <w:rFonts w:hint="eastAsia"/>
                <w:b/>
                <w:u w:val="none"/>
                <w:lang w:val="en-US" w:eastAsia="zh-CN" w:bidi="ar"/>
              </w:rPr>
              <w:t>2</w:t>
            </w:r>
            <w:bookmarkEnd w:id="291"/>
            <w:r>
              <w:rPr>
                <w:rFonts w:hint="eastAsia"/>
                <w:u w:val="none"/>
                <w:lang w:val="en-US" w:eastAsia="zh-CN" w:bidi="ar"/>
              </w:rPr>
              <w:t xml:space="preserve">  </w:t>
            </w:r>
            <w:r>
              <w:rPr>
                <w:b/>
                <w:u w:val="none"/>
                <w:lang w:bidi="ar"/>
              </w:rPr>
              <w:t>评价区土地利用现状</w:t>
            </w:r>
          </w:p>
          <w:tbl>
            <w:tblPr>
              <w:tblStyle w:val="32"/>
              <w:tblW w:w="7931"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2775"/>
              <w:gridCol w:w="2774"/>
            </w:tblGrid>
            <w:tr w14:paraId="391E71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338C9F5F">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FF0000"/>
                      <w:kern w:val="2"/>
                      <w:sz w:val="21"/>
                      <w:szCs w:val="21"/>
                      <w:u w:val="none"/>
                      <w:lang w:val="en-US" w:eastAsia="zh-CN" w:bidi="ar-SA"/>
                    </w:rPr>
                  </w:pPr>
                  <w:r>
                    <w:rPr>
                      <w:b w:val="0"/>
                      <w:bCs/>
                      <w:color w:val="FF0000"/>
                      <w:sz w:val="21"/>
                      <w:szCs w:val="21"/>
                      <w:u w:val="none"/>
                      <w:lang w:bidi="ar"/>
                    </w:rPr>
                    <w:t>类型</w:t>
                  </w:r>
                </w:p>
              </w:tc>
              <w:tc>
                <w:tcPr>
                  <w:tcW w:w="2775" w:type="dxa"/>
                  <w:shd w:val="clear" w:color="auto" w:fill="auto"/>
                  <w:vAlign w:val="center"/>
                </w:tcPr>
                <w:p w14:paraId="28A6CF6B">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FF0000"/>
                      <w:kern w:val="2"/>
                      <w:sz w:val="21"/>
                      <w:szCs w:val="21"/>
                      <w:u w:val="none"/>
                      <w:lang w:val="en-US" w:eastAsia="zh-CN" w:bidi="ar-SA"/>
                    </w:rPr>
                  </w:pPr>
                  <w:r>
                    <w:rPr>
                      <w:b w:val="0"/>
                      <w:bCs/>
                      <w:color w:val="FF0000"/>
                      <w:sz w:val="21"/>
                      <w:szCs w:val="21"/>
                      <w:u w:val="none"/>
                      <w:lang w:bidi="ar"/>
                    </w:rPr>
                    <w:t>面积（hm</w:t>
                  </w:r>
                  <w:r>
                    <w:rPr>
                      <w:b w:val="0"/>
                      <w:bCs/>
                      <w:color w:val="FF0000"/>
                      <w:sz w:val="21"/>
                      <w:szCs w:val="21"/>
                      <w:u w:val="none"/>
                      <w:vertAlign w:val="superscript"/>
                      <w:lang w:bidi="ar"/>
                    </w:rPr>
                    <w:t>2</w:t>
                  </w:r>
                  <w:r>
                    <w:rPr>
                      <w:b w:val="0"/>
                      <w:bCs/>
                      <w:color w:val="FF0000"/>
                      <w:sz w:val="21"/>
                      <w:szCs w:val="21"/>
                      <w:u w:val="none"/>
                      <w:lang w:bidi="ar"/>
                    </w:rPr>
                    <w:t>）</w:t>
                  </w:r>
                </w:p>
              </w:tc>
              <w:tc>
                <w:tcPr>
                  <w:tcW w:w="2774" w:type="dxa"/>
                  <w:tcBorders>
                    <w:right w:val="nil"/>
                  </w:tcBorders>
                  <w:shd w:val="clear" w:color="auto" w:fill="auto"/>
                  <w:vAlign w:val="center"/>
                </w:tcPr>
                <w:p w14:paraId="0D1FFDE2">
                  <w:pPr>
                    <w:keepNext w:val="0"/>
                    <w:keepLines w:val="0"/>
                    <w:pageBreakBefore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FF0000"/>
                      <w:kern w:val="2"/>
                      <w:sz w:val="21"/>
                      <w:szCs w:val="21"/>
                      <w:u w:val="none"/>
                      <w:lang w:val="en-US" w:eastAsia="zh-CN" w:bidi="ar-SA"/>
                    </w:rPr>
                  </w:pPr>
                  <w:r>
                    <w:rPr>
                      <w:b w:val="0"/>
                      <w:bCs/>
                      <w:color w:val="FF0000"/>
                      <w:sz w:val="21"/>
                      <w:szCs w:val="21"/>
                      <w:u w:val="none"/>
                      <w:lang w:bidi="ar"/>
                    </w:rPr>
                    <w:t>占评价区（%）</w:t>
                  </w:r>
                </w:p>
              </w:tc>
            </w:tr>
            <w:tr w14:paraId="5BABEB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78C1221E">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林地</w:t>
                  </w:r>
                </w:p>
              </w:tc>
              <w:tc>
                <w:tcPr>
                  <w:tcW w:w="2775" w:type="dxa"/>
                  <w:shd w:val="clear" w:color="auto" w:fill="auto"/>
                  <w:vAlign w:val="bottom"/>
                </w:tcPr>
                <w:p w14:paraId="30BDC3FD">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1654.62</w:t>
                  </w:r>
                </w:p>
              </w:tc>
              <w:tc>
                <w:tcPr>
                  <w:tcW w:w="2774" w:type="dxa"/>
                  <w:tcBorders>
                    <w:right w:val="nil"/>
                  </w:tcBorders>
                  <w:shd w:val="clear" w:color="auto" w:fill="auto"/>
                  <w:vAlign w:val="bottom"/>
                </w:tcPr>
                <w:p w14:paraId="34075C47">
                  <w:pPr>
                    <w:keepNext w:val="0"/>
                    <w:keepLines w:val="0"/>
                    <w:pageBreakBefore w:val="0"/>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bidi="ar"/>
                    </w:rPr>
                  </w:pPr>
                  <w:r>
                    <w:rPr>
                      <w:rFonts w:hint="eastAsia"/>
                      <w:b w:val="0"/>
                      <w:bCs/>
                      <w:color w:val="FF0000"/>
                      <w:sz w:val="21"/>
                      <w:szCs w:val="21"/>
                      <w:u w:val="none"/>
                      <w:lang w:val="en-US" w:eastAsia="zh-CN" w:bidi="ar"/>
                    </w:rPr>
                    <w:t>58.41</w:t>
                  </w:r>
                </w:p>
              </w:tc>
            </w:tr>
            <w:tr w14:paraId="6C6913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2" w:type="dxa"/>
                  <w:tcBorders>
                    <w:left w:val="nil"/>
                  </w:tcBorders>
                  <w:shd w:val="clear" w:color="auto" w:fill="auto"/>
                  <w:vAlign w:val="center"/>
                </w:tcPr>
                <w:p w14:paraId="20F78BE8">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灌草地</w:t>
                  </w:r>
                </w:p>
              </w:tc>
              <w:tc>
                <w:tcPr>
                  <w:tcW w:w="2775" w:type="dxa"/>
                  <w:shd w:val="clear" w:color="auto" w:fill="auto"/>
                  <w:vAlign w:val="bottom"/>
                </w:tcPr>
                <w:p w14:paraId="35EAEE02">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749.74</w:t>
                  </w:r>
                </w:p>
              </w:tc>
              <w:tc>
                <w:tcPr>
                  <w:tcW w:w="2774" w:type="dxa"/>
                  <w:tcBorders>
                    <w:right w:val="nil"/>
                  </w:tcBorders>
                  <w:shd w:val="clear" w:color="auto" w:fill="auto"/>
                  <w:vAlign w:val="bottom"/>
                </w:tcPr>
                <w:p w14:paraId="4B376085">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26.47</w:t>
                  </w:r>
                </w:p>
              </w:tc>
            </w:tr>
            <w:tr w14:paraId="55B83F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638BC349">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耕地</w:t>
                  </w:r>
                </w:p>
              </w:tc>
              <w:tc>
                <w:tcPr>
                  <w:tcW w:w="2775" w:type="dxa"/>
                  <w:shd w:val="clear" w:color="auto" w:fill="auto"/>
                  <w:vAlign w:val="bottom"/>
                </w:tcPr>
                <w:p w14:paraId="6A0B1C9E">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285.76</w:t>
                  </w:r>
                </w:p>
              </w:tc>
              <w:tc>
                <w:tcPr>
                  <w:tcW w:w="2774" w:type="dxa"/>
                  <w:tcBorders>
                    <w:right w:val="nil"/>
                  </w:tcBorders>
                  <w:shd w:val="clear" w:color="auto" w:fill="auto"/>
                  <w:vAlign w:val="bottom"/>
                </w:tcPr>
                <w:p w14:paraId="443737E4">
                  <w:pPr>
                    <w:keepNext w:val="0"/>
                    <w:keepLines w:val="0"/>
                    <w:pageBreakBefore w:val="0"/>
                    <w:kinsoku/>
                    <w:wordWrap/>
                    <w:overflowPunct/>
                    <w:topLinePunct w:val="0"/>
                    <w:autoSpaceDE/>
                    <w:autoSpaceDN/>
                    <w:bidi w:val="0"/>
                    <w:adjustRightInd/>
                    <w:snapToGrid/>
                    <w:jc w:val="center"/>
                    <w:textAlignment w:val="auto"/>
                    <w:rPr>
                      <w:rFonts w:hint="default"/>
                      <w:b w:val="0"/>
                      <w:bCs/>
                      <w:color w:val="FF0000"/>
                      <w:sz w:val="21"/>
                      <w:szCs w:val="21"/>
                      <w:u w:val="none"/>
                      <w:lang w:val="en-US" w:eastAsia="zh-CN" w:bidi="ar"/>
                    </w:rPr>
                  </w:pPr>
                  <w:r>
                    <w:rPr>
                      <w:rFonts w:hint="eastAsia"/>
                      <w:b w:val="0"/>
                      <w:bCs/>
                      <w:color w:val="FF0000"/>
                      <w:sz w:val="21"/>
                      <w:szCs w:val="21"/>
                      <w:u w:val="none"/>
                      <w:lang w:val="en-US" w:eastAsia="zh-CN" w:bidi="ar"/>
                    </w:rPr>
                    <w:t>10.09</w:t>
                  </w:r>
                </w:p>
              </w:tc>
            </w:tr>
            <w:tr w14:paraId="2C8FFF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0CCBACA5">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水域</w:t>
                  </w:r>
                </w:p>
              </w:tc>
              <w:tc>
                <w:tcPr>
                  <w:tcW w:w="2775" w:type="dxa"/>
                  <w:shd w:val="clear" w:color="auto" w:fill="auto"/>
                  <w:vAlign w:val="bottom"/>
                </w:tcPr>
                <w:p w14:paraId="005FAC88">
                  <w:pPr>
                    <w:keepNext w:val="0"/>
                    <w:keepLines w:val="0"/>
                    <w:pageBreakBefore w:val="0"/>
                    <w:widowControl/>
                    <w:kinsoku/>
                    <w:wordWrap/>
                    <w:overflowPunct/>
                    <w:topLinePunct w:val="0"/>
                    <w:autoSpaceDE/>
                    <w:autoSpaceDN/>
                    <w:bidi w:val="0"/>
                    <w:adjustRightInd/>
                    <w:snapToGrid/>
                    <w:jc w:val="center"/>
                    <w:textAlignment w:val="auto"/>
                    <w:rPr>
                      <w:rFonts w:hint="default"/>
                      <w:b w:val="0"/>
                      <w:bCs/>
                      <w:color w:val="FF0000"/>
                      <w:sz w:val="21"/>
                      <w:szCs w:val="21"/>
                      <w:u w:val="none"/>
                      <w:lang w:val="en-US"/>
                    </w:rPr>
                  </w:pPr>
                  <w:r>
                    <w:rPr>
                      <w:rFonts w:hint="eastAsia" w:eastAsia="等线"/>
                      <w:b w:val="0"/>
                      <w:bCs/>
                      <w:color w:val="FF0000"/>
                      <w:sz w:val="21"/>
                      <w:szCs w:val="21"/>
                      <w:u w:val="none"/>
                      <w:lang w:val="en-US" w:eastAsia="zh-CN"/>
                    </w:rPr>
                    <w:t>6.96</w:t>
                  </w:r>
                </w:p>
              </w:tc>
              <w:tc>
                <w:tcPr>
                  <w:tcW w:w="2774" w:type="dxa"/>
                  <w:tcBorders>
                    <w:right w:val="nil"/>
                  </w:tcBorders>
                  <w:shd w:val="clear" w:color="auto" w:fill="auto"/>
                  <w:vAlign w:val="bottom"/>
                </w:tcPr>
                <w:p w14:paraId="2FA98370">
                  <w:pPr>
                    <w:keepNext w:val="0"/>
                    <w:keepLines w:val="0"/>
                    <w:pageBreakBefore w:val="0"/>
                    <w:widowControl/>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rPr>
                  </w:pPr>
                  <w:r>
                    <w:rPr>
                      <w:rFonts w:hint="eastAsia"/>
                      <w:b w:val="0"/>
                      <w:bCs/>
                      <w:color w:val="FF0000"/>
                      <w:sz w:val="21"/>
                      <w:szCs w:val="21"/>
                      <w:u w:val="none"/>
                      <w:lang w:val="en-US" w:eastAsia="zh-CN"/>
                    </w:rPr>
                    <w:t>0.25</w:t>
                  </w:r>
                </w:p>
              </w:tc>
            </w:tr>
            <w:tr w14:paraId="7747F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71D73305">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建设用地</w:t>
                  </w:r>
                </w:p>
              </w:tc>
              <w:tc>
                <w:tcPr>
                  <w:tcW w:w="2775" w:type="dxa"/>
                  <w:shd w:val="clear" w:color="auto" w:fill="auto"/>
                  <w:vAlign w:val="bottom"/>
                </w:tcPr>
                <w:p w14:paraId="61657473">
                  <w:pPr>
                    <w:keepNext w:val="0"/>
                    <w:keepLines w:val="0"/>
                    <w:pageBreakBefore w:val="0"/>
                    <w:widowControl/>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rPr>
                  </w:pPr>
                  <w:r>
                    <w:rPr>
                      <w:rFonts w:hint="eastAsia"/>
                      <w:b w:val="0"/>
                      <w:bCs/>
                      <w:color w:val="FF0000"/>
                      <w:sz w:val="21"/>
                      <w:szCs w:val="21"/>
                      <w:u w:val="none"/>
                      <w:lang w:val="en-US" w:eastAsia="zh-CN"/>
                    </w:rPr>
                    <w:t>135.71</w:t>
                  </w:r>
                </w:p>
              </w:tc>
              <w:tc>
                <w:tcPr>
                  <w:tcW w:w="2774" w:type="dxa"/>
                  <w:tcBorders>
                    <w:right w:val="nil"/>
                  </w:tcBorders>
                  <w:shd w:val="clear" w:color="auto" w:fill="auto"/>
                  <w:vAlign w:val="bottom"/>
                </w:tcPr>
                <w:p w14:paraId="6DE18F27">
                  <w:pPr>
                    <w:keepNext w:val="0"/>
                    <w:keepLines w:val="0"/>
                    <w:pageBreakBefore w:val="0"/>
                    <w:widowControl/>
                    <w:kinsoku/>
                    <w:wordWrap/>
                    <w:overflowPunct/>
                    <w:topLinePunct w:val="0"/>
                    <w:autoSpaceDE/>
                    <w:autoSpaceDN/>
                    <w:bidi w:val="0"/>
                    <w:adjustRightInd/>
                    <w:snapToGrid/>
                    <w:jc w:val="center"/>
                    <w:textAlignment w:val="auto"/>
                    <w:rPr>
                      <w:rFonts w:hint="default" w:eastAsia="宋体"/>
                      <w:b w:val="0"/>
                      <w:bCs/>
                      <w:color w:val="FF0000"/>
                      <w:sz w:val="21"/>
                      <w:szCs w:val="21"/>
                      <w:u w:val="none"/>
                      <w:lang w:val="en-US" w:eastAsia="zh-CN"/>
                    </w:rPr>
                  </w:pPr>
                  <w:r>
                    <w:rPr>
                      <w:rFonts w:hint="eastAsia"/>
                      <w:b w:val="0"/>
                      <w:bCs/>
                      <w:color w:val="FF0000"/>
                      <w:sz w:val="21"/>
                      <w:szCs w:val="21"/>
                      <w:u w:val="none"/>
                      <w:lang w:val="en-US" w:eastAsia="zh-CN"/>
                    </w:rPr>
                    <w:t>4.79</w:t>
                  </w:r>
                </w:p>
              </w:tc>
            </w:tr>
            <w:tr w14:paraId="59059E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382" w:type="dxa"/>
                  <w:tcBorders>
                    <w:left w:val="nil"/>
                  </w:tcBorders>
                  <w:shd w:val="clear" w:color="auto" w:fill="auto"/>
                  <w:vAlign w:val="center"/>
                </w:tcPr>
                <w:p w14:paraId="4453F1A1">
                  <w:pPr>
                    <w:keepNext w:val="0"/>
                    <w:keepLines w:val="0"/>
                    <w:pageBreakBefore w:val="0"/>
                    <w:kinsoku/>
                    <w:wordWrap/>
                    <w:overflowPunct/>
                    <w:topLinePunct w:val="0"/>
                    <w:autoSpaceDE/>
                    <w:autoSpaceDN/>
                    <w:bidi w:val="0"/>
                    <w:adjustRightInd/>
                    <w:snapToGrid/>
                    <w:jc w:val="center"/>
                    <w:textAlignment w:val="auto"/>
                    <w:rPr>
                      <w:b w:val="0"/>
                      <w:bCs/>
                      <w:color w:val="FF0000"/>
                      <w:sz w:val="21"/>
                      <w:szCs w:val="21"/>
                      <w:u w:val="none"/>
                    </w:rPr>
                  </w:pPr>
                  <w:r>
                    <w:rPr>
                      <w:b w:val="0"/>
                      <w:bCs/>
                      <w:color w:val="FF0000"/>
                      <w:sz w:val="21"/>
                      <w:szCs w:val="21"/>
                      <w:u w:val="none"/>
                      <w:lang w:bidi="ar"/>
                    </w:rPr>
                    <w:t>合计</w:t>
                  </w:r>
                </w:p>
              </w:tc>
              <w:tc>
                <w:tcPr>
                  <w:tcW w:w="2775" w:type="dxa"/>
                  <w:shd w:val="clear" w:color="auto" w:fill="auto"/>
                  <w:vAlign w:val="bottom"/>
                </w:tcPr>
                <w:p w14:paraId="174A5FA3">
                  <w:pPr>
                    <w:keepNext w:val="0"/>
                    <w:keepLines w:val="0"/>
                    <w:pageBreakBefore w:val="0"/>
                    <w:widowControl/>
                    <w:kinsoku/>
                    <w:wordWrap/>
                    <w:overflowPunct/>
                    <w:topLinePunct w:val="0"/>
                    <w:autoSpaceDE/>
                    <w:autoSpaceDN/>
                    <w:bidi w:val="0"/>
                    <w:adjustRightInd/>
                    <w:snapToGrid/>
                    <w:jc w:val="center"/>
                    <w:textAlignment w:val="auto"/>
                    <w:rPr>
                      <w:rFonts w:hint="default"/>
                      <w:b w:val="0"/>
                      <w:bCs/>
                      <w:color w:val="FF0000"/>
                      <w:sz w:val="21"/>
                      <w:szCs w:val="21"/>
                      <w:u w:val="none"/>
                      <w:lang w:val="en-US"/>
                    </w:rPr>
                  </w:pPr>
                  <w:r>
                    <w:rPr>
                      <w:rFonts w:hint="eastAsia" w:eastAsia="等线"/>
                      <w:b w:val="0"/>
                      <w:bCs/>
                      <w:color w:val="FF0000"/>
                      <w:sz w:val="21"/>
                      <w:szCs w:val="21"/>
                      <w:u w:val="none"/>
                      <w:lang w:val="en-US" w:eastAsia="zh-CN"/>
                    </w:rPr>
                    <w:t>2832.79</w:t>
                  </w:r>
                </w:p>
              </w:tc>
              <w:tc>
                <w:tcPr>
                  <w:tcW w:w="2774" w:type="dxa"/>
                  <w:tcBorders>
                    <w:right w:val="nil"/>
                  </w:tcBorders>
                  <w:shd w:val="clear" w:color="auto" w:fill="auto"/>
                  <w:vAlign w:val="bottom"/>
                </w:tcPr>
                <w:p w14:paraId="149712B3">
                  <w:pPr>
                    <w:keepNext w:val="0"/>
                    <w:keepLines w:val="0"/>
                    <w:pageBreakBefore w:val="0"/>
                    <w:widowControl/>
                    <w:kinsoku/>
                    <w:wordWrap/>
                    <w:overflowPunct/>
                    <w:topLinePunct w:val="0"/>
                    <w:autoSpaceDE/>
                    <w:autoSpaceDN/>
                    <w:bidi w:val="0"/>
                    <w:adjustRightInd/>
                    <w:snapToGrid/>
                    <w:jc w:val="center"/>
                    <w:textAlignment w:val="auto"/>
                    <w:rPr>
                      <w:b w:val="0"/>
                      <w:bCs/>
                      <w:color w:val="FF0000"/>
                      <w:sz w:val="21"/>
                      <w:szCs w:val="21"/>
                      <w:u w:val="none"/>
                    </w:rPr>
                  </w:pPr>
                  <w:r>
                    <w:rPr>
                      <w:rFonts w:eastAsia="等线"/>
                      <w:b w:val="0"/>
                      <w:bCs/>
                      <w:color w:val="FF0000"/>
                      <w:sz w:val="21"/>
                      <w:szCs w:val="21"/>
                      <w:u w:val="none"/>
                    </w:rPr>
                    <w:t>100</w:t>
                  </w:r>
                </w:p>
              </w:tc>
            </w:tr>
          </w:tbl>
          <w:p w14:paraId="05E51610">
            <w:pPr>
              <w:pStyle w:val="57"/>
              <w:ind w:left="0" w:leftChars="0" w:right="42" w:firstLine="0" w:firstLineChars="0"/>
              <w:rPr>
                <w:b/>
                <w:bCs/>
                <w:u w:val="none"/>
              </w:rPr>
            </w:pPr>
            <w:r>
              <w:rPr>
                <w:rFonts w:hint="eastAsia"/>
                <w:b/>
                <w:bCs/>
                <w:u w:val="none"/>
              </w:rPr>
              <w:t>2.</w:t>
            </w:r>
            <w:r>
              <w:rPr>
                <w:b/>
                <w:bCs/>
                <w:u w:val="none"/>
              </w:rPr>
              <w:t>2</w:t>
            </w:r>
            <w:r>
              <w:rPr>
                <w:rFonts w:hint="eastAsia"/>
                <w:b/>
                <w:bCs/>
                <w:u w:val="none"/>
              </w:rPr>
              <w:t>生态系统现状</w:t>
            </w:r>
          </w:p>
          <w:p w14:paraId="2382564B">
            <w:pPr>
              <w:pStyle w:val="62"/>
              <w:ind w:firstLine="480"/>
              <w:rPr>
                <w:b/>
                <w:bCs/>
                <w:u w:val="none"/>
              </w:rPr>
            </w:pPr>
            <w:r>
              <w:rPr>
                <w:rFonts w:hint="eastAsia" w:cs="Times New Roman"/>
                <w:u w:val="none"/>
              </w:rPr>
              <w:t>（1）森林生态系统</w:t>
            </w:r>
          </w:p>
          <w:p w14:paraId="0321EE2D">
            <w:pPr>
              <w:pStyle w:val="57"/>
              <w:ind w:left="42" w:right="42" w:firstLine="480"/>
              <w:rPr>
                <w:color w:val="FF0000"/>
                <w:u w:val="none"/>
              </w:rPr>
            </w:pPr>
            <w:r>
              <w:rPr>
                <w:rFonts w:hint="eastAsia"/>
                <w:color w:val="FF0000"/>
                <w:u w:val="none"/>
              </w:rPr>
              <w:t>评价区森林生态系统面积为</w:t>
            </w:r>
            <w:r>
              <w:rPr>
                <w:rFonts w:hint="eastAsia"/>
                <w:color w:val="FF0000"/>
                <w:u w:val="none"/>
                <w:lang w:val="en-US" w:eastAsia="zh-CN"/>
              </w:rPr>
              <w:t>1654.62</w:t>
            </w:r>
            <w:r>
              <w:rPr>
                <w:rFonts w:hint="eastAsia"/>
                <w:color w:val="FF0000"/>
                <w:u w:val="none"/>
              </w:rPr>
              <w:t>hm</w:t>
            </w:r>
            <w:r>
              <w:rPr>
                <w:rFonts w:hint="eastAsia"/>
                <w:color w:val="FF0000"/>
                <w:u w:val="none"/>
                <w:vertAlign w:val="superscript"/>
              </w:rPr>
              <w:t>2</w:t>
            </w:r>
            <w:r>
              <w:rPr>
                <w:rFonts w:hint="eastAsia"/>
                <w:color w:val="FF0000"/>
                <w:u w:val="none"/>
              </w:rPr>
              <w:t>，占评价区总面积的</w:t>
            </w:r>
            <w:r>
              <w:rPr>
                <w:rFonts w:hint="eastAsia"/>
                <w:color w:val="FF0000"/>
                <w:u w:val="none"/>
                <w:lang w:val="en-US" w:eastAsia="zh-CN"/>
              </w:rPr>
              <w:t>58.41</w:t>
            </w:r>
            <w:r>
              <w:rPr>
                <w:rFonts w:hint="eastAsia"/>
                <w:color w:val="FF0000"/>
                <w:u w:val="none"/>
              </w:rPr>
              <w:t>%。根据现场调查，评价区森林生态系统内植被多以针叶林为主，针叶林主要为低山针叶林，其常呈片状分布于山坡中部和下部，常见的群系有杉木林（</w:t>
            </w:r>
            <w:r>
              <w:rPr>
                <w:rFonts w:hint="eastAsia"/>
                <w:i/>
                <w:iCs/>
                <w:color w:val="FF0000"/>
                <w:u w:val="none"/>
              </w:rPr>
              <w:t>Form.Cunninghamia lanceolata</w:t>
            </w:r>
            <w:r>
              <w:rPr>
                <w:rFonts w:hint="eastAsia"/>
                <w:color w:val="FF0000"/>
                <w:u w:val="none"/>
              </w:rPr>
              <w:t>）、马尾松林（</w:t>
            </w:r>
            <w:r>
              <w:rPr>
                <w:rFonts w:hint="eastAsia"/>
                <w:i/>
                <w:iCs/>
                <w:color w:val="FF0000"/>
                <w:u w:val="none"/>
              </w:rPr>
              <w:t>Form.Pinus massoniana</w:t>
            </w:r>
            <w:r>
              <w:rPr>
                <w:rFonts w:hint="eastAsia"/>
                <w:color w:val="FF0000"/>
                <w:u w:val="none"/>
              </w:rPr>
              <w:t>）等。评价区森林生态系统内植被多以人工林为主，群落内层次结构简单，物种组成贫乏，常见的植物有杉木（</w:t>
            </w:r>
            <w:r>
              <w:rPr>
                <w:rFonts w:hint="eastAsia"/>
                <w:i/>
                <w:iCs/>
                <w:color w:val="FF0000"/>
                <w:u w:val="none"/>
              </w:rPr>
              <w:t>Cunninghamia lanceolata</w:t>
            </w:r>
            <w:r>
              <w:rPr>
                <w:rFonts w:hint="eastAsia"/>
                <w:color w:val="FF0000"/>
                <w:u w:val="none"/>
              </w:rPr>
              <w:t>）、马尾松（</w:t>
            </w:r>
            <w:r>
              <w:rPr>
                <w:rFonts w:hint="eastAsia"/>
                <w:i/>
                <w:iCs/>
                <w:color w:val="FF0000"/>
                <w:u w:val="none"/>
              </w:rPr>
              <w:t>Pinus massoniana</w:t>
            </w:r>
            <w:r>
              <w:rPr>
                <w:rFonts w:hint="eastAsia"/>
                <w:color w:val="FF0000"/>
                <w:u w:val="none"/>
              </w:rPr>
              <w:t>）等。</w:t>
            </w:r>
          </w:p>
          <w:p w14:paraId="06101316">
            <w:pPr>
              <w:pStyle w:val="57"/>
              <w:ind w:left="42" w:right="42" w:firstLine="480"/>
              <w:rPr>
                <w:u w:val="none"/>
              </w:rPr>
            </w:pPr>
            <w:r>
              <w:rPr>
                <w:rFonts w:hint="eastAsia"/>
                <w:u w:val="none"/>
              </w:rPr>
              <w:t>森林生态系统亦是多种动物的栖息地，如两栖类中的陆栖型种类中华蟾蜍（</w:t>
            </w:r>
            <w:r>
              <w:rPr>
                <w:rFonts w:hint="eastAsia"/>
                <w:i/>
                <w:iCs/>
                <w:u w:val="none"/>
              </w:rPr>
              <w:t>Bufo gargarizans</w:t>
            </w:r>
            <w:r>
              <w:rPr>
                <w:rFonts w:hint="eastAsia"/>
                <w:u w:val="none"/>
              </w:rPr>
              <w:t>），爬行类中的灌丛石隙型种类，如王锦蛇</w:t>
            </w:r>
            <w:r>
              <w:rPr>
                <w:rFonts w:hint="eastAsia"/>
                <w:u w:val="none"/>
                <w:lang w:eastAsia="zh-CN"/>
              </w:rPr>
              <w:t>（</w:t>
            </w:r>
            <w:r>
              <w:rPr>
                <w:rFonts w:hint="eastAsia"/>
                <w:i/>
                <w:iCs/>
                <w:u w:val="none"/>
              </w:rPr>
              <w:t>Elaphe carinata</w:t>
            </w:r>
            <w:r>
              <w:rPr>
                <w:rFonts w:hint="eastAsia"/>
                <w:u w:val="none"/>
                <w:lang w:eastAsia="zh-CN"/>
              </w:rPr>
              <w:t>）</w:t>
            </w:r>
            <w:r>
              <w:rPr>
                <w:rFonts w:hint="eastAsia"/>
                <w:u w:val="none"/>
              </w:rPr>
              <w:t>等；鸟类中的陆禽如灰胸竹鸡（</w:t>
            </w:r>
            <w:r>
              <w:rPr>
                <w:rFonts w:hint="eastAsia"/>
                <w:i/>
                <w:iCs/>
                <w:u w:val="none"/>
              </w:rPr>
              <w:t>Bambusicola thoracica</w:t>
            </w:r>
            <w:r>
              <w:rPr>
                <w:rFonts w:hint="eastAsia"/>
                <w:u w:val="none"/>
              </w:rPr>
              <w:t>）、山斑鸠</w:t>
            </w:r>
            <w:r>
              <w:rPr>
                <w:rFonts w:hint="eastAsia"/>
                <w:u w:val="none"/>
                <w:lang w:eastAsia="zh-CN"/>
              </w:rPr>
              <w:t>（</w:t>
            </w:r>
            <w:r>
              <w:rPr>
                <w:rFonts w:hint="eastAsia"/>
                <w:i/>
                <w:iCs/>
                <w:u w:val="none"/>
              </w:rPr>
              <w:t>Streptope liaorientalis</w:t>
            </w:r>
            <w:r>
              <w:rPr>
                <w:rFonts w:hint="eastAsia"/>
                <w:u w:val="none"/>
                <w:lang w:eastAsia="zh-CN"/>
              </w:rPr>
              <w:t>）</w:t>
            </w:r>
            <w:r>
              <w:rPr>
                <w:rFonts w:hint="eastAsia"/>
                <w:u w:val="none"/>
              </w:rPr>
              <w:t>等；猛禽如</w:t>
            </w:r>
            <w:r>
              <w:rPr>
                <w:rFonts w:hint="eastAsia"/>
                <w:u w:val="none"/>
                <w:lang w:val="en-US" w:eastAsia="zh-CN"/>
              </w:rPr>
              <w:t>红隼（</w:t>
            </w:r>
            <w:r>
              <w:rPr>
                <w:rFonts w:hint="default" w:ascii="Times New Roman" w:hAnsi="Times New Roman" w:cs="Times New Roman"/>
                <w:i/>
                <w:iCs w:val="0"/>
                <w:kern w:val="0"/>
                <w:sz w:val="24"/>
              </w:rPr>
              <w:t>Falco tinnunculus</w:t>
            </w:r>
            <w:r>
              <w:rPr>
                <w:rFonts w:hint="eastAsia"/>
                <w:u w:val="none"/>
                <w:lang w:val="en-US" w:eastAsia="zh-CN"/>
              </w:rPr>
              <w:t>）</w:t>
            </w:r>
            <w:r>
              <w:rPr>
                <w:rFonts w:hint="eastAsia"/>
                <w:u w:val="none"/>
              </w:rPr>
              <w:t>等；攀禽如四声杜鹃</w:t>
            </w:r>
            <w:r>
              <w:rPr>
                <w:rFonts w:hint="eastAsia"/>
                <w:u w:val="none"/>
                <w:lang w:eastAsia="zh-CN"/>
              </w:rPr>
              <w:t>（</w:t>
            </w:r>
            <w:r>
              <w:rPr>
                <w:rFonts w:hint="eastAsia"/>
                <w:i/>
                <w:iCs/>
                <w:u w:val="none"/>
              </w:rPr>
              <w:t>Cucolus micropterus</w:t>
            </w:r>
            <w:r>
              <w:rPr>
                <w:rFonts w:hint="eastAsia"/>
                <w:u w:val="none"/>
                <w:lang w:eastAsia="zh-CN"/>
              </w:rPr>
              <w:t>）</w:t>
            </w:r>
            <w:r>
              <w:rPr>
                <w:rFonts w:hint="eastAsia"/>
                <w:u w:val="none"/>
              </w:rPr>
              <w:t>等，鸣禽如红嘴蓝鹊</w:t>
            </w:r>
            <w:r>
              <w:rPr>
                <w:rFonts w:hint="eastAsia"/>
                <w:u w:val="none"/>
                <w:lang w:eastAsia="zh-CN"/>
              </w:rPr>
              <w:t>（</w:t>
            </w:r>
            <w:r>
              <w:rPr>
                <w:rFonts w:hint="eastAsia"/>
                <w:i/>
                <w:iCs/>
                <w:u w:val="none"/>
              </w:rPr>
              <w:t>Urocissaery throrhyncha</w:t>
            </w:r>
            <w:r>
              <w:rPr>
                <w:rFonts w:hint="eastAsia"/>
                <w:u w:val="none"/>
                <w:lang w:eastAsia="zh-CN"/>
              </w:rPr>
              <w:t>）</w:t>
            </w:r>
            <w:r>
              <w:rPr>
                <w:rFonts w:hint="eastAsia"/>
                <w:u w:val="none"/>
              </w:rPr>
              <w:t>、大山雀</w:t>
            </w:r>
            <w:r>
              <w:rPr>
                <w:rFonts w:hint="eastAsia"/>
                <w:u w:val="none"/>
                <w:lang w:eastAsia="zh-CN"/>
              </w:rPr>
              <w:t>（</w:t>
            </w:r>
            <w:r>
              <w:rPr>
                <w:rFonts w:hint="eastAsia"/>
                <w:i/>
                <w:iCs/>
                <w:u w:val="none"/>
              </w:rPr>
              <w:t>Parus major</w:t>
            </w:r>
            <w:r>
              <w:rPr>
                <w:rFonts w:hint="eastAsia"/>
                <w:u w:val="none"/>
                <w:lang w:eastAsia="zh-CN"/>
              </w:rPr>
              <w:t>）</w:t>
            </w:r>
            <w:r>
              <w:rPr>
                <w:rFonts w:hint="eastAsia"/>
                <w:u w:val="none"/>
              </w:rPr>
              <w:t>等；哺乳类中的半地下活型种类如黄鼬</w:t>
            </w:r>
            <w:r>
              <w:rPr>
                <w:rFonts w:hint="eastAsia"/>
                <w:u w:val="none"/>
                <w:lang w:eastAsia="zh-CN"/>
              </w:rPr>
              <w:t>（</w:t>
            </w:r>
            <w:r>
              <w:rPr>
                <w:rFonts w:hint="eastAsia"/>
                <w:i/>
                <w:iCs/>
                <w:u w:val="none"/>
              </w:rPr>
              <w:t>Mustela sibirica</w:t>
            </w:r>
            <w:r>
              <w:rPr>
                <w:rFonts w:hint="eastAsia"/>
                <w:u w:val="none"/>
                <w:lang w:eastAsia="zh-CN"/>
              </w:rPr>
              <w:t>）</w:t>
            </w:r>
            <w:r>
              <w:rPr>
                <w:rFonts w:hint="eastAsia"/>
                <w:u w:val="none"/>
              </w:rPr>
              <w:t>等。</w:t>
            </w:r>
          </w:p>
          <w:p w14:paraId="242F4DDD">
            <w:pPr>
              <w:pStyle w:val="57"/>
              <w:ind w:left="42" w:right="42" w:firstLine="480"/>
              <w:rPr>
                <w:u w:val="none"/>
              </w:rPr>
            </w:pPr>
            <w:r>
              <w:rPr>
                <w:rFonts w:hint="eastAsia"/>
                <w:u w:val="none"/>
              </w:rPr>
              <w:t>评价区森林生态系统面积不大，其主要特点为：多为人工林，以纯林为主，林相整齐，植被层次结构、层片结构相对简单；食物网结构、营养结构相对较简单，生态系统服务功能不强。</w:t>
            </w:r>
          </w:p>
          <w:p w14:paraId="52FEA053">
            <w:pPr>
              <w:pStyle w:val="62"/>
              <w:ind w:firstLine="480"/>
              <w:rPr>
                <w:b/>
                <w:bCs/>
                <w:u w:val="none"/>
              </w:rPr>
            </w:pPr>
            <w:r>
              <w:rPr>
                <w:rFonts w:hint="eastAsia" w:cs="Times New Roman"/>
                <w:u w:val="none"/>
              </w:rPr>
              <w:t>（2）灌丛/草地生态系统</w:t>
            </w:r>
          </w:p>
          <w:p w14:paraId="1C88052C">
            <w:pPr>
              <w:pStyle w:val="57"/>
              <w:ind w:left="42" w:right="42" w:firstLine="480"/>
              <w:rPr>
                <w:color w:val="FF0000"/>
                <w:u w:val="none"/>
              </w:rPr>
            </w:pPr>
            <w:r>
              <w:rPr>
                <w:rFonts w:hint="eastAsia"/>
                <w:color w:val="FF0000"/>
                <w:u w:val="none"/>
              </w:rPr>
              <w:t>评价区灌丛/草地生态系统面积为</w:t>
            </w:r>
            <w:r>
              <w:rPr>
                <w:rFonts w:hint="eastAsia"/>
                <w:color w:val="FF0000"/>
                <w:u w:val="none"/>
                <w:lang w:val="en-US" w:eastAsia="zh-CN"/>
              </w:rPr>
              <w:t>749.74</w:t>
            </w:r>
            <w:r>
              <w:rPr>
                <w:rFonts w:hint="eastAsia"/>
                <w:color w:val="FF0000"/>
                <w:u w:val="none"/>
              </w:rPr>
              <w:t>hm</w:t>
            </w:r>
            <w:r>
              <w:rPr>
                <w:rFonts w:hint="eastAsia"/>
                <w:color w:val="FF0000"/>
                <w:u w:val="none"/>
                <w:vertAlign w:val="superscript"/>
              </w:rPr>
              <w:t>2</w:t>
            </w:r>
            <w:r>
              <w:rPr>
                <w:rFonts w:hint="eastAsia"/>
                <w:color w:val="FF0000"/>
                <w:u w:val="none"/>
              </w:rPr>
              <w:t>，占总面积的</w:t>
            </w:r>
            <w:r>
              <w:rPr>
                <w:rFonts w:hint="eastAsia"/>
                <w:color w:val="FF0000"/>
                <w:u w:val="none"/>
                <w:lang w:val="en-US" w:eastAsia="zh-CN"/>
              </w:rPr>
              <w:t>26.47</w:t>
            </w:r>
            <w:r>
              <w:rPr>
                <w:rFonts w:hint="eastAsia"/>
                <w:color w:val="FF0000"/>
                <w:u w:val="none"/>
              </w:rPr>
              <w:t>%。根据现场调查，评价区灌丛/草地生态系统广泛分布，大多数风机、场内道路等工程周边均有灌丛/草地生态系统分布。</w:t>
            </w:r>
          </w:p>
          <w:p w14:paraId="0DCA456C">
            <w:pPr>
              <w:pStyle w:val="57"/>
              <w:ind w:left="42" w:right="42" w:firstLine="480"/>
              <w:rPr>
                <w:u w:val="none"/>
              </w:rPr>
            </w:pPr>
            <w:r>
              <w:rPr>
                <w:rFonts w:hint="eastAsia"/>
                <w:u w:val="none"/>
              </w:rPr>
              <w:t>根据现场调查，评价区灌丛/草地生态系统内植被</w:t>
            </w:r>
            <w:r>
              <w:rPr>
                <w:rFonts w:hint="eastAsia"/>
                <w:u w:val="none"/>
                <w:lang w:val="en-US" w:eastAsia="zh-CN"/>
              </w:rPr>
              <w:t>以</w:t>
            </w:r>
            <w:r>
              <w:rPr>
                <w:rFonts w:hint="eastAsia"/>
                <w:u w:val="none"/>
              </w:rPr>
              <w:t>灌木林地为主，常见的有白背叶灌丛（</w:t>
            </w:r>
            <w:r>
              <w:rPr>
                <w:rFonts w:hint="eastAsia"/>
                <w:i/>
                <w:iCs/>
                <w:u w:val="none"/>
              </w:rPr>
              <w:t>Form.Mallotus apelta</w:t>
            </w:r>
            <w:r>
              <w:rPr>
                <w:rFonts w:hint="eastAsia"/>
                <w:u w:val="none"/>
              </w:rPr>
              <w:t>）、牡荆灌丛</w:t>
            </w:r>
            <w:r>
              <w:rPr>
                <w:rFonts w:hint="eastAsia"/>
                <w:u w:val="none"/>
                <w:lang w:eastAsia="zh-CN"/>
              </w:rPr>
              <w:t>（</w:t>
            </w:r>
            <w:r>
              <w:rPr>
                <w:rFonts w:hint="eastAsia"/>
                <w:i/>
                <w:iCs/>
                <w:u w:val="none"/>
              </w:rPr>
              <w:t>Form. Vitex negundo var. cannabifolia</w:t>
            </w:r>
            <w:r>
              <w:rPr>
                <w:rFonts w:hint="eastAsia"/>
                <w:u w:val="none"/>
                <w:lang w:eastAsia="zh-CN"/>
              </w:rPr>
              <w:t>）</w:t>
            </w:r>
            <w:r>
              <w:rPr>
                <w:rFonts w:hint="eastAsia"/>
                <w:u w:val="none"/>
              </w:rPr>
              <w:t>、芒灌草丛</w:t>
            </w:r>
            <w:r>
              <w:rPr>
                <w:rFonts w:hint="eastAsia"/>
                <w:u w:val="none"/>
                <w:lang w:eastAsia="zh-CN"/>
              </w:rPr>
              <w:t>（</w:t>
            </w:r>
            <w:r>
              <w:rPr>
                <w:rFonts w:hint="eastAsia"/>
                <w:i/>
                <w:iCs/>
                <w:u w:val="none"/>
              </w:rPr>
              <w:t>Form.Miscanthus sinensis</w:t>
            </w:r>
            <w:r>
              <w:rPr>
                <w:rFonts w:hint="eastAsia"/>
                <w:u w:val="none"/>
                <w:lang w:eastAsia="zh-CN"/>
              </w:rPr>
              <w:t>）</w:t>
            </w:r>
            <w:r>
              <w:rPr>
                <w:rFonts w:hint="eastAsia"/>
                <w:u w:val="none"/>
              </w:rPr>
              <w:t>、蕨灌草丛</w:t>
            </w:r>
            <w:r>
              <w:rPr>
                <w:rFonts w:hint="eastAsia"/>
                <w:u w:val="none"/>
                <w:lang w:eastAsia="zh-CN"/>
              </w:rPr>
              <w:t>（</w:t>
            </w:r>
            <w:r>
              <w:rPr>
                <w:rFonts w:hint="eastAsia"/>
                <w:i/>
                <w:iCs/>
                <w:u w:val="none"/>
              </w:rPr>
              <w:t>Form. Pteridium aquilinum var. latiusculum</w:t>
            </w:r>
            <w:r>
              <w:rPr>
                <w:rFonts w:hint="eastAsia"/>
                <w:u w:val="none"/>
                <w:lang w:eastAsia="zh-CN"/>
              </w:rPr>
              <w:t>）</w:t>
            </w:r>
            <w:r>
              <w:rPr>
                <w:rFonts w:hint="eastAsia"/>
                <w:u w:val="none"/>
              </w:rPr>
              <w:t>、芒萁灌草丛</w:t>
            </w:r>
            <w:r>
              <w:rPr>
                <w:rFonts w:hint="eastAsia"/>
                <w:u w:val="none"/>
                <w:lang w:eastAsia="zh-CN"/>
              </w:rPr>
              <w:t>（</w:t>
            </w:r>
            <w:r>
              <w:rPr>
                <w:rFonts w:hint="eastAsia"/>
                <w:i/>
                <w:iCs/>
                <w:u w:val="none"/>
              </w:rPr>
              <w:t>Form. Dicranopteris pedata</w:t>
            </w:r>
            <w:r>
              <w:rPr>
                <w:rFonts w:hint="eastAsia"/>
                <w:u w:val="none"/>
                <w:lang w:eastAsia="zh-CN"/>
              </w:rPr>
              <w:t>）</w:t>
            </w:r>
            <w:r>
              <w:rPr>
                <w:rFonts w:hint="eastAsia"/>
                <w:u w:val="none"/>
              </w:rPr>
              <w:t>等。</w:t>
            </w:r>
          </w:p>
          <w:p w14:paraId="4A18CAE1">
            <w:pPr>
              <w:pStyle w:val="57"/>
              <w:ind w:left="42" w:right="42" w:firstLine="480"/>
              <w:rPr>
                <w:u w:val="none"/>
              </w:rPr>
            </w:pPr>
            <w:r>
              <w:rPr>
                <w:rFonts w:hint="eastAsia"/>
                <w:u w:val="none"/>
              </w:rPr>
              <w:t>评价区分布在灌丛/草地生态系统中的动物主要有陆栖型的两栖类如黑眶蟾蜍（</w:t>
            </w:r>
            <w:r>
              <w:rPr>
                <w:rFonts w:hint="eastAsia"/>
                <w:i/>
                <w:iCs/>
                <w:u w:val="none"/>
              </w:rPr>
              <w:t>Bufo melanostictus</w:t>
            </w:r>
            <w:r>
              <w:rPr>
                <w:rFonts w:hint="eastAsia"/>
                <w:u w:val="none"/>
              </w:rPr>
              <w:t>）、泽陆蛙（</w:t>
            </w:r>
            <w:r>
              <w:rPr>
                <w:rFonts w:hint="eastAsia"/>
                <w:i/>
                <w:iCs/>
                <w:u w:val="none"/>
              </w:rPr>
              <w:t>Fejervarya limnocharis</w:t>
            </w:r>
            <w:r>
              <w:rPr>
                <w:rFonts w:hint="eastAsia"/>
                <w:u w:val="none"/>
              </w:rPr>
              <w:t>）等；爬行类主要有灌丛石隙型组成如北草蜥（</w:t>
            </w:r>
            <w:r>
              <w:rPr>
                <w:rFonts w:hint="eastAsia"/>
                <w:i/>
                <w:iCs/>
                <w:u w:val="none"/>
              </w:rPr>
              <w:t>Takydromus septentrionalis</w:t>
            </w:r>
            <w:r>
              <w:rPr>
                <w:rFonts w:hint="eastAsia"/>
                <w:u w:val="none"/>
              </w:rPr>
              <w:t>）、中国石龙子（</w:t>
            </w:r>
            <w:r>
              <w:rPr>
                <w:rFonts w:hint="eastAsia"/>
                <w:i/>
                <w:iCs/>
                <w:u w:val="none"/>
              </w:rPr>
              <w:t>Eumeces chinensis</w:t>
            </w:r>
            <w:r>
              <w:rPr>
                <w:rFonts w:hint="eastAsia"/>
                <w:u w:val="none"/>
              </w:rPr>
              <w:t>）等；常见的灌丛鸟类如陆禽如灰胸竹鸡、环颈雉、鸣禽如棕头鸦雀（</w:t>
            </w:r>
            <w:r>
              <w:rPr>
                <w:rFonts w:hint="eastAsia"/>
                <w:i/>
                <w:iCs/>
                <w:u w:val="none"/>
              </w:rPr>
              <w:t>Paradoxornis webbianus</w:t>
            </w:r>
            <w:r>
              <w:rPr>
                <w:rFonts w:hint="eastAsia"/>
                <w:u w:val="none"/>
              </w:rPr>
              <w:t>）、画眉（</w:t>
            </w:r>
            <w:r>
              <w:rPr>
                <w:rFonts w:hint="eastAsia"/>
                <w:i/>
                <w:iCs/>
                <w:u w:val="none"/>
              </w:rPr>
              <w:t>Garrulax canorus</w:t>
            </w:r>
            <w:r>
              <w:rPr>
                <w:rFonts w:hint="eastAsia"/>
                <w:u w:val="none"/>
              </w:rPr>
              <w:t>）、山麻雀（</w:t>
            </w:r>
            <w:r>
              <w:rPr>
                <w:rFonts w:hint="eastAsia"/>
                <w:i/>
                <w:iCs/>
                <w:u w:val="none"/>
              </w:rPr>
              <w:t>Passer rutilans</w:t>
            </w:r>
            <w:r>
              <w:rPr>
                <w:rFonts w:hint="eastAsia"/>
                <w:u w:val="none"/>
              </w:rPr>
              <w:t>）等；哺乳类主要有小家鼠（</w:t>
            </w:r>
            <w:r>
              <w:rPr>
                <w:rFonts w:hint="eastAsia"/>
                <w:i/>
                <w:iCs/>
                <w:u w:val="none"/>
              </w:rPr>
              <w:t>Mus musculus</w:t>
            </w:r>
            <w:r>
              <w:rPr>
                <w:rFonts w:hint="eastAsia"/>
                <w:u w:val="none"/>
              </w:rPr>
              <w:t>）等。</w:t>
            </w:r>
          </w:p>
          <w:p w14:paraId="7A4C0035">
            <w:pPr>
              <w:pStyle w:val="57"/>
              <w:ind w:left="42" w:right="42" w:firstLine="480"/>
              <w:rPr>
                <w:u w:val="none"/>
              </w:rPr>
            </w:pPr>
            <w:r>
              <w:rPr>
                <w:rFonts w:hint="eastAsia"/>
                <w:u w:val="none"/>
              </w:rPr>
              <w:t>评价区灌丛/草地生态系统多分布广泛，生态系统内动植物受人为活动影响较大，多以适应性强的种类为主，植被类型单一，群系结构简单。</w:t>
            </w:r>
          </w:p>
          <w:p w14:paraId="6D1EE43C">
            <w:pPr>
              <w:pStyle w:val="62"/>
              <w:ind w:firstLine="480"/>
              <w:rPr>
                <w:b/>
                <w:bCs/>
                <w:u w:val="none"/>
              </w:rPr>
            </w:pPr>
            <w:r>
              <w:rPr>
                <w:rFonts w:hint="eastAsia" w:cs="Times New Roman"/>
                <w:u w:val="none"/>
              </w:rPr>
              <w:t>（</w:t>
            </w:r>
            <w:r>
              <w:rPr>
                <w:rFonts w:hint="eastAsia" w:cs="Times New Roman"/>
                <w:u w:val="none"/>
                <w:lang w:val="en-US" w:eastAsia="zh-CN"/>
              </w:rPr>
              <w:t>3</w:t>
            </w:r>
            <w:r>
              <w:rPr>
                <w:rFonts w:hint="eastAsia" w:cs="Times New Roman"/>
                <w:u w:val="none"/>
              </w:rPr>
              <w:t>）农业生态系统</w:t>
            </w:r>
          </w:p>
          <w:p w14:paraId="2AAE3D0A">
            <w:pPr>
              <w:pStyle w:val="57"/>
              <w:ind w:left="42" w:right="42" w:firstLine="480"/>
              <w:rPr>
                <w:u w:val="none"/>
              </w:rPr>
            </w:pPr>
            <w:r>
              <w:rPr>
                <w:rFonts w:hint="eastAsia"/>
                <w:u w:val="none"/>
              </w:rPr>
              <w:t>项目占地不涉及基本农田，区域周边范围内存在农业生态系统分布。农业生态系统内植被以农作物为主，主要为粮食作物及经济作物为主，主要种植水稻（</w:t>
            </w:r>
            <w:r>
              <w:rPr>
                <w:rFonts w:hint="eastAsia"/>
                <w:i/>
                <w:iCs/>
                <w:u w:val="none"/>
              </w:rPr>
              <w:t>Oryza sativa</w:t>
            </w:r>
            <w:r>
              <w:rPr>
                <w:rFonts w:hint="eastAsia"/>
                <w:u w:val="none"/>
              </w:rPr>
              <w:t>）、玉米、果林等农作物。</w:t>
            </w:r>
          </w:p>
          <w:p w14:paraId="08F4CCD0">
            <w:pPr>
              <w:pStyle w:val="57"/>
              <w:ind w:left="42" w:right="42" w:firstLine="480"/>
              <w:rPr>
                <w:u w:val="none"/>
              </w:rPr>
            </w:pPr>
            <w:r>
              <w:rPr>
                <w:rFonts w:hint="eastAsia"/>
                <w:u w:val="none"/>
              </w:rPr>
              <w:t>由于农业生态系统中植被类型较为单一，植物种类较少，距离居民区较近而易受人为干扰，因此农田生态系统中动物种类不甚丰富。主要有鸟类中的树麻雀</w:t>
            </w:r>
            <w:r>
              <w:rPr>
                <w:rFonts w:hint="eastAsia"/>
                <w:u w:val="none"/>
                <w:lang w:eastAsia="zh-CN"/>
              </w:rPr>
              <w:t>（</w:t>
            </w:r>
            <w:r>
              <w:rPr>
                <w:rFonts w:hint="eastAsia"/>
                <w:i/>
                <w:iCs/>
                <w:u w:val="none"/>
              </w:rPr>
              <w:t>Passer montanus saturatus</w:t>
            </w:r>
            <w:r>
              <w:rPr>
                <w:rFonts w:hint="eastAsia"/>
                <w:u w:val="none"/>
                <w:lang w:eastAsia="zh-CN"/>
              </w:rPr>
              <w:t>）</w:t>
            </w:r>
            <w:r>
              <w:rPr>
                <w:rFonts w:hint="eastAsia"/>
                <w:u w:val="none"/>
              </w:rPr>
              <w:t>、喜鹊(</w:t>
            </w:r>
            <w:r>
              <w:rPr>
                <w:rFonts w:hint="eastAsia"/>
                <w:i/>
                <w:iCs/>
                <w:u w:val="none"/>
              </w:rPr>
              <w:t>Pica pica</w:t>
            </w:r>
            <w:r>
              <w:rPr>
                <w:rFonts w:hint="eastAsia"/>
                <w:u w:val="none"/>
              </w:rPr>
              <w:t>)、家燕(</w:t>
            </w:r>
            <w:r>
              <w:rPr>
                <w:rFonts w:hint="eastAsia"/>
                <w:i/>
                <w:iCs/>
                <w:u w:val="none"/>
              </w:rPr>
              <w:t>Hirundo rustica</w:t>
            </w:r>
            <w:r>
              <w:rPr>
                <w:rFonts w:hint="eastAsia"/>
                <w:u w:val="none"/>
              </w:rPr>
              <w:t>)等；部分哺乳类如小家鼠(</w:t>
            </w:r>
            <w:r>
              <w:rPr>
                <w:rFonts w:hint="eastAsia"/>
                <w:i/>
                <w:iCs/>
                <w:u w:val="none"/>
              </w:rPr>
              <w:t>Mus musculus</w:t>
            </w:r>
            <w:r>
              <w:rPr>
                <w:rFonts w:hint="eastAsia"/>
                <w:u w:val="none"/>
              </w:rPr>
              <w:t>)、黑线姬鼠(</w:t>
            </w:r>
            <w:r>
              <w:rPr>
                <w:rFonts w:hint="eastAsia"/>
                <w:i/>
                <w:iCs/>
                <w:u w:val="none"/>
              </w:rPr>
              <w:t>Asida agrarius</w:t>
            </w:r>
            <w:r>
              <w:rPr>
                <w:rFonts w:hint="eastAsia"/>
                <w:u w:val="none"/>
              </w:rPr>
              <w:t>)等。</w:t>
            </w:r>
          </w:p>
          <w:p w14:paraId="284993FA">
            <w:pPr>
              <w:pStyle w:val="57"/>
              <w:ind w:left="42" w:right="42" w:firstLine="480"/>
              <w:rPr>
                <w:u w:val="none"/>
              </w:rPr>
            </w:pPr>
            <w:r>
              <w:rPr>
                <w:rFonts w:hint="eastAsia"/>
                <w:u w:val="none"/>
              </w:rPr>
              <w:t>评价区农业生态系统面积较小，主要生态功能体现在农产品及副产品生产。农业生态系统内群落结构及物种组成较简单，常为单优群落，伴生有杂草、昆虫、鼠、鸟等其他小型动物。</w:t>
            </w:r>
          </w:p>
          <w:p w14:paraId="38ED3666">
            <w:pPr>
              <w:pStyle w:val="62"/>
              <w:ind w:firstLine="480"/>
              <w:rPr>
                <w:b/>
                <w:bCs/>
                <w:u w:val="none"/>
              </w:rPr>
            </w:pPr>
            <w:r>
              <w:rPr>
                <w:rFonts w:hint="eastAsia" w:cs="Times New Roman"/>
                <w:u w:val="none"/>
              </w:rPr>
              <w:t>（</w:t>
            </w:r>
            <w:r>
              <w:rPr>
                <w:rFonts w:hint="eastAsia" w:cs="Times New Roman"/>
                <w:u w:val="none"/>
                <w:lang w:val="en-US" w:eastAsia="zh-CN"/>
              </w:rPr>
              <w:t>4</w:t>
            </w:r>
            <w:r>
              <w:rPr>
                <w:rFonts w:hint="eastAsia" w:cs="Times New Roman"/>
                <w:u w:val="none"/>
              </w:rPr>
              <w:t>）城镇/村落生态系统</w:t>
            </w:r>
          </w:p>
          <w:p w14:paraId="2F715A1C">
            <w:pPr>
              <w:pStyle w:val="57"/>
              <w:ind w:left="42" w:right="42" w:firstLine="480"/>
              <w:rPr>
                <w:u w:val="none"/>
              </w:rPr>
            </w:pPr>
            <w:r>
              <w:rPr>
                <w:rFonts w:hint="eastAsia"/>
                <w:color w:val="FF0000"/>
                <w:u w:val="none"/>
              </w:rPr>
              <w:t>本项目位于</w:t>
            </w:r>
            <w:r>
              <w:rPr>
                <w:rFonts w:hint="eastAsia"/>
                <w:color w:val="FF0000"/>
                <w:u w:val="none"/>
                <w:lang w:eastAsia="zh-CN"/>
              </w:rPr>
              <w:t>耒阳市导子镇、</w:t>
            </w:r>
            <w:r>
              <w:rPr>
                <w:rFonts w:hint="eastAsia"/>
                <w:color w:val="FF0000"/>
                <w:u w:val="none"/>
                <w:lang w:val="en-US" w:eastAsia="zh-CN"/>
              </w:rPr>
              <w:t>东湖圩镇</w:t>
            </w:r>
            <w:r>
              <w:rPr>
                <w:rFonts w:hint="eastAsia"/>
                <w:color w:val="FF0000"/>
                <w:u w:val="none"/>
              </w:rPr>
              <w:t>，</w:t>
            </w:r>
            <w:r>
              <w:rPr>
                <w:rFonts w:hint="eastAsia"/>
                <w:color w:val="FF0000"/>
                <w:u w:val="none"/>
                <w:lang w:val="en-US" w:eastAsia="zh-CN"/>
              </w:rPr>
              <w:t>距</w:t>
            </w:r>
            <w:r>
              <w:rPr>
                <w:rFonts w:hint="eastAsia"/>
                <w:color w:val="FF0000"/>
                <w:u w:val="none"/>
              </w:rPr>
              <w:t>项目较近的居民点有</w:t>
            </w:r>
            <w:r>
              <w:rPr>
                <w:rFonts w:hint="eastAsia"/>
                <w:color w:val="FF0000"/>
                <w:u w:val="none"/>
                <w:lang w:val="en-US" w:eastAsia="zh-CN"/>
              </w:rPr>
              <w:t>马禾塘居民点</w:t>
            </w:r>
            <w:r>
              <w:rPr>
                <w:rFonts w:hint="eastAsia"/>
                <w:color w:val="FF0000"/>
                <w:u w:val="none"/>
              </w:rPr>
              <w:t>、</w:t>
            </w:r>
            <w:r>
              <w:rPr>
                <w:rFonts w:hint="eastAsia"/>
                <w:color w:val="FF0000"/>
                <w:u w:val="none"/>
                <w:lang w:val="en-US" w:eastAsia="zh-CN"/>
              </w:rPr>
              <w:t>江河里居民点、乌龟冲居民点和刘家湾居民点</w:t>
            </w:r>
            <w:r>
              <w:rPr>
                <w:rFonts w:hint="eastAsia"/>
                <w:color w:val="FF0000"/>
                <w:u w:val="none"/>
              </w:rPr>
              <w:t>等。</w:t>
            </w:r>
            <w:r>
              <w:rPr>
                <w:rFonts w:hint="eastAsia"/>
                <w:u w:val="none"/>
              </w:rPr>
              <w:t>项目周边主要的城镇/村落生态系统为道路和居民房屋，评价区城镇/村落生态系统面积较小。项目周边城镇/村落生态系统内人为活动频繁，植物多零星分布，常见的植物主要为油茶（</w:t>
            </w:r>
            <w:r>
              <w:rPr>
                <w:rFonts w:hint="eastAsia"/>
                <w:i/>
                <w:iCs/>
                <w:u w:val="none"/>
              </w:rPr>
              <w:t>Camellia oleifera</w:t>
            </w:r>
            <w:r>
              <w:rPr>
                <w:rFonts w:hint="eastAsia"/>
                <w:u w:val="none"/>
              </w:rPr>
              <w:t>）、楝（</w:t>
            </w:r>
            <w:r>
              <w:rPr>
                <w:rFonts w:hint="eastAsia"/>
                <w:i/>
                <w:iCs/>
                <w:u w:val="none"/>
              </w:rPr>
              <w:t>Melia azedarach</w:t>
            </w:r>
            <w:r>
              <w:rPr>
                <w:rFonts w:hint="eastAsia"/>
                <w:u w:val="none"/>
              </w:rPr>
              <w:t>）、柿树（</w:t>
            </w:r>
            <w:r>
              <w:rPr>
                <w:rFonts w:hint="eastAsia"/>
                <w:i/>
                <w:iCs/>
                <w:u w:val="none"/>
              </w:rPr>
              <w:t>Diospyros kaki</w:t>
            </w:r>
            <w:r>
              <w:rPr>
                <w:rFonts w:hint="eastAsia"/>
                <w:u w:val="none"/>
              </w:rPr>
              <w:t>）、樟(</w:t>
            </w:r>
            <w:r>
              <w:rPr>
                <w:rFonts w:hint="eastAsia"/>
                <w:i/>
                <w:iCs/>
                <w:u w:val="none"/>
              </w:rPr>
              <w:t>Cinnamomum camphora</w:t>
            </w:r>
            <w:r>
              <w:rPr>
                <w:rFonts w:hint="eastAsia"/>
                <w:u w:val="none"/>
              </w:rPr>
              <w:t>)等。</w:t>
            </w:r>
          </w:p>
          <w:p w14:paraId="18324730">
            <w:pPr>
              <w:pStyle w:val="57"/>
              <w:ind w:left="42" w:right="42" w:firstLine="480"/>
              <w:rPr>
                <w:u w:val="none"/>
              </w:rPr>
            </w:pPr>
            <w:r>
              <w:rPr>
                <w:rFonts w:hint="eastAsia"/>
                <w:u w:val="none"/>
              </w:rPr>
              <w:t>城镇/村落生态系统中分布的野生动物主要是一些喜与人类伴居的动物多活动于此，如珠颈斑鸠（</w:t>
            </w:r>
            <w:r>
              <w:rPr>
                <w:rFonts w:hint="eastAsia"/>
                <w:i/>
                <w:iCs/>
                <w:u w:val="none"/>
              </w:rPr>
              <w:t>Streptopelia chinensis</w:t>
            </w:r>
            <w:r>
              <w:rPr>
                <w:rFonts w:hint="eastAsia"/>
                <w:u w:val="none"/>
              </w:rPr>
              <w:t>）、家燕、金腰燕(</w:t>
            </w:r>
            <w:r>
              <w:rPr>
                <w:rFonts w:hint="eastAsia"/>
                <w:i/>
                <w:iCs/>
                <w:u w:val="none"/>
              </w:rPr>
              <w:t>Hirundo daurica</w:t>
            </w:r>
            <w:r>
              <w:rPr>
                <w:rFonts w:hint="eastAsia"/>
                <w:u w:val="none"/>
              </w:rPr>
              <w:t>)、麻雀、白头鹎(</w:t>
            </w:r>
            <w:r>
              <w:rPr>
                <w:rFonts w:hint="eastAsia"/>
                <w:i/>
                <w:iCs/>
                <w:u w:val="none"/>
              </w:rPr>
              <w:t>Pycnonotus sinensis</w:t>
            </w:r>
            <w:r>
              <w:rPr>
                <w:rFonts w:hint="eastAsia"/>
                <w:u w:val="none"/>
              </w:rPr>
              <w:t>)和各种鼠类等。</w:t>
            </w:r>
          </w:p>
          <w:p w14:paraId="3CA5545C">
            <w:pPr>
              <w:pStyle w:val="57"/>
              <w:ind w:left="42" w:right="42" w:firstLine="480"/>
              <w:rPr>
                <w:u w:val="none"/>
              </w:rPr>
            </w:pPr>
            <w:r>
              <w:rPr>
                <w:rFonts w:hint="eastAsia"/>
                <w:u w:val="none"/>
              </w:rPr>
              <w:t>城镇/村落是一个高度复合的人工化生态系统，与自然生态系统在结构和功能上都存在明显差别，其生态服务功能主要是提供生活和生产物质的功能，包括食物生产、原材料生产以及满足人类精神和物质生活需求的功能。</w:t>
            </w:r>
          </w:p>
          <w:p w14:paraId="44556DC2">
            <w:pPr>
              <w:pStyle w:val="57"/>
              <w:ind w:left="42" w:right="42" w:firstLine="480"/>
              <w:rPr>
                <w:u w:val="none"/>
              </w:rPr>
            </w:pPr>
            <w:r>
              <w:rPr>
                <w:rFonts w:hint="eastAsia"/>
                <w:u w:val="none"/>
              </w:rPr>
              <w:t>受地形、地貌、水分、经济条件等因素影响，评价区城镇/村落生态系统分布不均，区域人口密度较小，动植物种类及数量较少。</w:t>
            </w:r>
          </w:p>
          <w:p w14:paraId="0856029B">
            <w:pPr>
              <w:pStyle w:val="57"/>
              <w:ind w:left="0" w:leftChars="0" w:right="42" w:firstLine="0" w:firstLineChars="0"/>
              <w:rPr>
                <w:b/>
                <w:bCs/>
                <w:sz w:val="28"/>
                <w:szCs w:val="28"/>
                <w:u w:val="none"/>
              </w:rPr>
            </w:pPr>
            <w:r>
              <w:rPr>
                <w:b/>
                <w:bCs/>
                <w:sz w:val="28"/>
                <w:szCs w:val="28"/>
                <w:u w:val="none"/>
              </w:rPr>
              <w:t>2.3</w:t>
            </w:r>
            <w:r>
              <w:rPr>
                <w:rFonts w:hint="eastAsia"/>
                <w:b/>
                <w:bCs/>
                <w:sz w:val="28"/>
                <w:szCs w:val="28"/>
                <w:u w:val="none"/>
              </w:rPr>
              <w:t>陆生植物现状</w:t>
            </w:r>
          </w:p>
          <w:p w14:paraId="6029AD6C">
            <w:pPr>
              <w:pStyle w:val="62"/>
              <w:ind w:firstLine="480"/>
              <w:rPr>
                <w:b/>
                <w:bCs/>
                <w:u w:val="none"/>
              </w:rPr>
            </w:pPr>
            <w:r>
              <w:rPr>
                <w:rFonts w:hint="eastAsia" w:cs="Times New Roman"/>
                <w:u w:val="none"/>
              </w:rPr>
              <w:t>（</w:t>
            </w:r>
            <w:r>
              <w:rPr>
                <w:rFonts w:cs="Times New Roman"/>
                <w:u w:val="none"/>
              </w:rPr>
              <w:t>1</w:t>
            </w:r>
            <w:r>
              <w:rPr>
                <w:rFonts w:hint="eastAsia" w:cs="Times New Roman"/>
                <w:u w:val="none"/>
              </w:rPr>
              <w:t>）植物区系</w:t>
            </w:r>
          </w:p>
          <w:p w14:paraId="645E2D8E">
            <w:pPr>
              <w:pStyle w:val="57"/>
              <w:ind w:left="42" w:right="42" w:firstLine="480"/>
              <w:rPr>
                <w:u w:val="none"/>
              </w:rPr>
            </w:pPr>
            <w:r>
              <w:rPr>
                <w:rFonts w:hint="eastAsia"/>
                <w:u w:val="none"/>
              </w:rPr>
              <w:t>根据《中国种子植物区系地理》（吴征镒等，2011年），项目所在区域属于东亚植物区—中国-日本植物亚区—华东地区——赣南-湘东丘陵亚地区。评价区植物区系组成成分以被子植物为主，蕨类植物种类组成较为丰富。根据现场调查，评价区自然分布的维管束植物以灌木、草本植物为主，裸子植物中针叶树种为优势种。由于评价区人为活动较频繁，环境异质性程度不高，故植物种类组成相对贫乏。</w:t>
            </w:r>
          </w:p>
          <w:p w14:paraId="1E4E36A8">
            <w:pPr>
              <w:pStyle w:val="62"/>
              <w:ind w:firstLine="480"/>
              <w:rPr>
                <w:b/>
                <w:bCs/>
                <w:u w:val="none"/>
              </w:rPr>
            </w:pPr>
            <w:r>
              <w:rPr>
                <w:rFonts w:hint="eastAsia" w:cs="Times New Roman"/>
                <w:u w:val="none"/>
              </w:rPr>
              <w:t>（2）植被区划</w:t>
            </w:r>
          </w:p>
          <w:p w14:paraId="690396E6">
            <w:pPr>
              <w:pStyle w:val="57"/>
              <w:ind w:left="42" w:right="42" w:firstLine="480"/>
              <w:rPr>
                <w:u w:val="none"/>
              </w:rPr>
            </w:pPr>
            <w:r>
              <w:rPr>
                <w:rFonts w:hint="eastAsia"/>
                <w:u w:val="none"/>
              </w:rPr>
              <w:t>根据《湖南植被》的分区系统，评价范围属于亚热带常绿阔叶林区域—中亚热带常绿阔叶林地带—中亚热带典型常绿阔叶林北部植被亚地带—湘中、湘东植被区—长、潭、株丘陵植被小区。</w:t>
            </w:r>
          </w:p>
          <w:p w14:paraId="3C0101B7">
            <w:pPr>
              <w:pStyle w:val="62"/>
              <w:ind w:firstLine="480"/>
              <w:rPr>
                <w:u w:val="none"/>
              </w:rPr>
            </w:pPr>
            <w:r>
              <w:rPr>
                <w:rFonts w:hint="eastAsia" w:cs="Times New Roman"/>
                <w:u w:val="none"/>
              </w:rPr>
              <w:t>（3）植被类型</w:t>
            </w:r>
          </w:p>
          <w:p w14:paraId="23910670">
            <w:pPr>
              <w:pStyle w:val="57"/>
              <w:ind w:left="42" w:right="42" w:firstLine="480"/>
              <w:rPr>
                <w:rFonts w:hint="eastAsia"/>
                <w:u w:val="none"/>
              </w:rPr>
            </w:pPr>
            <w:r>
              <w:rPr>
                <w:rFonts w:hint="eastAsia"/>
                <w:u w:val="none"/>
              </w:rPr>
              <w:t>参考《湖南植被》及相关林业调查资料，根据现场对评价区植被的实地调查，</w:t>
            </w:r>
            <w:r>
              <w:rPr>
                <w:rFonts w:hint="default" w:ascii="Times New Roman" w:hAnsi="Times New Roman" w:eastAsia="宋体" w:cs="Times New Roman"/>
                <w:b w:val="0"/>
                <w:sz w:val="24"/>
                <w:szCs w:val="24"/>
                <w:lang w:val="en-US" w:eastAsia="zh-CN" w:bidi="ar-SA"/>
              </w:rPr>
              <w:t>整个风电场项目及延伸调查区为低丘、岗地地貌，机位区多为层次不一的木本、竹灌丛或灌草丛。机位山体周边为中、幼松杉人工林、较茂密</w:t>
            </w:r>
            <w:r>
              <w:rPr>
                <w:rFonts w:hint="eastAsia"/>
                <w:b w:val="0"/>
                <w:sz w:val="24"/>
                <w:szCs w:val="24"/>
                <w:lang w:val="en-US" w:eastAsia="zh-CN"/>
              </w:rPr>
              <w:t>竹林，</w:t>
            </w:r>
            <w:r>
              <w:rPr>
                <w:b w:val="0"/>
                <w:sz w:val="24"/>
                <w:szCs w:val="24"/>
                <w:lang w:val="en-US" w:eastAsia="zh-CN"/>
              </w:rPr>
              <w:t>阔叶杂木林组分低；山脚或谷冲</w:t>
            </w:r>
            <w:r>
              <w:rPr>
                <w:rFonts w:hint="eastAsia"/>
                <w:b w:val="0"/>
                <w:sz w:val="24"/>
                <w:szCs w:val="24"/>
                <w:lang w:val="en-US" w:eastAsia="zh-CN"/>
              </w:rPr>
              <w:t>有</w:t>
            </w:r>
            <w:r>
              <w:rPr>
                <w:b w:val="0"/>
                <w:sz w:val="24"/>
                <w:szCs w:val="24"/>
                <w:lang w:val="en-US" w:eastAsia="zh-CN"/>
              </w:rPr>
              <w:t>散落</w:t>
            </w:r>
            <w:r>
              <w:rPr>
                <w:rFonts w:hint="eastAsia"/>
                <w:b w:val="0"/>
                <w:sz w:val="24"/>
                <w:szCs w:val="24"/>
                <w:lang w:val="en-US" w:eastAsia="zh-CN"/>
              </w:rPr>
              <w:t>居民点，</w:t>
            </w:r>
            <w:r>
              <w:rPr>
                <w:b w:val="0"/>
                <w:sz w:val="24"/>
                <w:szCs w:val="24"/>
                <w:lang w:val="en-US" w:eastAsia="zh-CN"/>
              </w:rPr>
              <w:t>为农耕地或稻田</w:t>
            </w:r>
            <w:r>
              <w:rPr>
                <w:rFonts w:hint="eastAsia"/>
                <w:b w:val="0"/>
                <w:sz w:val="24"/>
                <w:szCs w:val="24"/>
                <w:lang w:val="en-US" w:eastAsia="zh-CN"/>
              </w:rPr>
              <w:t>，并有</w:t>
            </w:r>
            <w:r>
              <w:rPr>
                <w:b w:val="0"/>
                <w:sz w:val="24"/>
                <w:szCs w:val="24"/>
                <w:lang w:val="en-US" w:eastAsia="zh-CN"/>
              </w:rPr>
              <w:t>散片油茶林，其他</w:t>
            </w:r>
            <w:r>
              <w:rPr>
                <w:rFonts w:hint="eastAsia"/>
                <w:b w:val="0"/>
                <w:sz w:val="24"/>
                <w:szCs w:val="24"/>
                <w:lang w:val="en-US" w:eastAsia="zh-CN"/>
              </w:rPr>
              <w:t>特产</w:t>
            </w:r>
            <w:r>
              <w:rPr>
                <w:b w:val="0"/>
                <w:sz w:val="24"/>
                <w:szCs w:val="24"/>
                <w:lang w:val="en-US" w:eastAsia="zh-CN"/>
              </w:rPr>
              <w:t>经济</w:t>
            </w:r>
            <w:r>
              <w:rPr>
                <w:rFonts w:hint="eastAsia"/>
                <w:b w:val="0"/>
                <w:sz w:val="24"/>
                <w:szCs w:val="24"/>
                <w:lang w:val="en-US" w:eastAsia="zh-CN"/>
              </w:rPr>
              <w:t>作物</w:t>
            </w:r>
            <w:r>
              <w:rPr>
                <w:b w:val="0"/>
                <w:sz w:val="24"/>
                <w:szCs w:val="24"/>
                <w:lang w:val="en-US" w:eastAsia="zh-CN"/>
              </w:rPr>
              <w:t>少</w:t>
            </w:r>
            <w:r>
              <w:rPr>
                <w:rFonts w:hint="eastAsia"/>
                <w:b w:val="0"/>
                <w:sz w:val="24"/>
                <w:szCs w:val="24"/>
                <w:lang w:val="en-US" w:eastAsia="zh-CN"/>
              </w:rPr>
              <w:t>；</w:t>
            </w:r>
            <w:r>
              <w:rPr>
                <w:b w:val="0"/>
                <w:sz w:val="24"/>
                <w:szCs w:val="24"/>
                <w:lang w:val="en-US" w:eastAsia="zh-CN"/>
              </w:rPr>
              <w:t>调查区内有小一型水库一座</w:t>
            </w:r>
            <w:r>
              <w:rPr>
                <w:rFonts w:hint="eastAsia"/>
                <w:b w:val="0"/>
                <w:sz w:val="24"/>
                <w:szCs w:val="24"/>
                <w:lang w:val="en-US" w:eastAsia="zh-CN"/>
              </w:rPr>
              <w:t>（凉水</w:t>
            </w:r>
            <w:r>
              <w:rPr>
                <w:b w:val="0"/>
                <w:sz w:val="24"/>
                <w:szCs w:val="24"/>
                <w:lang w:val="en-US" w:eastAsia="zh-CN"/>
              </w:rPr>
              <w:t>冲水库</w:t>
            </w:r>
            <w:r>
              <w:rPr>
                <w:rFonts w:hint="eastAsia"/>
                <w:b w:val="0"/>
                <w:sz w:val="24"/>
                <w:szCs w:val="24"/>
                <w:lang w:val="en-US" w:eastAsia="zh-CN"/>
              </w:rPr>
              <w:t>）</w:t>
            </w:r>
            <w:r>
              <w:rPr>
                <w:b w:val="0"/>
                <w:sz w:val="24"/>
                <w:szCs w:val="24"/>
                <w:lang w:val="en-US" w:eastAsia="zh-CN"/>
              </w:rPr>
              <w:t>，少量</w:t>
            </w:r>
            <w:r>
              <w:rPr>
                <w:rFonts w:hint="eastAsia"/>
                <w:b w:val="0"/>
                <w:sz w:val="24"/>
                <w:szCs w:val="24"/>
                <w:lang w:val="en-US" w:eastAsia="zh-CN"/>
              </w:rPr>
              <w:t>小</w:t>
            </w:r>
            <w:r>
              <w:rPr>
                <w:b w:val="0"/>
                <w:sz w:val="24"/>
                <w:szCs w:val="24"/>
                <w:lang w:val="en-US" w:eastAsia="zh-CN"/>
              </w:rPr>
              <w:t>面积池塘</w:t>
            </w:r>
            <w:r>
              <w:rPr>
                <w:rFonts w:hint="eastAsia"/>
                <w:b w:val="0"/>
                <w:sz w:val="24"/>
                <w:szCs w:val="24"/>
                <w:lang w:val="en-US" w:eastAsia="zh-CN"/>
              </w:rPr>
              <w:t>；</w:t>
            </w:r>
            <w:r>
              <w:rPr>
                <w:b w:val="0"/>
                <w:sz w:val="24"/>
                <w:szCs w:val="24"/>
                <w:lang w:val="en-US" w:eastAsia="zh-CN"/>
              </w:rPr>
              <w:t>长流水地表径流极少。</w:t>
            </w:r>
          </w:p>
          <w:p w14:paraId="0441479A">
            <w:pPr>
              <w:pStyle w:val="57"/>
              <w:ind w:left="42" w:right="42" w:firstLine="480"/>
              <w:rPr>
                <w:u w:val="none"/>
              </w:rPr>
            </w:pPr>
            <w:r>
              <w:rPr>
                <w:rFonts w:hint="eastAsia"/>
                <w:u w:val="none"/>
                <w:lang w:val="en-US" w:eastAsia="zh-CN"/>
              </w:rPr>
              <w:t>经</w:t>
            </w:r>
            <w:r>
              <w:rPr>
                <w:rFonts w:hint="eastAsia"/>
                <w:u w:val="none"/>
              </w:rPr>
              <w:t>采用群落学—生态学分类原则，将评价区自然植被初步划分为3个植被型组、</w:t>
            </w:r>
            <w:r>
              <w:rPr>
                <w:rFonts w:hint="eastAsia"/>
                <w:u w:val="none"/>
                <w:lang w:val="en-US" w:eastAsia="zh-CN"/>
              </w:rPr>
              <w:t>3</w:t>
            </w:r>
            <w:r>
              <w:rPr>
                <w:rFonts w:hint="eastAsia"/>
                <w:u w:val="none"/>
              </w:rPr>
              <w:t>个植被型、</w:t>
            </w:r>
            <w:r>
              <w:rPr>
                <w:rFonts w:hint="eastAsia"/>
                <w:u w:val="none"/>
                <w:lang w:val="en-US" w:eastAsia="zh-CN"/>
              </w:rPr>
              <w:t>7</w:t>
            </w:r>
            <w:r>
              <w:rPr>
                <w:rFonts w:hint="eastAsia"/>
                <w:u w:val="none"/>
              </w:rPr>
              <w:t>个群系。分别有杉木林、白背叶灌丛、牡荆灌丛、五节芒灌草丛、蕨灌草丛、芒灌草丛等。</w:t>
            </w:r>
          </w:p>
          <w:p w14:paraId="6F977B2A">
            <w:pPr>
              <w:pStyle w:val="80"/>
              <w:spacing w:beforeLines="0" w:line="240" w:lineRule="auto"/>
              <w:rPr>
                <w:rFonts w:hint="eastAsia" w:eastAsia="宋体"/>
                <w:b/>
                <w:color w:val="FF0000"/>
                <w:sz w:val="21"/>
                <w:szCs w:val="21"/>
                <w:u w:val="none"/>
                <w:lang w:eastAsia="zh-CN"/>
              </w:rPr>
            </w:pPr>
            <w:bookmarkStart w:id="292" w:name="_Toc21800_WPSOffice_Level3"/>
            <w:r>
              <w:rPr>
                <w:rFonts w:eastAsia="宋体"/>
                <w:b/>
                <w:color w:val="auto"/>
                <w:sz w:val="21"/>
                <w:szCs w:val="21"/>
                <w:u w:val="none"/>
              </w:rPr>
              <w:t>表3</w:t>
            </w:r>
            <w:r>
              <w:rPr>
                <w:rFonts w:hint="eastAsia" w:eastAsia="宋体"/>
                <w:b/>
                <w:color w:val="auto"/>
                <w:sz w:val="21"/>
                <w:szCs w:val="21"/>
                <w:u w:val="none"/>
                <w:lang w:val="en-US" w:eastAsia="zh-CN"/>
              </w:rPr>
              <w:t xml:space="preserve">-3 </w:t>
            </w:r>
            <w:r>
              <w:rPr>
                <w:rFonts w:eastAsia="宋体"/>
                <w:b/>
                <w:color w:val="auto"/>
                <w:sz w:val="21"/>
                <w:szCs w:val="21"/>
                <w:u w:val="none"/>
              </w:rPr>
              <w:t xml:space="preserve"> 评价区主要植被类型及分布</w:t>
            </w:r>
            <w:bookmarkEnd w:id="292"/>
          </w:p>
          <w:tbl>
            <w:tblPr>
              <w:tblStyle w:val="32"/>
              <w:tblW w:w="8016" w:type="dxa"/>
              <w:tblInd w:w="5" w:type="dxa"/>
              <w:tblLayout w:type="fixed"/>
              <w:tblCellMar>
                <w:top w:w="0" w:type="dxa"/>
                <w:left w:w="108" w:type="dxa"/>
                <w:bottom w:w="0" w:type="dxa"/>
                <w:right w:w="108" w:type="dxa"/>
              </w:tblCellMar>
            </w:tblPr>
            <w:tblGrid>
              <w:gridCol w:w="1136"/>
              <w:gridCol w:w="972"/>
              <w:gridCol w:w="1547"/>
              <w:gridCol w:w="2812"/>
              <w:gridCol w:w="1549"/>
            </w:tblGrid>
            <w:tr w14:paraId="449E61F6">
              <w:tblPrEx>
                <w:tblCellMar>
                  <w:top w:w="0" w:type="dxa"/>
                  <w:left w:w="108" w:type="dxa"/>
                  <w:bottom w:w="0" w:type="dxa"/>
                  <w:right w:w="108" w:type="dxa"/>
                </w:tblCellMar>
              </w:tblPrEx>
              <w:trPr>
                <w:trHeight w:val="23" w:hRule="atLeast"/>
              </w:trPr>
              <w:tc>
                <w:tcPr>
                  <w:tcW w:w="1136" w:type="dxa"/>
                  <w:tcBorders>
                    <w:top w:val="single" w:color="auto" w:sz="12" w:space="0"/>
                    <w:left w:val="nil"/>
                    <w:bottom w:val="single" w:color="auto" w:sz="4" w:space="0"/>
                    <w:right w:val="single" w:color="auto" w:sz="4" w:space="0"/>
                  </w:tcBorders>
                  <w:shd w:val="clear" w:color="auto" w:fill="auto"/>
                  <w:noWrap/>
                  <w:vAlign w:val="center"/>
                </w:tcPr>
                <w:p w14:paraId="15AA61F1">
                  <w:pPr>
                    <w:widowControl/>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植被型组</w:t>
                  </w:r>
                </w:p>
              </w:tc>
              <w:tc>
                <w:tcPr>
                  <w:tcW w:w="972" w:type="dxa"/>
                  <w:tcBorders>
                    <w:top w:val="single" w:color="auto" w:sz="12" w:space="0"/>
                    <w:left w:val="single" w:color="auto" w:sz="4" w:space="0"/>
                    <w:bottom w:val="single" w:color="auto" w:sz="4" w:space="0"/>
                    <w:right w:val="single" w:color="auto" w:sz="4" w:space="0"/>
                  </w:tcBorders>
                  <w:shd w:val="clear" w:color="auto" w:fill="auto"/>
                  <w:vAlign w:val="center"/>
                </w:tcPr>
                <w:p w14:paraId="17CD6B60">
                  <w:pPr>
                    <w:widowControl/>
                    <w:jc w:val="left"/>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植被型</w:t>
                  </w:r>
                </w:p>
              </w:tc>
              <w:tc>
                <w:tcPr>
                  <w:tcW w:w="1547" w:type="dxa"/>
                  <w:tcBorders>
                    <w:top w:val="single" w:color="auto" w:sz="12" w:space="0"/>
                    <w:left w:val="single" w:color="auto" w:sz="4" w:space="0"/>
                    <w:bottom w:val="single" w:color="auto" w:sz="4" w:space="0"/>
                    <w:right w:val="single" w:color="auto" w:sz="4" w:space="0"/>
                  </w:tcBorders>
                  <w:shd w:val="clear" w:color="auto" w:fill="auto"/>
                  <w:noWrap/>
                  <w:vAlign w:val="center"/>
                </w:tcPr>
                <w:p w14:paraId="18308D22">
                  <w:pPr>
                    <w:widowControl/>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群系中文名</w:t>
                  </w:r>
                </w:p>
              </w:tc>
              <w:tc>
                <w:tcPr>
                  <w:tcW w:w="2812" w:type="dxa"/>
                  <w:tcBorders>
                    <w:top w:val="single" w:color="auto" w:sz="12" w:space="0"/>
                    <w:left w:val="single" w:color="auto" w:sz="4" w:space="0"/>
                    <w:bottom w:val="single" w:color="auto" w:sz="4" w:space="0"/>
                    <w:right w:val="single" w:color="auto" w:sz="4" w:space="0"/>
                  </w:tcBorders>
                  <w:shd w:val="clear" w:color="auto" w:fill="auto"/>
                  <w:noWrap/>
                  <w:vAlign w:val="center"/>
                </w:tcPr>
                <w:p w14:paraId="180DB358">
                  <w:pPr>
                    <w:widowControl/>
                    <w:wordWrap w:val="0"/>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群系拉丁名</w:t>
                  </w:r>
                </w:p>
              </w:tc>
              <w:tc>
                <w:tcPr>
                  <w:tcW w:w="1549" w:type="dxa"/>
                  <w:tcBorders>
                    <w:top w:val="single" w:color="auto" w:sz="12" w:space="0"/>
                    <w:left w:val="single" w:color="auto" w:sz="4" w:space="0"/>
                    <w:bottom w:val="single" w:color="auto" w:sz="4" w:space="0"/>
                    <w:right w:val="nil"/>
                  </w:tcBorders>
                  <w:shd w:val="clear" w:color="auto" w:fill="auto"/>
                  <w:noWrap/>
                  <w:vAlign w:val="center"/>
                </w:tcPr>
                <w:p w14:paraId="25E05B24">
                  <w:pPr>
                    <w:widowControl/>
                    <w:jc w:val="center"/>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cs="Times New Roman"/>
                      <w:b w:val="0"/>
                      <w:bCs w:val="0"/>
                      <w:kern w:val="0"/>
                      <w:szCs w:val="21"/>
                      <w:u w:val="none"/>
                    </w:rPr>
                    <w:t>评价区内分布</w:t>
                  </w:r>
                </w:p>
              </w:tc>
            </w:tr>
            <w:tr w14:paraId="191AA09D">
              <w:tblPrEx>
                <w:tblCellMar>
                  <w:top w:w="0" w:type="dxa"/>
                  <w:left w:w="108" w:type="dxa"/>
                  <w:bottom w:w="0" w:type="dxa"/>
                  <w:right w:w="108" w:type="dxa"/>
                </w:tblCellMar>
              </w:tblPrEx>
              <w:trPr>
                <w:trHeight w:val="23" w:hRule="atLeast"/>
              </w:trPr>
              <w:tc>
                <w:tcPr>
                  <w:tcW w:w="8016" w:type="dxa"/>
                  <w:gridSpan w:val="5"/>
                  <w:tcBorders>
                    <w:top w:val="single" w:color="auto" w:sz="4" w:space="0"/>
                    <w:left w:val="nil"/>
                    <w:bottom w:val="single" w:color="auto" w:sz="4" w:space="0"/>
                    <w:right w:val="nil"/>
                  </w:tcBorders>
                  <w:shd w:val="clear" w:color="auto" w:fill="auto"/>
                  <w:noWrap/>
                  <w:vAlign w:val="center"/>
                </w:tcPr>
                <w:p w14:paraId="2A615752">
                  <w:pPr>
                    <w:widowControl/>
                    <w:wordWrap w:val="0"/>
                    <w:jc w:val="left"/>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自然植被</w:t>
                  </w:r>
                </w:p>
              </w:tc>
            </w:tr>
            <w:tr w14:paraId="647E72E1">
              <w:tblPrEx>
                <w:tblCellMar>
                  <w:top w:w="0" w:type="dxa"/>
                  <w:left w:w="108" w:type="dxa"/>
                  <w:bottom w:w="0" w:type="dxa"/>
                  <w:right w:w="108" w:type="dxa"/>
                </w:tblCellMar>
              </w:tblPrEx>
              <w:trPr>
                <w:trHeight w:val="23" w:hRule="atLeast"/>
              </w:trPr>
              <w:tc>
                <w:tcPr>
                  <w:tcW w:w="1136" w:type="dxa"/>
                  <w:tcBorders>
                    <w:top w:val="single" w:color="auto" w:sz="4" w:space="0"/>
                    <w:left w:val="nil"/>
                    <w:bottom w:val="single" w:color="auto" w:sz="4" w:space="0"/>
                    <w:right w:val="single" w:color="auto" w:sz="4" w:space="0"/>
                  </w:tcBorders>
                  <w:shd w:val="clear" w:color="auto" w:fill="auto"/>
                  <w:noWrap/>
                  <w:vAlign w:val="center"/>
                </w:tcPr>
                <w:p w14:paraId="258103A9">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一、针叶林</w:t>
                  </w:r>
                </w:p>
              </w:tc>
              <w:tc>
                <w:tcPr>
                  <w:tcW w:w="972" w:type="dxa"/>
                  <w:tcBorders>
                    <w:top w:val="single" w:color="auto" w:sz="4" w:space="0"/>
                    <w:left w:val="single" w:color="auto" w:sz="4" w:space="0"/>
                    <w:bottom w:val="single" w:color="auto" w:sz="4" w:space="0"/>
                    <w:right w:val="single" w:color="auto" w:sz="4" w:space="0"/>
                  </w:tcBorders>
                  <w:shd w:val="clear" w:color="auto" w:fill="auto"/>
                  <w:vAlign w:val="center"/>
                </w:tcPr>
                <w:p w14:paraId="6D5A8275">
                  <w:pPr>
                    <w:widowControl/>
                    <w:jc w:val="left"/>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I.</w:t>
                  </w:r>
                  <w:r>
                    <w:rPr>
                      <w:rFonts w:hint="default" w:ascii="Times New Roman" w:hAnsi="Times New Roman" w:eastAsia="等线" w:cs="Times New Roman"/>
                      <w:b w:val="0"/>
                      <w:bCs w:val="0"/>
                      <w:kern w:val="0"/>
                      <w:sz w:val="14"/>
                      <w:szCs w:val="14"/>
                      <w:u w:val="none"/>
                    </w:rPr>
                    <w:t xml:space="preserve"> </w:t>
                  </w:r>
                  <w:r>
                    <w:rPr>
                      <w:rFonts w:hint="default" w:ascii="Times New Roman" w:hAnsi="Times New Roman" w:cs="Times New Roman"/>
                      <w:b w:val="0"/>
                      <w:bCs w:val="0"/>
                      <w:kern w:val="0"/>
                      <w:szCs w:val="21"/>
                      <w:u w:val="none"/>
                    </w:rPr>
                    <w:t>低山针叶林</w:t>
                  </w:r>
                </w:p>
              </w:tc>
              <w:tc>
                <w:tcPr>
                  <w:tcW w:w="154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B96AC0">
                  <w:pPr>
                    <w:widowControl/>
                    <w:jc w:val="left"/>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1.</w:t>
                  </w:r>
                  <w:r>
                    <w:rPr>
                      <w:rFonts w:hint="default" w:ascii="Times New Roman" w:hAnsi="Times New Roman" w:eastAsia="等线" w:cs="Times New Roman"/>
                      <w:b w:val="0"/>
                      <w:bCs w:val="0"/>
                      <w:kern w:val="0"/>
                      <w:sz w:val="14"/>
                      <w:szCs w:val="14"/>
                      <w:u w:val="none"/>
                    </w:rPr>
                    <w:t xml:space="preserve"> </w:t>
                  </w:r>
                  <w:r>
                    <w:rPr>
                      <w:rFonts w:hint="default" w:ascii="Times New Roman" w:hAnsi="Times New Roman" w:cs="Times New Roman"/>
                      <w:b w:val="0"/>
                      <w:bCs w:val="0"/>
                      <w:kern w:val="0"/>
                      <w:szCs w:val="21"/>
                      <w:u w:val="none"/>
                    </w:rPr>
                    <w:t>杉木林</w:t>
                  </w:r>
                </w:p>
              </w:tc>
              <w:tc>
                <w:tcPr>
                  <w:tcW w:w="2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60CC98">
                  <w:pPr>
                    <w:widowControl/>
                    <w:wordWrap w:val="0"/>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Form.</w:t>
                  </w:r>
                  <w:r>
                    <w:rPr>
                      <w:rFonts w:hint="default" w:ascii="Times New Roman" w:hAnsi="Times New Roman" w:eastAsia="等线" w:cs="Times New Roman"/>
                      <w:b w:val="0"/>
                      <w:bCs w:val="0"/>
                      <w:i/>
                      <w:iCs/>
                      <w:kern w:val="0"/>
                      <w:szCs w:val="21"/>
                      <w:u w:val="none"/>
                    </w:rPr>
                    <w:t>Cunninghamia lanceolata</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5E420613">
                  <w:pPr>
                    <w:widowControl/>
                    <w:rPr>
                      <w:rFonts w:hint="default" w:ascii="Times New Roman" w:hAnsi="Times New Roman" w:eastAsia="等线" w:cs="Times New Roman"/>
                      <w:b w:val="0"/>
                      <w:bCs w:val="0"/>
                      <w:kern w:val="0"/>
                      <w:szCs w:val="21"/>
                      <w:u w:val="none"/>
                      <w:lang w:val="en-US" w:eastAsia="zh-CN"/>
                    </w:rPr>
                  </w:pPr>
                  <w:r>
                    <w:rPr>
                      <w:rFonts w:hint="default" w:ascii="Times New Roman" w:hAnsi="Times New Roman" w:cs="Times New Roman"/>
                      <w:b w:val="0"/>
                      <w:bCs w:val="0"/>
                      <w:kern w:val="0"/>
                      <w:szCs w:val="21"/>
                      <w:u w:val="none"/>
                    </w:rPr>
                    <w:t>评价区广泛分布</w:t>
                  </w:r>
                </w:p>
              </w:tc>
            </w:tr>
            <w:tr w14:paraId="129EFA6F">
              <w:tblPrEx>
                <w:tblCellMar>
                  <w:top w:w="0" w:type="dxa"/>
                  <w:left w:w="108" w:type="dxa"/>
                  <w:bottom w:w="0" w:type="dxa"/>
                  <w:right w:w="108" w:type="dxa"/>
                </w:tblCellMar>
              </w:tblPrEx>
              <w:trPr>
                <w:trHeight w:val="23" w:hRule="atLeast"/>
              </w:trPr>
              <w:tc>
                <w:tcPr>
                  <w:tcW w:w="1136" w:type="dxa"/>
                  <w:vMerge w:val="restart"/>
                  <w:tcBorders>
                    <w:top w:val="single" w:color="auto" w:sz="4" w:space="0"/>
                    <w:left w:val="nil"/>
                    <w:bottom w:val="single" w:color="auto" w:sz="4" w:space="0"/>
                    <w:right w:val="single" w:color="auto" w:sz="4" w:space="0"/>
                  </w:tcBorders>
                  <w:shd w:val="clear" w:color="auto" w:fill="auto"/>
                  <w:noWrap/>
                  <w:vAlign w:val="center"/>
                </w:tcPr>
                <w:p w14:paraId="74F0BF5F">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三、灌草丛</w:t>
                  </w:r>
                </w:p>
              </w:tc>
              <w:tc>
                <w:tcPr>
                  <w:tcW w:w="972" w:type="dxa"/>
                  <w:vMerge w:val="restart"/>
                  <w:tcBorders>
                    <w:top w:val="single" w:color="auto" w:sz="4" w:space="0"/>
                    <w:left w:val="single" w:color="auto" w:sz="4" w:space="0"/>
                    <w:right w:val="single" w:color="auto" w:sz="4" w:space="0"/>
                  </w:tcBorders>
                  <w:shd w:val="clear" w:color="auto" w:fill="auto"/>
                  <w:vAlign w:val="center"/>
                </w:tcPr>
                <w:p w14:paraId="10662F1A">
                  <w:pPr>
                    <w:widowControl/>
                    <w:jc w:val="left"/>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II.</w:t>
                  </w:r>
                  <w:r>
                    <w:rPr>
                      <w:rFonts w:hint="default" w:ascii="Times New Roman" w:hAnsi="Times New Roman" w:cs="Times New Roman"/>
                      <w:b w:val="0"/>
                      <w:bCs w:val="0"/>
                      <w:kern w:val="0"/>
                      <w:szCs w:val="21"/>
                      <w:u w:val="none"/>
                    </w:rPr>
                    <w:t>灌</w:t>
                  </w:r>
                  <w:r>
                    <w:rPr>
                      <w:rFonts w:hint="eastAsia" w:cs="Times New Roman"/>
                      <w:b w:val="0"/>
                      <w:bCs w:val="0"/>
                      <w:kern w:val="0"/>
                      <w:szCs w:val="21"/>
                      <w:u w:val="none"/>
                      <w:lang w:val="en-US" w:eastAsia="zh-CN"/>
                    </w:rPr>
                    <w:t>草</w:t>
                  </w:r>
                  <w:r>
                    <w:rPr>
                      <w:rFonts w:hint="default" w:ascii="Times New Roman" w:hAnsi="Times New Roman" w:cs="Times New Roman"/>
                      <w:b w:val="0"/>
                      <w:bCs w:val="0"/>
                      <w:kern w:val="0"/>
                      <w:szCs w:val="21"/>
                      <w:u w:val="none"/>
                    </w:rPr>
                    <w:t>丛</w:t>
                  </w:r>
                </w:p>
              </w:tc>
              <w:tc>
                <w:tcPr>
                  <w:tcW w:w="154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85A3AD">
                  <w:pPr>
                    <w:widowControl/>
                    <w:rPr>
                      <w:rFonts w:hint="default" w:ascii="Times New Roman" w:hAnsi="Times New Roman" w:eastAsia="等线" w:cs="Times New Roman"/>
                      <w:b w:val="0"/>
                      <w:bCs w:val="0"/>
                      <w:kern w:val="0"/>
                      <w:sz w:val="21"/>
                      <w:szCs w:val="21"/>
                      <w:u w:val="none"/>
                      <w:lang w:val="en-US" w:eastAsia="zh-CN" w:bidi="ar-SA"/>
                    </w:rPr>
                  </w:pPr>
                  <w:r>
                    <w:rPr>
                      <w:rFonts w:hint="eastAsia" w:eastAsia="等线" w:cs="Times New Roman"/>
                      <w:b w:val="0"/>
                      <w:bCs w:val="0"/>
                      <w:kern w:val="0"/>
                      <w:szCs w:val="21"/>
                      <w:u w:val="none"/>
                      <w:lang w:val="en-US" w:eastAsia="zh-CN"/>
                    </w:rPr>
                    <w:t>2</w:t>
                  </w:r>
                  <w:r>
                    <w:rPr>
                      <w:rFonts w:hint="default" w:ascii="Times New Roman" w:hAnsi="Times New Roman" w:eastAsia="等线" w:cs="Times New Roman"/>
                      <w:b w:val="0"/>
                      <w:bCs w:val="0"/>
                      <w:kern w:val="0"/>
                      <w:szCs w:val="21"/>
                      <w:u w:val="none"/>
                    </w:rPr>
                    <w:t>.</w:t>
                  </w:r>
                  <w:r>
                    <w:rPr>
                      <w:rFonts w:hint="default" w:ascii="Times New Roman" w:hAnsi="Times New Roman" w:cs="Times New Roman"/>
                      <w:b w:val="0"/>
                      <w:bCs w:val="0"/>
                      <w:kern w:val="0"/>
                      <w:szCs w:val="21"/>
                      <w:u w:val="none"/>
                    </w:rPr>
                    <w:t>芒灌草丛</w:t>
                  </w:r>
                </w:p>
              </w:tc>
              <w:tc>
                <w:tcPr>
                  <w:tcW w:w="2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EED938">
                  <w:pPr>
                    <w:widowControl/>
                    <w:wordWrap w:val="0"/>
                    <w:rPr>
                      <w:rFonts w:hint="default" w:ascii="Times New Roman" w:hAnsi="Times New Roman" w:eastAsia="等线" w:cs="Times New Roman"/>
                      <w:b w:val="0"/>
                      <w:bCs w:val="0"/>
                      <w:kern w:val="0"/>
                      <w:sz w:val="21"/>
                      <w:szCs w:val="21"/>
                      <w:u w:val="none"/>
                      <w:lang w:val="en-US" w:eastAsia="zh-CN" w:bidi="ar-SA"/>
                    </w:rPr>
                  </w:pPr>
                  <w:r>
                    <w:rPr>
                      <w:rFonts w:hint="default" w:ascii="Times New Roman" w:hAnsi="Times New Roman" w:eastAsia="等线" w:cs="Times New Roman"/>
                      <w:b w:val="0"/>
                      <w:bCs w:val="0"/>
                      <w:kern w:val="0"/>
                      <w:szCs w:val="21"/>
                      <w:u w:val="none"/>
                    </w:rPr>
                    <w:t>Form.</w:t>
                  </w:r>
                  <w:r>
                    <w:rPr>
                      <w:rFonts w:hint="default" w:ascii="Times New Roman" w:hAnsi="Times New Roman" w:eastAsia="等线" w:cs="Times New Roman"/>
                      <w:b w:val="0"/>
                      <w:bCs w:val="0"/>
                      <w:i/>
                      <w:iCs/>
                      <w:kern w:val="0"/>
                      <w:szCs w:val="21"/>
                      <w:u w:val="none"/>
                    </w:rPr>
                    <w:t>Miscanthus floridulus</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4E2C4940">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评价区广泛分布</w:t>
                  </w:r>
                </w:p>
              </w:tc>
            </w:tr>
            <w:tr w14:paraId="54EFCFD4">
              <w:tblPrEx>
                <w:tblCellMar>
                  <w:top w:w="0" w:type="dxa"/>
                  <w:left w:w="108" w:type="dxa"/>
                  <w:bottom w:w="0" w:type="dxa"/>
                  <w:right w:w="108" w:type="dxa"/>
                </w:tblCellMar>
              </w:tblPrEx>
              <w:trPr>
                <w:trHeight w:val="23" w:hRule="atLeast"/>
              </w:trPr>
              <w:tc>
                <w:tcPr>
                  <w:tcW w:w="1136" w:type="dxa"/>
                  <w:vMerge w:val="continue"/>
                  <w:tcBorders>
                    <w:top w:val="single" w:color="auto" w:sz="4" w:space="0"/>
                    <w:left w:val="nil"/>
                    <w:bottom w:val="single" w:color="auto" w:sz="4" w:space="0"/>
                    <w:right w:val="single" w:color="auto" w:sz="4" w:space="0"/>
                  </w:tcBorders>
                  <w:vAlign w:val="center"/>
                </w:tcPr>
                <w:p w14:paraId="52E47F7B">
                  <w:pPr>
                    <w:widowControl/>
                    <w:jc w:val="left"/>
                    <w:rPr>
                      <w:rFonts w:hint="default" w:ascii="Times New Roman" w:hAnsi="Times New Roman" w:eastAsia="等线" w:cs="Times New Roman"/>
                      <w:b w:val="0"/>
                      <w:bCs w:val="0"/>
                      <w:kern w:val="0"/>
                      <w:szCs w:val="21"/>
                      <w:u w:val="none"/>
                    </w:rPr>
                  </w:pPr>
                </w:p>
              </w:tc>
              <w:tc>
                <w:tcPr>
                  <w:tcW w:w="972" w:type="dxa"/>
                  <w:vMerge w:val="continue"/>
                  <w:tcBorders>
                    <w:left w:val="single" w:color="auto" w:sz="4" w:space="0"/>
                    <w:right w:val="single" w:color="auto" w:sz="4" w:space="0"/>
                  </w:tcBorders>
                  <w:vAlign w:val="center"/>
                </w:tcPr>
                <w:p w14:paraId="0829A78F">
                  <w:pPr>
                    <w:widowControl/>
                    <w:jc w:val="left"/>
                    <w:rPr>
                      <w:rFonts w:hint="default" w:ascii="Times New Roman" w:hAnsi="Times New Roman" w:eastAsia="等线" w:cs="Times New Roman"/>
                      <w:b w:val="0"/>
                      <w:bCs w:val="0"/>
                      <w:kern w:val="0"/>
                      <w:szCs w:val="21"/>
                      <w:u w:val="none"/>
                    </w:rPr>
                  </w:pPr>
                </w:p>
              </w:tc>
              <w:tc>
                <w:tcPr>
                  <w:tcW w:w="154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7003ED">
                  <w:pPr>
                    <w:widowControl/>
                    <w:rPr>
                      <w:rFonts w:hint="default" w:ascii="Times New Roman" w:hAnsi="Times New Roman" w:eastAsia="等线" w:cs="Times New Roman"/>
                      <w:b w:val="0"/>
                      <w:bCs w:val="0"/>
                      <w:kern w:val="0"/>
                      <w:szCs w:val="21"/>
                      <w:u w:val="none"/>
                    </w:rPr>
                  </w:pPr>
                  <w:r>
                    <w:rPr>
                      <w:rFonts w:hint="eastAsia" w:eastAsia="等线" w:cs="Times New Roman"/>
                      <w:b w:val="0"/>
                      <w:bCs w:val="0"/>
                      <w:kern w:val="0"/>
                      <w:szCs w:val="21"/>
                      <w:u w:val="none"/>
                      <w:lang w:val="en-US" w:eastAsia="zh-CN"/>
                    </w:rPr>
                    <w:t>3</w:t>
                  </w:r>
                  <w:r>
                    <w:rPr>
                      <w:rFonts w:hint="default" w:ascii="Times New Roman" w:hAnsi="Times New Roman" w:eastAsia="等线" w:cs="Times New Roman"/>
                      <w:b w:val="0"/>
                      <w:bCs w:val="0"/>
                      <w:kern w:val="0"/>
                      <w:szCs w:val="21"/>
                      <w:u w:val="none"/>
                    </w:rPr>
                    <w:t>.</w:t>
                  </w:r>
                  <w:r>
                    <w:rPr>
                      <w:rFonts w:hint="default" w:ascii="Times New Roman" w:hAnsi="Times New Roman" w:cs="Times New Roman"/>
                      <w:b w:val="0"/>
                      <w:bCs w:val="0"/>
                      <w:kern w:val="0"/>
                      <w:szCs w:val="21"/>
                      <w:u w:val="none"/>
                    </w:rPr>
                    <w:t>蕨灌草丛</w:t>
                  </w:r>
                </w:p>
              </w:tc>
              <w:tc>
                <w:tcPr>
                  <w:tcW w:w="281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E00178">
                  <w:pPr>
                    <w:widowControl/>
                    <w:wordWrap w:val="0"/>
                    <w:rPr>
                      <w:rFonts w:hint="default" w:ascii="Times New Roman" w:hAnsi="Times New Roman" w:eastAsia="等线" w:cs="Times New Roman"/>
                      <w:b w:val="0"/>
                      <w:bCs w:val="0"/>
                      <w:kern w:val="0"/>
                      <w:szCs w:val="21"/>
                      <w:u w:val="none"/>
                    </w:rPr>
                  </w:pPr>
                  <w:r>
                    <w:rPr>
                      <w:rFonts w:hint="default" w:ascii="Times New Roman" w:hAnsi="Times New Roman" w:eastAsia="等线" w:cs="Times New Roman"/>
                      <w:b w:val="0"/>
                      <w:bCs w:val="0"/>
                      <w:kern w:val="0"/>
                      <w:szCs w:val="21"/>
                      <w:u w:val="none"/>
                    </w:rPr>
                    <w:t>Form.</w:t>
                  </w:r>
                  <w:r>
                    <w:rPr>
                      <w:rFonts w:hint="default" w:ascii="Times New Roman" w:hAnsi="Times New Roman" w:eastAsia="等线" w:cs="Times New Roman"/>
                      <w:b w:val="0"/>
                      <w:bCs w:val="0"/>
                      <w:i/>
                      <w:iCs/>
                      <w:kern w:val="0"/>
                      <w:szCs w:val="21"/>
                      <w:u w:val="none"/>
                    </w:rPr>
                    <w:t xml:space="preserve">Pteridium aquilinum </w:t>
                  </w:r>
                  <w:r>
                    <w:rPr>
                      <w:rFonts w:hint="default" w:ascii="Times New Roman" w:hAnsi="Times New Roman" w:eastAsia="等线" w:cs="Times New Roman"/>
                      <w:b w:val="0"/>
                      <w:bCs w:val="0"/>
                      <w:kern w:val="0"/>
                      <w:szCs w:val="21"/>
                      <w:u w:val="none"/>
                    </w:rPr>
                    <w:t xml:space="preserve">var. </w:t>
                  </w:r>
                  <w:r>
                    <w:rPr>
                      <w:rFonts w:hint="default" w:ascii="Times New Roman" w:hAnsi="Times New Roman" w:eastAsia="等线" w:cs="Times New Roman"/>
                      <w:b w:val="0"/>
                      <w:bCs w:val="0"/>
                      <w:i/>
                      <w:iCs/>
                      <w:kern w:val="0"/>
                      <w:szCs w:val="21"/>
                      <w:u w:val="none"/>
                    </w:rPr>
                    <w:t>latiusculum</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2AED2FFB">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评价区广泛分布</w:t>
                  </w:r>
                </w:p>
              </w:tc>
            </w:tr>
            <w:tr w14:paraId="4369F6C0">
              <w:tblPrEx>
                <w:tblCellMar>
                  <w:top w:w="0" w:type="dxa"/>
                  <w:left w:w="108" w:type="dxa"/>
                  <w:bottom w:w="0" w:type="dxa"/>
                  <w:right w:w="108" w:type="dxa"/>
                </w:tblCellMar>
              </w:tblPrEx>
              <w:trPr>
                <w:trHeight w:val="23" w:hRule="atLeast"/>
              </w:trPr>
              <w:tc>
                <w:tcPr>
                  <w:tcW w:w="8016" w:type="dxa"/>
                  <w:gridSpan w:val="5"/>
                  <w:tcBorders>
                    <w:top w:val="single" w:color="auto" w:sz="4" w:space="0"/>
                    <w:left w:val="nil"/>
                    <w:bottom w:val="single" w:color="auto" w:sz="4" w:space="0"/>
                    <w:right w:val="nil"/>
                  </w:tcBorders>
                  <w:shd w:val="clear" w:color="auto" w:fill="auto"/>
                  <w:noWrap/>
                  <w:vAlign w:val="center"/>
                </w:tcPr>
                <w:p w14:paraId="7370F680">
                  <w:pPr>
                    <w:widowControl/>
                    <w:wordWrap w:val="0"/>
                    <w:jc w:val="left"/>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人工植被</w:t>
                  </w:r>
                </w:p>
              </w:tc>
            </w:tr>
            <w:tr w14:paraId="63B12693">
              <w:tblPrEx>
                <w:tblCellMar>
                  <w:top w:w="0" w:type="dxa"/>
                  <w:left w:w="108" w:type="dxa"/>
                  <w:bottom w:w="0" w:type="dxa"/>
                  <w:right w:w="108" w:type="dxa"/>
                </w:tblCellMar>
              </w:tblPrEx>
              <w:trPr>
                <w:trHeight w:val="23" w:hRule="atLeast"/>
              </w:trPr>
              <w:tc>
                <w:tcPr>
                  <w:tcW w:w="1136" w:type="dxa"/>
                  <w:tcBorders>
                    <w:top w:val="single" w:color="auto" w:sz="4" w:space="0"/>
                    <w:left w:val="nil"/>
                    <w:bottom w:val="single" w:color="auto" w:sz="4" w:space="0"/>
                    <w:right w:val="single" w:color="auto" w:sz="4" w:space="0"/>
                  </w:tcBorders>
                  <w:shd w:val="clear" w:color="auto" w:fill="auto"/>
                  <w:noWrap/>
                  <w:vAlign w:val="center"/>
                </w:tcPr>
                <w:p w14:paraId="5D25EA6B">
                  <w:pPr>
                    <w:widowControl/>
                    <w:jc w:val="center"/>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经济林</w:t>
                  </w:r>
                </w:p>
              </w:tc>
              <w:tc>
                <w:tcPr>
                  <w:tcW w:w="5331"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220DC27E">
                  <w:pPr>
                    <w:widowControl/>
                    <w:wordWrap w:val="0"/>
                    <w:jc w:val="left"/>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油茶林</w:t>
                  </w:r>
                </w:p>
              </w:tc>
              <w:tc>
                <w:tcPr>
                  <w:tcW w:w="1549" w:type="dxa"/>
                  <w:tcBorders>
                    <w:top w:val="single" w:color="auto" w:sz="4" w:space="0"/>
                    <w:left w:val="single" w:color="auto" w:sz="4" w:space="0"/>
                    <w:bottom w:val="single" w:color="auto" w:sz="4" w:space="0"/>
                    <w:right w:val="nil"/>
                  </w:tcBorders>
                  <w:shd w:val="clear" w:color="auto" w:fill="auto"/>
                  <w:noWrap/>
                  <w:vAlign w:val="center"/>
                </w:tcPr>
                <w:p w14:paraId="76A27F92">
                  <w:pPr>
                    <w:widowControl/>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评价区广泛分布</w:t>
                  </w:r>
                </w:p>
              </w:tc>
            </w:tr>
            <w:tr w14:paraId="0400076A">
              <w:tblPrEx>
                <w:tblCellMar>
                  <w:top w:w="0" w:type="dxa"/>
                  <w:left w:w="108" w:type="dxa"/>
                  <w:bottom w:w="0" w:type="dxa"/>
                  <w:right w:w="108" w:type="dxa"/>
                </w:tblCellMar>
              </w:tblPrEx>
              <w:trPr>
                <w:trHeight w:val="23" w:hRule="atLeast"/>
              </w:trPr>
              <w:tc>
                <w:tcPr>
                  <w:tcW w:w="1136" w:type="dxa"/>
                  <w:tcBorders>
                    <w:top w:val="single" w:color="auto" w:sz="4" w:space="0"/>
                    <w:left w:val="nil"/>
                    <w:bottom w:val="single" w:color="auto" w:sz="12" w:space="0"/>
                    <w:right w:val="single" w:color="auto" w:sz="4" w:space="0"/>
                  </w:tcBorders>
                  <w:shd w:val="clear" w:color="auto" w:fill="auto"/>
                  <w:noWrap/>
                  <w:vAlign w:val="center"/>
                </w:tcPr>
                <w:p w14:paraId="58F2E7CE">
                  <w:pPr>
                    <w:widowControl/>
                    <w:jc w:val="center"/>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农作物</w:t>
                  </w:r>
                </w:p>
              </w:tc>
              <w:tc>
                <w:tcPr>
                  <w:tcW w:w="5331" w:type="dxa"/>
                  <w:gridSpan w:val="3"/>
                  <w:tcBorders>
                    <w:top w:val="single" w:color="auto" w:sz="4" w:space="0"/>
                    <w:left w:val="single" w:color="auto" w:sz="4" w:space="0"/>
                    <w:bottom w:val="single" w:color="auto" w:sz="12" w:space="0"/>
                    <w:right w:val="single" w:color="auto" w:sz="4" w:space="0"/>
                  </w:tcBorders>
                  <w:shd w:val="clear" w:color="auto" w:fill="auto"/>
                  <w:noWrap/>
                  <w:vAlign w:val="center"/>
                </w:tcPr>
                <w:p w14:paraId="508DC5E0">
                  <w:pPr>
                    <w:widowControl/>
                    <w:wordWrap w:val="0"/>
                    <w:rPr>
                      <w:rFonts w:hint="default" w:ascii="Times New Roman" w:hAnsi="Times New Roman" w:eastAsia="等线" w:cs="Times New Roman"/>
                      <w:b w:val="0"/>
                      <w:bCs w:val="0"/>
                      <w:kern w:val="0"/>
                      <w:szCs w:val="21"/>
                      <w:u w:val="none"/>
                    </w:rPr>
                  </w:pPr>
                  <w:r>
                    <w:rPr>
                      <w:rFonts w:hint="default" w:ascii="Times New Roman" w:hAnsi="Times New Roman" w:cs="Times New Roman"/>
                      <w:b w:val="0"/>
                      <w:bCs w:val="0"/>
                      <w:kern w:val="0"/>
                      <w:szCs w:val="21"/>
                      <w:u w:val="none"/>
                    </w:rPr>
                    <w:t>水稻、玉米、大豆等</w:t>
                  </w:r>
                </w:p>
              </w:tc>
              <w:tc>
                <w:tcPr>
                  <w:tcW w:w="1549" w:type="dxa"/>
                  <w:tcBorders>
                    <w:top w:val="single" w:color="auto" w:sz="4" w:space="0"/>
                    <w:left w:val="single" w:color="auto" w:sz="4" w:space="0"/>
                    <w:bottom w:val="single" w:color="auto" w:sz="12" w:space="0"/>
                    <w:right w:val="nil"/>
                  </w:tcBorders>
                  <w:shd w:val="clear" w:color="auto" w:fill="auto"/>
                  <w:noWrap/>
                  <w:vAlign w:val="center"/>
                </w:tcPr>
                <w:p w14:paraId="065085D6">
                  <w:pPr>
                    <w:widowControl/>
                    <w:rPr>
                      <w:rFonts w:hint="default" w:ascii="Times New Roman" w:hAnsi="Times New Roman" w:eastAsia="等线" w:cs="Times New Roman"/>
                      <w:b w:val="0"/>
                      <w:bCs w:val="0"/>
                      <w:kern w:val="0"/>
                      <w:szCs w:val="21"/>
                      <w:u w:val="none"/>
                      <w:lang w:val="en-US" w:eastAsia="zh-CN"/>
                    </w:rPr>
                  </w:pPr>
                  <w:r>
                    <w:rPr>
                      <w:rFonts w:hint="default" w:ascii="Times New Roman" w:hAnsi="Times New Roman" w:cs="Times New Roman"/>
                      <w:b w:val="0"/>
                      <w:bCs w:val="0"/>
                      <w:kern w:val="0"/>
                      <w:szCs w:val="21"/>
                      <w:u w:val="none"/>
                    </w:rPr>
                    <w:t>评价区广泛分布</w:t>
                  </w:r>
                </w:p>
              </w:tc>
            </w:tr>
          </w:tbl>
          <w:p w14:paraId="77B187EE">
            <w:pPr>
              <w:pStyle w:val="62"/>
              <w:ind w:firstLine="480"/>
              <w:rPr>
                <w:rFonts w:cs="Times New Roman"/>
                <w:u w:val="none"/>
              </w:rPr>
            </w:pPr>
            <w:r>
              <w:rPr>
                <w:rFonts w:hint="eastAsia" w:cs="Times New Roman"/>
                <w:u w:val="none"/>
              </w:rPr>
              <w:t>（4）主要植被类型描述</w:t>
            </w:r>
          </w:p>
          <w:p w14:paraId="226E0F53">
            <w:pPr>
              <w:adjustRightInd w:val="0"/>
              <w:snapToGrid w:val="0"/>
              <w:spacing w:line="360" w:lineRule="auto"/>
              <w:ind w:firstLine="480" w:firstLineChars="200"/>
              <w:rPr>
                <w:kern w:val="0"/>
                <w:sz w:val="24"/>
                <w:u w:val="none"/>
                <w:lang w:val="sq-AL" w:bidi="en-US"/>
              </w:rPr>
            </w:pPr>
            <w:r>
              <w:rPr>
                <w:kern w:val="0"/>
                <w:sz w:val="24"/>
                <w:u w:val="none"/>
                <w:lang w:val="sq-AL" w:bidi="en-US"/>
              </w:rPr>
              <w:t>根据现场对评价区内植被的实地调查，利用典型样方法，参照《中国植被》、《湖南植被》的分类原则对评价区植被中主要植物群落的分布及特征进行简要的描述。</w:t>
            </w:r>
          </w:p>
          <w:p w14:paraId="7D269B39">
            <w:pPr>
              <w:pStyle w:val="62"/>
              <w:ind w:firstLine="480"/>
              <w:rPr>
                <w:rFonts w:cs="Times New Roman"/>
                <w:kern w:val="0"/>
                <w:szCs w:val="24"/>
                <w:u w:val="none"/>
                <w:lang w:bidi="en-US"/>
              </w:rPr>
            </w:pPr>
            <w:r>
              <w:rPr>
                <w:kern w:val="0"/>
                <w:sz w:val="24"/>
                <w:u w:val="none"/>
                <w:lang w:val="sq-AL" w:bidi="en-US"/>
              </w:rPr>
              <w:t>1）</w:t>
            </w:r>
            <w:r>
              <w:rPr>
                <w:rFonts w:hint="eastAsia" w:cs="Times New Roman"/>
                <w:kern w:val="0"/>
                <w:szCs w:val="24"/>
                <w:u w:val="none"/>
                <w:lang w:bidi="en-US"/>
              </w:rPr>
              <w:t>杉木林（Form.Cunninghamialanceolata）</w:t>
            </w:r>
          </w:p>
          <w:p w14:paraId="1EAB8B22">
            <w:pPr>
              <w:pStyle w:val="62"/>
              <w:ind w:firstLine="480"/>
              <w:rPr>
                <w:rFonts w:cs="Times New Roman"/>
                <w:kern w:val="0"/>
                <w:szCs w:val="24"/>
                <w:u w:val="none"/>
                <w:lang w:bidi="en-US"/>
              </w:rPr>
            </w:pPr>
            <w:r>
              <w:rPr>
                <w:rFonts w:hint="eastAsia" w:cs="Times New Roman"/>
                <w:kern w:val="0"/>
                <w:szCs w:val="24"/>
                <w:u w:val="none"/>
                <w:lang w:bidi="en-US"/>
              </w:rPr>
              <w:t>杉木是中国南方特有的用材树种之一，广泛分布于中国亚热带地区，目前大多数为人工林，少量为天然次生林。在评价区内分布广泛，是主要造林树种。</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783"/>
              <w:gridCol w:w="2082"/>
              <w:gridCol w:w="1052"/>
              <w:gridCol w:w="130"/>
              <w:gridCol w:w="921"/>
              <w:gridCol w:w="1052"/>
              <w:gridCol w:w="1055"/>
            </w:tblGrid>
            <w:tr w14:paraId="611A38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6A9410AA">
                  <w:pPr>
                    <w:widowControl/>
                    <w:adjustRightInd w:val="0"/>
                    <w:snapToGrid w:val="0"/>
                    <w:rPr>
                      <w:b w:val="0"/>
                      <w:bCs/>
                      <w:kern w:val="0"/>
                      <w:sz w:val="18"/>
                      <w:szCs w:val="18"/>
                      <w:u w:val="none"/>
                    </w:rPr>
                  </w:pPr>
                  <w:r>
                    <w:rPr>
                      <w:b w:val="0"/>
                      <w:bCs/>
                      <w:kern w:val="0"/>
                      <w:sz w:val="18"/>
                      <w:szCs w:val="18"/>
                      <w:u w:val="none"/>
                    </w:rPr>
                    <w:t>植被类型</w:t>
                  </w:r>
                </w:p>
              </w:tc>
              <w:tc>
                <w:tcPr>
                  <w:tcW w:w="1775" w:type="pct"/>
                  <w:gridSpan w:val="2"/>
                  <w:vMerge w:val="restart"/>
                  <w:tcBorders>
                    <w:tl2br w:val="nil"/>
                    <w:tr2bl w:val="nil"/>
                  </w:tcBorders>
                  <w:vAlign w:val="center"/>
                </w:tcPr>
                <w:p w14:paraId="60A83A7B">
                  <w:pPr>
                    <w:widowControl/>
                    <w:adjustRightInd w:val="0"/>
                    <w:snapToGrid w:val="0"/>
                    <w:jc w:val="center"/>
                    <w:rPr>
                      <w:b w:val="0"/>
                      <w:bCs/>
                      <w:kern w:val="0"/>
                      <w:sz w:val="18"/>
                      <w:szCs w:val="18"/>
                      <w:u w:val="none"/>
                    </w:rPr>
                  </w:pPr>
                  <w:r>
                    <w:rPr>
                      <w:b w:val="0"/>
                      <w:bCs/>
                      <w:kern w:val="0"/>
                      <w:sz w:val="18"/>
                      <w:szCs w:val="18"/>
                      <w:u w:val="none"/>
                    </w:rPr>
                    <w:t>杉木林（Form.</w:t>
                  </w:r>
                  <w:r>
                    <w:rPr>
                      <w:b w:val="0"/>
                      <w:bCs/>
                      <w:i/>
                      <w:sz w:val="18"/>
                      <w:szCs w:val="18"/>
                      <w:u w:val="none"/>
                    </w:rPr>
                    <w:t xml:space="preserve"> </w:t>
                  </w:r>
                  <w:r>
                    <w:rPr>
                      <w:b w:val="0"/>
                      <w:bCs/>
                      <w:i/>
                      <w:kern w:val="0"/>
                      <w:sz w:val="18"/>
                      <w:szCs w:val="18"/>
                      <w:u w:val="none"/>
                    </w:rPr>
                    <w:t>Cunninghamia lanceolata</w:t>
                  </w:r>
                  <w:r>
                    <w:rPr>
                      <w:b w:val="0"/>
                      <w:bCs/>
                      <w:kern w:val="0"/>
                      <w:sz w:val="18"/>
                      <w:szCs w:val="18"/>
                      <w:u w:val="none"/>
                    </w:rPr>
                    <w:t>）</w:t>
                  </w:r>
                </w:p>
              </w:tc>
              <w:tc>
                <w:tcPr>
                  <w:tcW w:w="2610" w:type="pct"/>
                  <w:gridSpan w:val="5"/>
                  <w:tcBorders>
                    <w:tl2br w:val="nil"/>
                    <w:tr2bl w:val="nil"/>
                  </w:tcBorders>
                  <w:vAlign w:val="center"/>
                </w:tcPr>
                <w:p w14:paraId="247BF854">
                  <w:pPr>
                    <w:widowControl/>
                    <w:adjustRightInd w:val="0"/>
                    <w:snapToGrid w:val="0"/>
                    <w:jc w:val="center"/>
                    <w:rPr>
                      <w:b w:val="0"/>
                      <w:bCs/>
                      <w:kern w:val="0"/>
                      <w:sz w:val="18"/>
                      <w:szCs w:val="18"/>
                      <w:u w:val="none"/>
                    </w:rPr>
                  </w:pPr>
                  <w:r>
                    <w:rPr>
                      <w:b w:val="0"/>
                      <w:bCs/>
                      <w:kern w:val="0"/>
                      <w:sz w:val="18"/>
                      <w:szCs w:val="18"/>
                      <w:u w:val="none"/>
                    </w:rPr>
                    <w:t>环境特征</w:t>
                  </w:r>
                </w:p>
              </w:tc>
            </w:tr>
            <w:tr w14:paraId="21737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640AC9BF">
                  <w:pPr>
                    <w:widowControl/>
                    <w:adjustRightInd w:val="0"/>
                    <w:snapToGrid w:val="0"/>
                    <w:rPr>
                      <w:b w:val="0"/>
                      <w:bCs/>
                      <w:kern w:val="0"/>
                      <w:sz w:val="18"/>
                      <w:szCs w:val="18"/>
                      <w:u w:val="none"/>
                    </w:rPr>
                  </w:pPr>
                </w:p>
              </w:tc>
              <w:tc>
                <w:tcPr>
                  <w:tcW w:w="1775" w:type="pct"/>
                  <w:gridSpan w:val="2"/>
                  <w:vMerge w:val="continue"/>
                  <w:tcBorders>
                    <w:tl2br w:val="nil"/>
                    <w:tr2bl w:val="nil"/>
                  </w:tcBorders>
                  <w:vAlign w:val="center"/>
                </w:tcPr>
                <w:p w14:paraId="13B9A345">
                  <w:pPr>
                    <w:widowControl/>
                    <w:adjustRightInd w:val="0"/>
                    <w:snapToGrid w:val="0"/>
                    <w:rPr>
                      <w:b w:val="0"/>
                      <w:bCs/>
                      <w:kern w:val="0"/>
                      <w:sz w:val="18"/>
                      <w:szCs w:val="18"/>
                      <w:u w:val="none"/>
                    </w:rPr>
                  </w:pPr>
                </w:p>
              </w:tc>
              <w:tc>
                <w:tcPr>
                  <w:tcW w:w="652" w:type="pct"/>
                  <w:tcBorders>
                    <w:tl2br w:val="nil"/>
                    <w:tr2bl w:val="nil"/>
                  </w:tcBorders>
                  <w:vAlign w:val="center"/>
                </w:tcPr>
                <w:p w14:paraId="5A693F54">
                  <w:pPr>
                    <w:widowControl/>
                    <w:adjustRightInd w:val="0"/>
                    <w:snapToGrid w:val="0"/>
                    <w:jc w:val="center"/>
                    <w:rPr>
                      <w:b w:val="0"/>
                      <w:bCs/>
                      <w:kern w:val="0"/>
                      <w:sz w:val="18"/>
                      <w:szCs w:val="18"/>
                      <w:u w:val="none"/>
                    </w:rPr>
                  </w:pPr>
                  <w:r>
                    <w:rPr>
                      <w:b w:val="0"/>
                      <w:bCs/>
                      <w:kern w:val="0"/>
                      <w:sz w:val="18"/>
                      <w:szCs w:val="18"/>
                      <w:u w:val="none"/>
                    </w:rPr>
                    <w:t>地形</w:t>
                  </w:r>
                </w:p>
              </w:tc>
              <w:tc>
                <w:tcPr>
                  <w:tcW w:w="652" w:type="pct"/>
                  <w:gridSpan w:val="2"/>
                  <w:tcBorders>
                    <w:tl2br w:val="nil"/>
                    <w:tr2bl w:val="nil"/>
                  </w:tcBorders>
                  <w:vAlign w:val="center"/>
                </w:tcPr>
                <w:p w14:paraId="379ADC58">
                  <w:pPr>
                    <w:widowControl/>
                    <w:adjustRightInd w:val="0"/>
                    <w:snapToGrid w:val="0"/>
                    <w:jc w:val="center"/>
                    <w:rPr>
                      <w:b w:val="0"/>
                      <w:bCs/>
                      <w:kern w:val="0"/>
                      <w:sz w:val="18"/>
                      <w:szCs w:val="18"/>
                      <w:u w:val="none"/>
                    </w:rPr>
                  </w:pPr>
                  <w:r>
                    <w:rPr>
                      <w:b w:val="0"/>
                      <w:bCs/>
                      <w:kern w:val="0"/>
                      <w:sz w:val="18"/>
                      <w:szCs w:val="18"/>
                      <w:u w:val="none"/>
                    </w:rPr>
                    <w:t>海拔（m）</w:t>
                  </w:r>
                </w:p>
              </w:tc>
              <w:tc>
                <w:tcPr>
                  <w:tcW w:w="652" w:type="pct"/>
                  <w:tcBorders>
                    <w:tl2br w:val="nil"/>
                    <w:tr2bl w:val="nil"/>
                  </w:tcBorders>
                  <w:vAlign w:val="center"/>
                </w:tcPr>
                <w:p w14:paraId="7862B2A7">
                  <w:pPr>
                    <w:widowControl/>
                    <w:adjustRightInd w:val="0"/>
                    <w:snapToGrid w:val="0"/>
                    <w:jc w:val="center"/>
                    <w:rPr>
                      <w:b w:val="0"/>
                      <w:bCs/>
                      <w:kern w:val="0"/>
                      <w:sz w:val="18"/>
                      <w:szCs w:val="18"/>
                      <w:u w:val="none"/>
                    </w:rPr>
                  </w:pPr>
                  <w:r>
                    <w:rPr>
                      <w:b w:val="0"/>
                      <w:bCs/>
                      <w:kern w:val="0"/>
                      <w:sz w:val="18"/>
                      <w:szCs w:val="18"/>
                      <w:u w:val="none"/>
                    </w:rPr>
                    <w:t>坡向</w:t>
                  </w:r>
                </w:p>
              </w:tc>
              <w:tc>
                <w:tcPr>
                  <w:tcW w:w="653" w:type="pct"/>
                  <w:tcBorders>
                    <w:tl2br w:val="nil"/>
                    <w:tr2bl w:val="nil"/>
                  </w:tcBorders>
                  <w:vAlign w:val="center"/>
                </w:tcPr>
                <w:p w14:paraId="5BCCA7C1">
                  <w:pPr>
                    <w:widowControl/>
                    <w:adjustRightInd w:val="0"/>
                    <w:snapToGrid w:val="0"/>
                    <w:jc w:val="center"/>
                    <w:rPr>
                      <w:b w:val="0"/>
                      <w:bCs/>
                      <w:kern w:val="0"/>
                      <w:sz w:val="18"/>
                      <w:szCs w:val="18"/>
                      <w:u w:val="none"/>
                    </w:rPr>
                  </w:pPr>
                  <w:r>
                    <w:rPr>
                      <w:b w:val="0"/>
                      <w:bCs/>
                      <w:kern w:val="0"/>
                      <w:sz w:val="18"/>
                      <w:szCs w:val="18"/>
                      <w:u w:val="none"/>
                    </w:rPr>
                    <w:t>坡度（°）</w:t>
                  </w:r>
                </w:p>
              </w:tc>
            </w:tr>
            <w:tr w14:paraId="5E57A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19531147">
                  <w:pPr>
                    <w:widowControl/>
                    <w:adjustRightInd w:val="0"/>
                    <w:snapToGrid w:val="0"/>
                    <w:rPr>
                      <w:b w:val="0"/>
                      <w:bCs/>
                      <w:kern w:val="0"/>
                      <w:sz w:val="18"/>
                      <w:szCs w:val="18"/>
                      <w:u w:val="none"/>
                    </w:rPr>
                  </w:pPr>
                  <w:r>
                    <w:rPr>
                      <w:b w:val="0"/>
                      <w:bCs/>
                      <w:kern w:val="0"/>
                      <w:sz w:val="18"/>
                      <w:szCs w:val="18"/>
                      <w:u w:val="none"/>
                    </w:rPr>
                    <w:t>地点</w:t>
                  </w:r>
                </w:p>
              </w:tc>
              <w:tc>
                <w:tcPr>
                  <w:tcW w:w="1775" w:type="pct"/>
                  <w:gridSpan w:val="2"/>
                  <w:tcBorders>
                    <w:tl2br w:val="nil"/>
                    <w:tr2bl w:val="nil"/>
                  </w:tcBorders>
                  <w:vAlign w:val="center"/>
                </w:tcPr>
                <w:p w14:paraId="4DE0A93C">
                  <w:pPr>
                    <w:widowControl/>
                    <w:adjustRightInd w:val="0"/>
                    <w:snapToGrid w:val="0"/>
                    <w:jc w:val="center"/>
                    <w:textAlignment w:val="baseline"/>
                    <w:rPr>
                      <w:rFonts w:hint="default"/>
                      <w:b w:val="0"/>
                      <w:bCs/>
                      <w:snapToGrid w:val="0"/>
                      <w:kern w:val="0"/>
                      <w:sz w:val="18"/>
                      <w:szCs w:val="18"/>
                      <w:u w:val="none"/>
                      <w:lang w:val="en-US"/>
                    </w:rPr>
                  </w:pPr>
                  <w:r>
                    <w:rPr>
                      <w:rFonts w:hint="eastAsia"/>
                      <w:b w:val="0"/>
                      <w:bCs/>
                      <w:snapToGrid w:val="0"/>
                      <w:kern w:val="0"/>
                      <w:sz w:val="18"/>
                      <w:szCs w:val="18"/>
                      <w:u w:val="none"/>
                      <w:lang w:val="en-US" w:eastAsia="zh-CN"/>
                    </w:rPr>
                    <w:t>项目区域DZ1与DZ18中间</w:t>
                  </w:r>
                </w:p>
              </w:tc>
              <w:tc>
                <w:tcPr>
                  <w:tcW w:w="652" w:type="pct"/>
                  <w:tcBorders>
                    <w:tl2br w:val="nil"/>
                    <w:tr2bl w:val="nil"/>
                  </w:tcBorders>
                  <w:vAlign w:val="center"/>
                </w:tcPr>
                <w:p w14:paraId="280D4CED">
                  <w:pPr>
                    <w:widowControl/>
                    <w:adjustRightInd w:val="0"/>
                    <w:snapToGrid w:val="0"/>
                    <w:jc w:val="center"/>
                    <w:rPr>
                      <w:b w:val="0"/>
                      <w:bCs/>
                      <w:kern w:val="0"/>
                      <w:sz w:val="18"/>
                      <w:szCs w:val="18"/>
                      <w:u w:val="none"/>
                    </w:rPr>
                  </w:pPr>
                  <w:r>
                    <w:rPr>
                      <w:b w:val="0"/>
                      <w:bCs/>
                      <w:kern w:val="0"/>
                      <w:sz w:val="18"/>
                      <w:szCs w:val="18"/>
                      <w:u w:val="none"/>
                    </w:rPr>
                    <w:t>坡地</w:t>
                  </w:r>
                </w:p>
              </w:tc>
              <w:tc>
                <w:tcPr>
                  <w:tcW w:w="652" w:type="pct"/>
                  <w:gridSpan w:val="2"/>
                  <w:tcBorders>
                    <w:tl2br w:val="nil"/>
                    <w:tr2bl w:val="nil"/>
                  </w:tcBorders>
                  <w:vAlign w:val="center"/>
                </w:tcPr>
                <w:p w14:paraId="162423A4">
                  <w:pPr>
                    <w:widowControl/>
                    <w:adjustRightInd w:val="0"/>
                    <w:snapToGrid w:val="0"/>
                    <w:jc w:val="center"/>
                    <w:rPr>
                      <w:b w:val="0"/>
                      <w:bCs/>
                      <w:kern w:val="0"/>
                      <w:sz w:val="18"/>
                      <w:szCs w:val="18"/>
                      <w:u w:val="none"/>
                    </w:rPr>
                  </w:pPr>
                  <w:r>
                    <w:rPr>
                      <w:rFonts w:hint="eastAsia"/>
                      <w:b w:val="0"/>
                      <w:bCs/>
                      <w:kern w:val="0"/>
                      <w:sz w:val="18"/>
                      <w:szCs w:val="18"/>
                      <w:u w:val="none"/>
                      <w:lang w:val="en-US" w:eastAsia="zh-CN"/>
                    </w:rPr>
                    <w:t>4</w:t>
                  </w:r>
                  <w:r>
                    <w:rPr>
                      <w:b w:val="0"/>
                      <w:bCs/>
                      <w:kern w:val="0"/>
                      <w:sz w:val="18"/>
                      <w:szCs w:val="18"/>
                      <w:u w:val="none"/>
                    </w:rPr>
                    <w:t>24</w:t>
                  </w:r>
                </w:p>
              </w:tc>
              <w:tc>
                <w:tcPr>
                  <w:tcW w:w="652" w:type="pct"/>
                  <w:tcBorders>
                    <w:tl2br w:val="nil"/>
                    <w:tr2bl w:val="nil"/>
                  </w:tcBorders>
                  <w:vAlign w:val="center"/>
                </w:tcPr>
                <w:p w14:paraId="29FE42EA">
                  <w:pPr>
                    <w:widowControl/>
                    <w:adjustRightInd w:val="0"/>
                    <w:snapToGrid w:val="0"/>
                    <w:jc w:val="center"/>
                    <w:rPr>
                      <w:b w:val="0"/>
                      <w:bCs/>
                      <w:kern w:val="0"/>
                      <w:sz w:val="18"/>
                      <w:szCs w:val="18"/>
                      <w:u w:val="none"/>
                    </w:rPr>
                  </w:pPr>
                  <w:r>
                    <w:rPr>
                      <w:rFonts w:hint="eastAsia"/>
                      <w:b w:val="0"/>
                      <w:bCs/>
                      <w:kern w:val="0"/>
                      <w:sz w:val="18"/>
                      <w:szCs w:val="18"/>
                      <w:u w:val="none"/>
                    </w:rPr>
                    <w:t>N</w:t>
                  </w:r>
                  <w:r>
                    <w:rPr>
                      <w:b w:val="0"/>
                      <w:bCs/>
                      <w:kern w:val="0"/>
                      <w:sz w:val="18"/>
                      <w:szCs w:val="18"/>
                      <w:u w:val="none"/>
                    </w:rPr>
                    <w:t>W</w:t>
                  </w:r>
                </w:p>
              </w:tc>
              <w:tc>
                <w:tcPr>
                  <w:tcW w:w="653" w:type="pct"/>
                  <w:tcBorders>
                    <w:tl2br w:val="nil"/>
                    <w:tr2bl w:val="nil"/>
                  </w:tcBorders>
                  <w:vAlign w:val="center"/>
                </w:tcPr>
                <w:p w14:paraId="2F954FF8">
                  <w:pPr>
                    <w:widowControl/>
                    <w:adjustRightInd w:val="0"/>
                    <w:snapToGrid w:val="0"/>
                    <w:jc w:val="center"/>
                    <w:rPr>
                      <w:b w:val="0"/>
                      <w:bCs/>
                      <w:kern w:val="0"/>
                      <w:sz w:val="18"/>
                      <w:szCs w:val="18"/>
                      <w:u w:val="none"/>
                    </w:rPr>
                  </w:pPr>
                  <w:r>
                    <w:rPr>
                      <w:b w:val="0"/>
                      <w:bCs/>
                      <w:kern w:val="0"/>
                      <w:sz w:val="18"/>
                      <w:szCs w:val="18"/>
                      <w:u w:val="none"/>
                    </w:rPr>
                    <w:t>18</w:t>
                  </w:r>
                </w:p>
              </w:tc>
            </w:tr>
            <w:tr w14:paraId="31E53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455B187D">
                  <w:pPr>
                    <w:widowControl/>
                    <w:adjustRightInd w:val="0"/>
                    <w:snapToGrid w:val="0"/>
                    <w:rPr>
                      <w:b w:val="0"/>
                      <w:bCs/>
                      <w:kern w:val="0"/>
                      <w:sz w:val="18"/>
                      <w:szCs w:val="18"/>
                      <w:u w:val="none"/>
                    </w:rPr>
                  </w:pPr>
                  <w:r>
                    <w:rPr>
                      <w:b w:val="0"/>
                      <w:bCs/>
                      <w:kern w:val="0"/>
                      <w:sz w:val="18"/>
                      <w:szCs w:val="18"/>
                      <w:u w:val="none"/>
                    </w:rPr>
                    <w:t>经纬度</w:t>
                  </w:r>
                </w:p>
              </w:tc>
              <w:tc>
                <w:tcPr>
                  <w:tcW w:w="4385" w:type="pct"/>
                  <w:gridSpan w:val="7"/>
                  <w:tcBorders>
                    <w:tl2br w:val="nil"/>
                    <w:tr2bl w:val="nil"/>
                  </w:tcBorders>
                  <w:vAlign w:val="center"/>
                </w:tcPr>
                <w:p w14:paraId="3D6F6898">
                  <w:pPr>
                    <w:widowControl/>
                    <w:adjustRightInd w:val="0"/>
                    <w:snapToGrid w:val="0"/>
                    <w:jc w:val="center"/>
                    <w:rPr>
                      <w:b w:val="0"/>
                      <w:bCs/>
                      <w:kern w:val="0"/>
                      <w:sz w:val="18"/>
                      <w:szCs w:val="18"/>
                      <w:u w:val="none"/>
                    </w:rPr>
                  </w:pPr>
                  <w:r>
                    <w:rPr>
                      <w:b w:val="0"/>
                      <w:bCs/>
                      <w:kern w:val="0"/>
                      <w:sz w:val="18"/>
                      <w:szCs w:val="18"/>
                      <w:u w:val="none"/>
                    </w:rPr>
                    <w:t>11</w:t>
                  </w:r>
                  <w:r>
                    <w:rPr>
                      <w:rFonts w:hint="eastAsia"/>
                      <w:b w:val="0"/>
                      <w:bCs/>
                      <w:kern w:val="0"/>
                      <w:sz w:val="18"/>
                      <w:szCs w:val="18"/>
                      <w:u w:val="none"/>
                      <w:lang w:val="en-US" w:eastAsia="zh-CN"/>
                    </w:rPr>
                    <w:t>3</w:t>
                  </w:r>
                  <w:r>
                    <w:rPr>
                      <w:b w:val="0"/>
                      <w:bCs/>
                      <w:kern w:val="0"/>
                      <w:sz w:val="18"/>
                      <w:szCs w:val="18"/>
                      <w:u w:val="none"/>
                    </w:rPr>
                    <w:t>°3′</w:t>
                  </w:r>
                  <w:r>
                    <w:rPr>
                      <w:rFonts w:hint="eastAsia"/>
                      <w:b w:val="0"/>
                      <w:bCs/>
                      <w:kern w:val="0"/>
                      <w:sz w:val="18"/>
                      <w:szCs w:val="18"/>
                      <w:u w:val="none"/>
                      <w:lang w:val="en-US" w:eastAsia="zh-CN"/>
                    </w:rPr>
                    <w:t>33.20216</w:t>
                  </w:r>
                  <w:r>
                    <w:rPr>
                      <w:b w:val="0"/>
                      <w:bCs/>
                      <w:kern w:val="0"/>
                      <w:sz w:val="18"/>
                      <w:szCs w:val="18"/>
                      <w:u w:val="none"/>
                    </w:rPr>
                    <w:t>″,26°</w:t>
                  </w:r>
                  <w:r>
                    <w:rPr>
                      <w:rFonts w:hint="eastAsia"/>
                      <w:b w:val="0"/>
                      <w:bCs/>
                      <w:kern w:val="0"/>
                      <w:sz w:val="18"/>
                      <w:szCs w:val="18"/>
                      <w:u w:val="none"/>
                      <w:lang w:val="en-US" w:eastAsia="zh-CN"/>
                    </w:rPr>
                    <w:t>30</w:t>
                  </w:r>
                  <w:r>
                    <w:rPr>
                      <w:b w:val="0"/>
                      <w:bCs/>
                      <w:kern w:val="0"/>
                      <w:sz w:val="18"/>
                      <w:szCs w:val="18"/>
                      <w:u w:val="none"/>
                    </w:rPr>
                    <w:t>′</w:t>
                  </w:r>
                  <w:r>
                    <w:rPr>
                      <w:rFonts w:hint="eastAsia"/>
                      <w:b w:val="0"/>
                      <w:bCs/>
                      <w:kern w:val="0"/>
                      <w:sz w:val="18"/>
                      <w:szCs w:val="18"/>
                      <w:u w:val="none"/>
                      <w:lang w:val="en-US" w:eastAsia="zh-CN"/>
                    </w:rPr>
                    <w:t>53.94621</w:t>
                  </w:r>
                  <w:r>
                    <w:rPr>
                      <w:b w:val="0"/>
                      <w:bCs/>
                      <w:kern w:val="0"/>
                      <w:sz w:val="18"/>
                      <w:szCs w:val="18"/>
                      <w:u w:val="none"/>
                    </w:rPr>
                    <w:t>″</w:t>
                  </w:r>
                </w:p>
              </w:tc>
            </w:tr>
            <w:tr w14:paraId="20D71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6C415F7F">
                  <w:pPr>
                    <w:widowControl/>
                    <w:adjustRightInd w:val="0"/>
                    <w:snapToGrid w:val="0"/>
                    <w:rPr>
                      <w:b w:val="0"/>
                      <w:bCs/>
                      <w:kern w:val="0"/>
                      <w:sz w:val="18"/>
                      <w:szCs w:val="18"/>
                      <w:u w:val="none"/>
                    </w:rPr>
                  </w:pPr>
                  <w:r>
                    <w:rPr>
                      <w:b w:val="0"/>
                      <w:bCs/>
                      <w:kern w:val="0"/>
                      <w:sz w:val="18"/>
                      <w:szCs w:val="18"/>
                      <w:u w:val="none"/>
                    </w:rPr>
                    <w:t>层次</w:t>
                  </w:r>
                </w:p>
              </w:tc>
              <w:tc>
                <w:tcPr>
                  <w:tcW w:w="4385" w:type="pct"/>
                  <w:gridSpan w:val="7"/>
                  <w:tcBorders>
                    <w:tl2br w:val="nil"/>
                    <w:tr2bl w:val="nil"/>
                  </w:tcBorders>
                  <w:vAlign w:val="center"/>
                </w:tcPr>
                <w:p w14:paraId="1A7F435A">
                  <w:pPr>
                    <w:widowControl/>
                    <w:adjustRightInd w:val="0"/>
                    <w:snapToGrid w:val="0"/>
                    <w:jc w:val="center"/>
                    <w:rPr>
                      <w:b w:val="0"/>
                      <w:bCs/>
                      <w:kern w:val="0"/>
                      <w:sz w:val="18"/>
                      <w:szCs w:val="18"/>
                      <w:u w:val="none"/>
                    </w:rPr>
                  </w:pPr>
                  <w:r>
                    <w:rPr>
                      <w:b w:val="0"/>
                      <w:bCs/>
                      <w:kern w:val="0"/>
                      <w:sz w:val="18"/>
                      <w:szCs w:val="18"/>
                      <w:u w:val="none"/>
                    </w:rPr>
                    <w:t>三层</w:t>
                  </w:r>
                </w:p>
              </w:tc>
            </w:tr>
            <w:tr w14:paraId="74CCF1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00AB62E5">
                  <w:pPr>
                    <w:widowControl/>
                    <w:adjustRightInd w:val="0"/>
                    <w:snapToGrid w:val="0"/>
                    <w:jc w:val="center"/>
                    <w:rPr>
                      <w:b w:val="0"/>
                      <w:bCs/>
                      <w:kern w:val="0"/>
                      <w:sz w:val="18"/>
                      <w:szCs w:val="18"/>
                      <w:u w:val="none"/>
                    </w:rPr>
                  </w:pPr>
                  <w:r>
                    <w:rPr>
                      <w:b w:val="0"/>
                      <w:bCs/>
                      <w:kern w:val="0"/>
                      <w:sz w:val="18"/>
                      <w:szCs w:val="18"/>
                      <w:u w:val="none"/>
                    </w:rPr>
                    <w:t>分层</w:t>
                  </w:r>
                </w:p>
              </w:tc>
              <w:tc>
                <w:tcPr>
                  <w:tcW w:w="485" w:type="pct"/>
                  <w:tcBorders>
                    <w:tl2br w:val="nil"/>
                    <w:tr2bl w:val="nil"/>
                  </w:tcBorders>
                  <w:vAlign w:val="center"/>
                </w:tcPr>
                <w:p w14:paraId="67A4D689">
                  <w:pPr>
                    <w:widowControl/>
                    <w:adjustRightInd w:val="0"/>
                    <w:snapToGrid w:val="0"/>
                    <w:rPr>
                      <w:b w:val="0"/>
                      <w:bCs/>
                      <w:kern w:val="0"/>
                      <w:sz w:val="18"/>
                      <w:szCs w:val="18"/>
                      <w:u w:val="none"/>
                    </w:rPr>
                  </w:pPr>
                  <w:r>
                    <w:rPr>
                      <w:b w:val="0"/>
                      <w:bCs/>
                      <w:kern w:val="0"/>
                      <w:sz w:val="18"/>
                      <w:szCs w:val="18"/>
                      <w:u w:val="none"/>
                    </w:rPr>
                    <w:t>层盖度</w:t>
                  </w:r>
                </w:p>
              </w:tc>
              <w:tc>
                <w:tcPr>
                  <w:tcW w:w="2023" w:type="pct"/>
                  <w:gridSpan w:val="3"/>
                  <w:tcBorders>
                    <w:tl2br w:val="nil"/>
                    <w:tr2bl w:val="nil"/>
                  </w:tcBorders>
                  <w:vAlign w:val="center"/>
                </w:tcPr>
                <w:p w14:paraId="1A2F583B">
                  <w:pPr>
                    <w:widowControl/>
                    <w:adjustRightInd w:val="0"/>
                    <w:snapToGrid w:val="0"/>
                    <w:jc w:val="center"/>
                    <w:rPr>
                      <w:b w:val="0"/>
                      <w:bCs/>
                      <w:kern w:val="0"/>
                      <w:sz w:val="18"/>
                      <w:szCs w:val="18"/>
                      <w:u w:val="none"/>
                    </w:rPr>
                  </w:pPr>
                  <w:r>
                    <w:rPr>
                      <w:b w:val="0"/>
                      <w:bCs/>
                      <w:kern w:val="0"/>
                      <w:sz w:val="18"/>
                      <w:szCs w:val="18"/>
                      <w:u w:val="none"/>
                    </w:rPr>
                    <w:t>种类组成与生长状况</w:t>
                  </w:r>
                </w:p>
              </w:tc>
              <w:tc>
                <w:tcPr>
                  <w:tcW w:w="1877" w:type="pct"/>
                  <w:gridSpan w:val="3"/>
                  <w:tcBorders>
                    <w:tl2br w:val="nil"/>
                    <w:tr2bl w:val="nil"/>
                  </w:tcBorders>
                  <w:vAlign w:val="center"/>
                </w:tcPr>
                <w:p w14:paraId="488D1414">
                  <w:pPr>
                    <w:widowControl/>
                    <w:adjustRightInd w:val="0"/>
                    <w:snapToGrid w:val="0"/>
                    <w:jc w:val="center"/>
                    <w:rPr>
                      <w:b w:val="0"/>
                      <w:bCs/>
                      <w:kern w:val="0"/>
                      <w:sz w:val="18"/>
                      <w:szCs w:val="18"/>
                      <w:u w:val="none"/>
                    </w:rPr>
                  </w:pPr>
                  <w:r>
                    <w:rPr>
                      <w:b w:val="0"/>
                      <w:bCs/>
                      <w:kern w:val="0"/>
                      <w:sz w:val="18"/>
                      <w:szCs w:val="18"/>
                      <w:u w:val="none"/>
                    </w:rPr>
                    <w:t>考察照片</w:t>
                  </w:r>
                </w:p>
              </w:tc>
            </w:tr>
            <w:tr w14:paraId="71BDB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7C340E1A">
                  <w:pPr>
                    <w:widowControl/>
                    <w:adjustRightInd w:val="0"/>
                    <w:snapToGrid w:val="0"/>
                    <w:rPr>
                      <w:b w:val="0"/>
                      <w:bCs/>
                      <w:kern w:val="0"/>
                      <w:sz w:val="18"/>
                      <w:szCs w:val="18"/>
                      <w:u w:val="none"/>
                    </w:rPr>
                  </w:pPr>
                  <w:r>
                    <w:rPr>
                      <w:b w:val="0"/>
                      <w:bCs/>
                      <w:kern w:val="0"/>
                      <w:sz w:val="18"/>
                      <w:szCs w:val="18"/>
                      <w:u w:val="none"/>
                    </w:rPr>
                    <w:t>乔木层</w:t>
                  </w:r>
                </w:p>
              </w:tc>
              <w:tc>
                <w:tcPr>
                  <w:tcW w:w="485" w:type="pct"/>
                  <w:tcBorders>
                    <w:tl2br w:val="nil"/>
                    <w:tr2bl w:val="nil"/>
                  </w:tcBorders>
                  <w:vAlign w:val="center"/>
                </w:tcPr>
                <w:p w14:paraId="06BBDD09">
                  <w:pPr>
                    <w:widowControl/>
                    <w:adjustRightInd w:val="0"/>
                    <w:snapToGrid w:val="0"/>
                    <w:rPr>
                      <w:b w:val="0"/>
                      <w:bCs/>
                      <w:kern w:val="0"/>
                      <w:sz w:val="18"/>
                      <w:szCs w:val="18"/>
                      <w:u w:val="none"/>
                    </w:rPr>
                  </w:pPr>
                  <w:r>
                    <w:rPr>
                      <w:b w:val="0"/>
                      <w:bCs/>
                      <w:kern w:val="0"/>
                      <w:sz w:val="18"/>
                      <w:szCs w:val="18"/>
                      <w:u w:val="none"/>
                    </w:rPr>
                    <w:t>郁闭度0.51</w:t>
                  </w:r>
                </w:p>
              </w:tc>
              <w:tc>
                <w:tcPr>
                  <w:tcW w:w="2023" w:type="pct"/>
                  <w:gridSpan w:val="3"/>
                  <w:tcBorders>
                    <w:tl2br w:val="nil"/>
                    <w:tr2bl w:val="nil"/>
                  </w:tcBorders>
                  <w:vAlign w:val="center"/>
                </w:tcPr>
                <w:p w14:paraId="72EB4B78">
                  <w:pPr>
                    <w:widowControl/>
                    <w:adjustRightInd w:val="0"/>
                    <w:snapToGrid w:val="0"/>
                    <w:rPr>
                      <w:b w:val="0"/>
                      <w:bCs/>
                      <w:kern w:val="0"/>
                      <w:sz w:val="18"/>
                      <w:szCs w:val="18"/>
                      <w:u w:val="none"/>
                    </w:rPr>
                  </w:pPr>
                  <w:r>
                    <w:rPr>
                      <w:b w:val="0"/>
                      <w:bCs/>
                      <w:kern w:val="0"/>
                      <w:sz w:val="18"/>
                      <w:szCs w:val="18"/>
                      <w:u w:val="none"/>
                    </w:rPr>
                    <w:t>层均</w:t>
                  </w:r>
                  <w:r>
                    <w:rPr>
                      <w:rFonts w:hint="eastAsia"/>
                      <w:b w:val="0"/>
                      <w:bCs/>
                      <w:kern w:val="0"/>
                      <w:sz w:val="18"/>
                      <w:szCs w:val="18"/>
                      <w:u w:val="none"/>
                      <w:lang w:val="en-US" w:eastAsia="zh-CN"/>
                    </w:rPr>
                    <w:t>约</w:t>
                  </w:r>
                  <w:r>
                    <w:rPr>
                      <w:b w:val="0"/>
                      <w:bCs/>
                      <w:kern w:val="0"/>
                      <w:sz w:val="18"/>
                      <w:szCs w:val="18"/>
                      <w:u w:val="none"/>
                    </w:rPr>
                    <w:t>高6m，优势种为杉木（</w:t>
                  </w:r>
                  <w:r>
                    <w:rPr>
                      <w:b w:val="0"/>
                      <w:bCs/>
                      <w:i/>
                      <w:kern w:val="0"/>
                      <w:sz w:val="18"/>
                      <w:szCs w:val="18"/>
                      <w:u w:val="none"/>
                    </w:rPr>
                    <w:t>Cunninghamia lanceolata</w:t>
                  </w:r>
                  <w:r>
                    <w:rPr>
                      <w:b w:val="0"/>
                      <w:bCs/>
                      <w:kern w:val="0"/>
                      <w:sz w:val="18"/>
                      <w:szCs w:val="18"/>
                      <w:u w:val="none"/>
                    </w:rPr>
                    <w:t>），高5-8m，胸径10-14cm，盖度50%，主要伴生种有毛竹（</w:t>
                  </w:r>
                  <w:r>
                    <w:rPr>
                      <w:b w:val="0"/>
                      <w:bCs/>
                      <w:i/>
                      <w:kern w:val="0"/>
                      <w:sz w:val="18"/>
                      <w:szCs w:val="18"/>
                      <w:u w:val="none"/>
                    </w:rPr>
                    <w:t>Phyllostachys heterocycla</w:t>
                  </w:r>
                  <w:r>
                    <w:rPr>
                      <w:b w:val="0"/>
                      <w:bCs/>
                      <w:kern w:val="0"/>
                      <w:sz w:val="18"/>
                      <w:szCs w:val="18"/>
                      <w:u w:val="none"/>
                    </w:rPr>
                    <w:t xml:space="preserve"> cv. </w:t>
                  </w:r>
                  <w:r>
                    <w:rPr>
                      <w:b w:val="0"/>
                      <w:bCs/>
                      <w:i/>
                      <w:kern w:val="0"/>
                      <w:sz w:val="18"/>
                      <w:szCs w:val="18"/>
                      <w:u w:val="none"/>
                    </w:rPr>
                    <w:t>Pubescens</w:t>
                  </w:r>
                  <w:r>
                    <w:rPr>
                      <w:b w:val="0"/>
                      <w:bCs/>
                      <w:kern w:val="0"/>
                      <w:sz w:val="18"/>
                      <w:szCs w:val="18"/>
                      <w:u w:val="none"/>
                    </w:rPr>
                    <w:t>）、柳杉（</w:t>
                  </w:r>
                  <w:r>
                    <w:rPr>
                      <w:b w:val="0"/>
                      <w:bCs/>
                      <w:i/>
                      <w:kern w:val="0"/>
                      <w:sz w:val="18"/>
                      <w:szCs w:val="18"/>
                      <w:u w:val="none"/>
                    </w:rPr>
                    <w:t>Cryptomeria fortunei</w:t>
                  </w:r>
                  <w:r>
                    <w:rPr>
                      <w:b w:val="0"/>
                      <w:bCs/>
                      <w:kern w:val="0"/>
                      <w:sz w:val="18"/>
                      <w:szCs w:val="18"/>
                      <w:u w:val="none"/>
                    </w:rPr>
                    <w:t>）、木荷（</w:t>
                  </w:r>
                  <w:r>
                    <w:rPr>
                      <w:b w:val="0"/>
                      <w:bCs/>
                      <w:i/>
                      <w:kern w:val="0"/>
                      <w:sz w:val="18"/>
                      <w:szCs w:val="18"/>
                      <w:u w:val="none"/>
                    </w:rPr>
                    <w:t>Schima superba</w:t>
                  </w:r>
                  <w:r>
                    <w:rPr>
                      <w:b w:val="0"/>
                      <w:bCs/>
                      <w:kern w:val="0"/>
                      <w:sz w:val="18"/>
                      <w:szCs w:val="18"/>
                      <w:u w:val="none"/>
                    </w:rPr>
                    <w:t>）、山乌桕（</w:t>
                  </w:r>
                  <w:r>
                    <w:rPr>
                      <w:b w:val="0"/>
                      <w:bCs/>
                      <w:i/>
                      <w:kern w:val="0"/>
                      <w:sz w:val="18"/>
                      <w:szCs w:val="18"/>
                      <w:u w:val="none"/>
                    </w:rPr>
                    <w:t>Sapium discolor</w:t>
                  </w:r>
                  <w:r>
                    <w:rPr>
                      <w:b w:val="0"/>
                      <w:bCs/>
                      <w:kern w:val="0"/>
                      <w:sz w:val="18"/>
                      <w:szCs w:val="18"/>
                      <w:u w:val="none"/>
                    </w:rPr>
                    <w:t>）等。</w:t>
                  </w:r>
                </w:p>
              </w:tc>
              <w:tc>
                <w:tcPr>
                  <w:tcW w:w="1877" w:type="pct"/>
                  <w:gridSpan w:val="3"/>
                  <w:vMerge w:val="restart"/>
                  <w:tcBorders>
                    <w:tl2br w:val="nil"/>
                    <w:tr2bl w:val="nil"/>
                  </w:tcBorders>
                  <w:vAlign w:val="center"/>
                </w:tcPr>
                <w:p w14:paraId="3C3FE27A">
                  <w:pPr>
                    <w:widowControl/>
                    <w:adjustRightInd w:val="0"/>
                    <w:snapToGrid w:val="0"/>
                    <w:rPr>
                      <w:b w:val="0"/>
                      <w:bCs/>
                      <w:kern w:val="0"/>
                      <w:sz w:val="18"/>
                      <w:szCs w:val="18"/>
                      <w:u w:val="none"/>
                    </w:rPr>
                  </w:pPr>
                  <w:r>
                    <w:rPr>
                      <w:b w:val="0"/>
                      <w:bCs/>
                      <w:lang w:val="en-US" w:eastAsia="zh-CN"/>
                    </w:rPr>
                    <w:drawing>
                      <wp:inline distT="0" distB="0" distL="114300" distR="114300">
                        <wp:extent cx="1811655" cy="1289050"/>
                        <wp:effectExtent l="0" t="0" r="17145" b="6350"/>
                        <wp:docPr id="4" name="图片 5" descr="Z9-745"/>
                        <wp:cNvGraphicFramePr/>
                        <a:graphic xmlns:a="http://schemas.openxmlformats.org/drawingml/2006/main">
                          <a:graphicData uri="http://schemas.openxmlformats.org/drawingml/2006/picture">
                            <pic:pic xmlns:pic="http://schemas.openxmlformats.org/drawingml/2006/picture">
                              <pic:nvPicPr>
                                <pic:cNvPr id="4" name="图片 5" descr="Z9-745"/>
                                <pic:cNvPicPr preferRelativeResize="0"/>
                              </pic:nvPicPr>
                              <pic:blipFill>
                                <a:blip r:embed="rId21"/>
                                <a:stretch>
                                  <a:fillRect/>
                                </a:stretch>
                              </pic:blipFill>
                              <pic:spPr>
                                <a:xfrm>
                                  <a:off x="0" y="0"/>
                                  <a:ext cx="1811655" cy="1289050"/>
                                </a:xfrm>
                                <a:prstGeom prst="rect">
                                  <a:avLst/>
                                </a:prstGeom>
                                <a:noFill/>
                                <a:ln>
                                  <a:noFill/>
                                </a:ln>
                              </pic:spPr>
                            </pic:pic>
                          </a:graphicData>
                        </a:graphic>
                      </wp:inline>
                    </w:drawing>
                  </w:r>
                </w:p>
              </w:tc>
            </w:tr>
            <w:tr w14:paraId="161131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75D10258">
                  <w:pPr>
                    <w:widowControl/>
                    <w:adjustRightInd w:val="0"/>
                    <w:snapToGrid w:val="0"/>
                    <w:rPr>
                      <w:b w:val="0"/>
                      <w:bCs/>
                      <w:kern w:val="0"/>
                      <w:sz w:val="18"/>
                      <w:szCs w:val="18"/>
                      <w:u w:val="none"/>
                    </w:rPr>
                  </w:pPr>
                  <w:r>
                    <w:rPr>
                      <w:b w:val="0"/>
                      <w:bCs/>
                      <w:kern w:val="0"/>
                      <w:sz w:val="18"/>
                      <w:szCs w:val="18"/>
                      <w:u w:val="none"/>
                    </w:rPr>
                    <w:t>灌木层</w:t>
                  </w:r>
                </w:p>
              </w:tc>
              <w:tc>
                <w:tcPr>
                  <w:tcW w:w="485" w:type="pct"/>
                  <w:tcBorders>
                    <w:tl2br w:val="nil"/>
                    <w:tr2bl w:val="nil"/>
                  </w:tcBorders>
                  <w:vAlign w:val="center"/>
                </w:tcPr>
                <w:p w14:paraId="13C7B992">
                  <w:pPr>
                    <w:widowControl/>
                    <w:adjustRightInd w:val="0"/>
                    <w:snapToGrid w:val="0"/>
                    <w:rPr>
                      <w:b w:val="0"/>
                      <w:bCs/>
                      <w:kern w:val="0"/>
                      <w:sz w:val="18"/>
                      <w:szCs w:val="18"/>
                      <w:u w:val="none"/>
                    </w:rPr>
                  </w:pPr>
                  <w:r>
                    <w:rPr>
                      <w:b w:val="0"/>
                      <w:bCs/>
                      <w:kern w:val="0"/>
                      <w:sz w:val="18"/>
                      <w:szCs w:val="18"/>
                      <w:u w:val="none"/>
                    </w:rPr>
                    <w:t>层盖度30%</w:t>
                  </w:r>
                </w:p>
              </w:tc>
              <w:tc>
                <w:tcPr>
                  <w:tcW w:w="2023" w:type="pct"/>
                  <w:gridSpan w:val="3"/>
                  <w:tcBorders>
                    <w:tl2br w:val="nil"/>
                    <w:tr2bl w:val="nil"/>
                  </w:tcBorders>
                  <w:vAlign w:val="center"/>
                </w:tcPr>
                <w:p w14:paraId="7D2DF30B">
                  <w:pPr>
                    <w:adjustRightInd w:val="0"/>
                    <w:snapToGrid w:val="0"/>
                    <w:rPr>
                      <w:b w:val="0"/>
                      <w:bCs/>
                      <w:kern w:val="0"/>
                      <w:sz w:val="18"/>
                      <w:szCs w:val="18"/>
                      <w:u w:val="none"/>
                    </w:rPr>
                  </w:pPr>
                  <w:r>
                    <w:rPr>
                      <w:b w:val="0"/>
                      <w:bCs/>
                      <w:kern w:val="0"/>
                      <w:sz w:val="18"/>
                      <w:szCs w:val="18"/>
                      <w:u w:val="none"/>
                    </w:rPr>
                    <w:t>层均高2m，优势种为盐肤木（</w:t>
                  </w:r>
                  <w:r>
                    <w:rPr>
                      <w:b w:val="0"/>
                      <w:bCs/>
                      <w:i/>
                      <w:kern w:val="0"/>
                      <w:sz w:val="18"/>
                      <w:szCs w:val="18"/>
                      <w:u w:val="none"/>
                    </w:rPr>
                    <w:t>Rhus chinensis</w:t>
                  </w:r>
                  <w:r>
                    <w:rPr>
                      <w:b w:val="0"/>
                      <w:bCs/>
                      <w:kern w:val="0"/>
                      <w:sz w:val="18"/>
                      <w:szCs w:val="18"/>
                      <w:u w:val="none"/>
                    </w:rPr>
                    <w:t>），高1-3m，盖度30%，主要伴生种有杜鹃（</w:t>
                  </w:r>
                  <w:r>
                    <w:rPr>
                      <w:b w:val="0"/>
                      <w:bCs/>
                      <w:i/>
                      <w:kern w:val="0"/>
                      <w:sz w:val="18"/>
                      <w:szCs w:val="18"/>
                      <w:u w:val="none"/>
                    </w:rPr>
                    <w:t>Rhododendron simsii</w:t>
                  </w:r>
                  <w:r>
                    <w:rPr>
                      <w:b w:val="0"/>
                      <w:bCs/>
                      <w:kern w:val="0"/>
                      <w:sz w:val="18"/>
                      <w:szCs w:val="18"/>
                      <w:u w:val="none"/>
                    </w:rPr>
                    <w:t>）、蜡莲绣球（</w:t>
                  </w:r>
                  <w:r>
                    <w:rPr>
                      <w:b w:val="0"/>
                      <w:bCs/>
                      <w:i/>
                      <w:kern w:val="0"/>
                      <w:sz w:val="18"/>
                      <w:szCs w:val="18"/>
                      <w:u w:val="none"/>
                    </w:rPr>
                    <w:t>Hydrangea strigosa</w:t>
                  </w:r>
                  <w:r>
                    <w:rPr>
                      <w:b w:val="0"/>
                      <w:bCs/>
                      <w:kern w:val="0"/>
                      <w:sz w:val="18"/>
                      <w:szCs w:val="18"/>
                      <w:u w:val="none"/>
                    </w:rPr>
                    <w:t>）、算盘子（</w:t>
                  </w:r>
                  <w:r>
                    <w:rPr>
                      <w:b w:val="0"/>
                      <w:bCs/>
                      <w:i/>
                      <w:kern w:val="0"/>
                      <w:sz w:val="18"/>
                      <w:szCs w:val="18"/>
                      <w:u w:val="none"/>
                    </w:rPr>
                    <w:t>Glochidion puberum</w:t>
                  </w:r>
                  <w:r>
                    <w:rPr>
                      <w:b w:val="0"/>
                      <w:bCs/>
                      <w:kern w:val="0"/>
                      <w:sz w:val="18"/>
                      <w:szCs w:val="18"/>
                      <w:u w:val="none"/>
                    </w:rPr>
                    <w:t>）等。</w:t>
                  </w:r>
                </w:p>
              </w:tc>
              <w:tc>
                <w:tcPr>
                  <w:tcW w:w="1877" w:type="pct"/>
                  <w:gridSpan w:val="3"/>
                  <w:vMerge w:val="continue"/>
                  <w:tcBorders>
                    <w:tl2br w:val="nil"/>
                    <w:tr2bl w:val="nil"/>
                  </w:tcBorders>
                  <w:vAlign w:val="center"/>
                </w:tcPr>
                <w:p w14:paraId="319674CF">
                  <w:pPr>
                    <w:widowControl/>
                    <w:adjustRightInd w:val="0"/>
                    <w:snapToGrid w:val="0"/>
                    <w:rPr>
                      <w:b w:val="0"/>
                      <w:bCs/>
                      <w:kern w:val="0"/>
                      <w:sz w:val="18"/>
                      <w:szCs w:val="18"/>
                      <w:u w:val="none"/>
                    </w:rPr>
                  </w:pPr>
                </w:p>
              </w:tc>
            </w:tr>
            <w:tr w14:paraId="66637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7E18B0CA">
                  <w:pPr>
                    <w:widowControl/>
                    <w:adjustRightInd w:val="0"/>
                    <w:snapToGrid w:val="0"/>
                    <w:rPr>
                      <w:b w:val="0"/>
                      <w:bCs/>
                      <w:kern w:val="0"/>
                      <w:sz w:val="18"/>
                      <w:szCs w:val="18"/>
                      <w:u w:val="none"/>
                    </w:rPr>
                  </w:pPr>
                  <w:r>
                    <w:rPr>
                      <w:b w:val="0"/>
                      <w:bCs/>
                      <w:kern w:val="0"/>
                      <w:sz w:val="18"/>
                      <w:szCs w:val="18"/>
                      <w:u w:val="none"/>
                    </w:rPr>
                    <w:t>草本层</w:t>
                  </w:r>
                </w:p>
              </w:tc>
              <w:tc>
                <w:tcPr>
                  <w:tcW w:w="485" w:type="pct"/>
                  <w:tcBorders>
                    <w:tl2br w:val="nil"/>
                    <w:tr2bl w:val="nil"/>
                  </w:tcBorders>
                  <w:vAlign w:val="center"/>
                </w:tcPr>
                <w:p w14:paraId="0441EA06">
                  <w:pPr>
                    <w:widowControl/>
                    <w:adjustRightInd w:val="0"/>
                    <w:snapToGrid w:val="0"/>
                    <w:rPr>
                      <w:b w:val="0"/>
                      <w:bCs/>
                      <w:kern w:val="0"/>
                      <w:sz w:val="18"/>
                      <w:szCs w:val="18"/>
                      <w:u w:val="none"/>
                    </w:rPr>
                  </w:pPr>
                  <w:r>
                    <w:rPr>
                      <w:b w:val="0"/>
                      <w:bCs/>
                      <w:kern w:val="0"/>
                      <w:sz w:val="18"/>
                      <w:szCs w:val="18"/>
                      <w:u w:val="none"/>
                    </w:rPr>
                    <w:t>层盖度25%</w:t>
                  </w:r>
                </w:p>
              </w:tc>
              <w:tc>
                <w:tcPr>
                  <w:tcW w:w="2023" w:type="pct"/>
                  <w:gridSpan w:val="3"/>
                  <w:tcBorders>
                    <w:tl2br w:val="nil"/>
                    <w:tr2bl w:val="nil"/>
                  </w:tcBorders>
                  <w:vAlign w:val="center"/>
                </w:tcPr>
                <w:p w14:paraId="2E90AF70">
                  <w:pPr>
                    <w:widowControl/>
                    <w:adjustRightInd w:val="0"/>
                    <w:snapToGrid w:val="0"/>
                    <w:rPr>
                      <w:b w:val="0"/>
                      <w:bCs/>
                      <w:sz w:val="18"/>
                      <w:szCs w:val="18"/>
                      <w:u w:val="none"/>
                    </w:rPr>
                  </w:pPr>
                  <w:r>
                    <w:rPr>
                      <w:b w:val="0"/>
                      <w:bCs/>
                      <w:sz w:val="18"/>
                      <w:szCs w:val="18"/>
                      <w:u w:val="none"/>
                    </w:rPr>
                    <w:t>层均高0.8m，优势种为芒（</w:t>
                  </w:r>
                  <w:r>
                    <w:rPr>
                      <w:b w:val="0"/>
                      <w:bCs/>
                      <w:i/>
                      <w:sz w:val="18"/>
                      <w:szCs w:val="18"/>
                      <w:u w:val="none"/>
                    </w:rPr>
                    <w:t>Miscanthus sinensis</w:t>
                  </w:r>
                  <w:r>
                    <w:rPr>
                      <w:b w:val="0"/>
                      <w:bCs/>
                      <w:sz w:val="18"/>
                      <w:szCs w:val="18"/>
                      <w:u w:val="none"/>
                    </w:rPr>
                    <w:t>），高0.5-1 m，盖度25%，主要伴生种有芒萁（</w:t>
                  </w:r>
                  <w:r>
                    <w:rPr>
                      <w:b w:val="0"/>
                      <w:bCs/>
                      <w:i/>
                      <w:sz w:val="18"/>
                      <w:szCs w:val="18"/>
                      <w:u w:val="none"/>
                    </w:rPr>
                    <w:t>Dicranopteris dichotoma</w:t>
                  </w:r>
                  <w:r>
                    <w:rPr>
                      <w:b w:val="0"/>
                      <w:bCs/>
                      <w:sz w:val="18"/>
                      <w:szCs w:val="18"/>
                      <w:u w:val="none"/>
                    </w:rPr>
                    <w:t>）、阔鳞鳞毛蕨（</w:t>
                  </w:r>
                  <w:r>
                    <w:rPr>
                      <w:b w:val="0"/>
                      <w:bCs/>
                      <w:i/>
                      <w:sz w:val="18"/>
                      <w:szCs w:val="18"/>
                      <w:u w:val="none"/>
                    </w:rPr>
                    <w:t>Dryopteris championii</w:t>
                  </w:r>
                  <w:r>
                    <w:rPr>
                      <w:b w:val="0"/>
                      <w:bCs/>
                      <w:sz w:val="18"/>
                      <w:szCs w:val="18"/>
                      <w:u w:val="none"/>
                    </w:rPr>
                    <w:t>）等。</w:t>
                  </w:r>
                </w:p>
              </w:tc>
              <w:tc>
                <w:tcPr>
                  <w:tcW w:w="1877" w:type="pct"/>
                  <w:gridSpan w:val="3"/>
                  <w:vMerge w:val="continue"/>
                  <w:tcBorders>
                    <w:tl2br w:val="nil"/>
                    <w:tr2bl w:val="nil"/>
                  </w:tcBorders>
                  <w:vAlign w:val="center"/>
                </w:tcPr>
                <w:p w14:paraId="7CCC95F8">
                  <w:pPr>
                    <w:widowControl/>
                    <w:adjustRightInd w:val="0"/>
                    <w:snapToGrid w:val="0"/>
                    <w:rPr>
                      <w:b w:val="0"/>
                      <w:bCs/>
                      <w:kern w:val="0"/>
                      <w:sz w:val="18"/>
                      <w:szCs w:val="18"/>
                      <w:u w:val="none"/>
                    </w:rPr>
                  </w:pPr>
                </w:p>
              </w:tc>
            </w:tr>
          </w:tbl>
          <w:p w14:paraId="67C0093B">
            <w:pPr>
              <w:adjustRightInd w:val="0"/>
              <w:snapToGrid w:val="0"/>
              <w:spacing w:line="360" w:lineRule="auto"/>
              <w:ind w:firstLine="482"/>
              <w:rPr>
                <w:sz w:val="24"/>
                <w:u w:val="none"/>
              </w:rPr>
            </w:pPr>
            <w:r>
              <w:rPr>
                <w:rFonts w:hint="eastAsia"/>
                <w:sz w:val="24"/>
                <w:u w:val="none"/>
                <w:lang w:val="en-US" w:eastAsia="zh-CN"/>
              </w:rPr>
              <w:t>2</w:t>
            </w:r>
            <w:r>
              <w:rPr>
                <w:sz w:val="24"/>
                <w:u w:val="none"/>
              </w:rPr>
              <w:t>）芒灌草丛（Form.Miscanthus sinensis）</w:t>
            </w:r>
          </w:p>
          <w:p w14:paraId="5CEFBD7C">
            <w:pPr>
              <w:adjustRightInd w:val="0"/>
              <w:snapToGrid w:val="0"/>
              <w:spacing w:line="360" w:lineRule="auto"/>
              <w:ind w:firstLine="482"/>
              <w:rPr>
                <w:sz w:val="24"/>
                <w:u w:val="none"/>
              </w:rPr>
            </w:pPr>
            <w:r>
              <w:rPr>
                <w:sz w:val="24"/>
                <w:u w:val="none"/>
              </w:rPr>
              <w:t>芒适应能力强，繁殖能力强，是评价区面积最广的灌草丛。在评价区内分布广泛，是最重要的灌草丛。</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783"/>
              <w:gridCol w:w="2082"/>
              <w:gridCol w:w="1052"/>
              <w:gridCol w:w="130"/>
              <w:gridCol w:w="921"/>
              <w:gridCol w:w="1052"/>
              <w:gridCol w:w="1055"/>
            </w:tblGrid>
            <w:tr w14:paraId="134C5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restart"/>
                  <w:tcBorders>
                    <w:tl2br w:val="nil"/>
                    <w:tr2bl w:val="nil"/>
                  </w:tcBorders>
                  <w:vAlign w:val="center"/>
                </w:tcPr>
                <w:p w14:paraId="7149E610">
                  <w:pPr>
                    <w:widowControl/>
                    <w:adjustRightInd w:val="0"/>
                    <w:snapToGrid w:val="0"/>
                    <w:rPr>
                      <w:b w:val="0"/>
                      <w:bCs/>
                      <w:kern w:val="0"/>
                      <w:sz w:val="18"/>
                      <w:szCs w:val="18"/>
                      <w:u w:val="none"/>
                    </w:rPr>
                  </w:pPr>
                  <w:r>
                    <w:rPr>
                      <w:b w:val="0"/>
                      <w:bCs/>
                      <w:kern w:val="0"/>
                      <w:sz w:val="18"/>
                      <w:szCs w:val="18"/>
                      <w:u w:val="none"/>
                    </w:rPr>
                    <w:t>植被类型</w:t>
                  </w:r>
                </w:p>
              </w:tc>
              <w:tc>
                <w:tcPr>
                  <w:tcW w:w="1775" w:type="pct"/>
                  <w:gridSpan w:val="2"/>
                  <w:vMerge w:val="restart"/>
                  <w:tcBorders>
                    <w:tl2br w:val="nil"/>
                    <w:tr2bl w:val="nil"/>
                  </w:tcBorders>
                  <w:vAlign w:val="center"/>
                </w:tcPr>
                <w:p w14:paraId="401C12C6">
                  <w:pPr>
                    <w:widowControl/>
                    <w:adjustRightInd w:val="0"/>
                    <w:snapToGrid w:val="0"/>
                    <w:jc w:val="center"/>
                    <w:rPr>
                      <w:b w:val="0"/>
                      <w:bCs/>
                      <w:kern w:val="0"/>
                      <w:sz w:val="18"/>
                      <w:szCs w:val="18"/>
                      <w:u w:val="none"/>
                    </w:rPr>
                  </w:pPr>
                  <w:r>
                    <w:rPr>
                      <w:b w:val="0"/>
                      <w:bCs/>
                      <w:kern w:val="0"/>
                      <w:sz w:val="18"/>
                      <w:szCs w:val="18"/>
                      <w:u w:val="none"/>
                    </w:rPr>
                    <w:t>芒灌草丛（Form.</w:t>
                  </w:r>
                  <w:r>
                    <w:rPr>
                      <w:b w:val="0"/>
                      <w:bCs/>
                      <w:i/>
                      <w:sz w:val="18"/>
                      <w:szCs w:val="18"/>
                      <w:u w:val="none"/>
                    </w:rPr>
                    <w:t xml:space="preserve"> </w:t>
                  </w:r>
                  <w:r>
                    <w:rPr>
                      <w:b w:val="0"/>
                      <w:bCs/>
                      <w:i/>
                      <w:kern w:val="0"/>
                      <w:sz w:val="18"/>
                      <w:szCs w:val="18"/>
                      <w:u w:val="none"/>
                    </w:rPr>
                    <w:t>Miscanthus sinensis</w:t>
                  </w:r>
                  <w:r>
                    <w:rPr>
                      <w:b w:val="0"/>
                      <w:bCs/>
                      <w:kern w:val="0"/>
                      <w:sz w:val="18"/>
                      <w:szCs w:val="18"/>
                      <w:u w:val="none"/>
                    </w:rPr>
                    <w:t>）</w:t>
                  </w:r>
                </w:p>
              </w:tc>
              <w:tc>
                <w:tcPr>
                  <w:tcW w:w="2609" w:type="pct"/>
                  <w:gridSpan w:val="5"/>
                  <w:tcBorders>
                    <w:tl2br w:val="nil"/>
                    <w:tr2bl w:val="nil"/>
                  </w:tcBorders>
                  <w:vAlign w:val="center"/>
                </w:tcPr>
                <w:p w14:paraId="3DF0AFEF">
                  <w:pPr>
                    <w:widowControl/>
                    <w:adjustRightInd w:val="0"/>
                    <w:snapToGrid w:val="0"/>
                    <w:jc w:val="center"/>
                    <w:rPr>
                      <w:b w:val="0"/>
                      <w:bCs/>
                      <w:kern w:val="0"/>
                      <w:sz w:val="18"/>
                      <w:szCs w:val="18"/>
                      <w:u w:val="none"/>
                    </w:rPr>
                  </w:pPr>
                  <w:r>
                    <w:rPr>
                      <w:b w:val="0"/>
                      <w:bCs/>
                      <w:kern w:val="0"/>
                      <w:sz w:val="18"/>
                      <w:szCs w:val="18"/>
                      <w:u w:val="none"/>
                    </w:rPr>
                    <w:t>环境特征</w:t>
                  </w:r>
                </w:p>
              </w:tc>
            </w:tr>
            <w:tr w14:paraId="555BF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vMerge w:val="continue"/>
                  <w:tcBorders>
                    <w:tl2br w:val="nil"/>
                    <w:tr2bl w:val="nil"/>
                  </w:tcBorders>
                  <w:vAlign w:val="center"/>
                </w:tcPr>
                <w:p w14:paraId="3E60BFEC">
                  <w:pPr>
                    <w:widowControl/>
                    <w:adjustRightInd w:val="0"/>
                    <w:snapToGrid w:val="0"/>
                    <w:rPr>
                      <w:b w:val="0"/>
                      <w:bCs/>
                      <w:kern w:val="0"/>
                      <w:sz w:val="18"/>
                      <w:szCs w:val="18"/>
                      <w:u w:val="none"/>
                    </w:rPr>
                  </w:pPr>
                </w:p>
              </w:tc>
              <w:tc>
                <w:tcPr>
                  <w:tcW w:w="1775" w:type="pct"/>
                  <w:gridSpan w:val="2"/>
                  <w:vMerge w:val="continue"/>
                  <w:tcBorders>
                    <w:tl2br w:val="nil"/>
                    <w:tr2bl w:val="nil"/>
                  </w:tcBorders>
                  <w:vAlign w:val="center"/>
                </w:tcPr>
                <w:p w14:paraId="21507A6C">
                  <w:pPr>
                    <w:widowControl/>
                    <w:adjustRightInd w:val="0"/>
                    <w:snapToGrid w:val="0"/>
                    <w:rPr>
                      <w:b w:val="0"/>
                      <w:bCs/>
                      <w:kern w:val="0"/>
                      <w:sz w:val="18"/>
                      <w:szCs w:val="18"/>
                      <w:u w:val="none"/>
                    </w:rPr>
                  </w:pPr>
                </w:p>
              </w:tc>
              <w:tc>
                <w:tcPr>
                  <w:tcW w:w="652" w:type="pct"/>
                  <w:tcBorders>
                    <w:tl2br w:val="nil"/>
                    <w:tr2bl w:val="nil"/>
                  </w:tcBorders>
                  <w:vAlign w:val="center"/>
                </w:tcPr>
                <w:p w14:paraId="7E3C0918">
                  <w:pPr>
                    <w:widowControl/>
                    <w:adjustRightInd w:val="0"/>
                    <w:snapToGrid w:val="0"/>
                    <w:jc w:val="center"/>
                    <w:rPr>
                      <w:b w:val="0"/>
                      <w:bCs/>
                      <w:kern w:val="0"/>
                      <w:sz w:val="18"/>
                      <w:szCs w:val="18"/>
                      <w:u w:val="none"/>
                    </w:rPr>
                  </w:pPr>
                  <w:r>
                    <w:rPr>
                      <w:b w:val="0"/>
                      <w:bCs/>
                      <w:kern w:val="0"/>
                      <w:sz w:val="18"/>
                      <w:szCs w:val="18"/>
                      <w:u w:val="none"/>
                    </w:rPr>
                    <w:t>地形</w:t>
                  </w:r>
                </w:p>
              </w:tc>
              <w:tc>
                <w:tcPr>
                  <w:tcW w:w="652" w:type="pct"/>
                  <w:gridSpan w:val="2"/>
                  <w:tcBorders>
                    <w:tl2br w:val="nil"/>
                    <w:tr2bl w:val="nil"/>
                  </w:tcBorders>
                  <w:vAlign w:val="center"/>
                </w:tcPr>
                <w:p w14:paraId="0BAA3B38">
                  <w:pPr>
                    <w:widowControl/>
                    <w:adjustRightInd w:val="0"/>
                    <w:snapToGrid w:val="0"/>
                    <w:jc w:val="center"/>
                    <w:rPr>
                      <w:b w:val="0"/>
                      <w:bCs/>
                      <w:kern w:val="0"/>
                      <w:sz w:val="18"/>
                      <w:szCs w:val="18"/>
                      <w:u w:val="none"/>
                    </w:rPr>
                  </w:pPr>
                  <w:r>
                    <w:rPr>
                      <w:b w:val="0"/>
                      <w:bCs/>
                      <w:kern w:val="0"/>
                      <w:sz w:val="18"/>
                      <w:szCs w:val="18"/>
                      <w:u w:val="none"/>
                    </w:rPr>
                    <w:t>海拔（m）</w:t>
                  </w:r>
                </w:p>
              </w:tc>
              <w:tc>
                <w:tcPr>
                  <w:tcW w:w="652" w:type="pct"/>
                  <w:tcBorders>
                    <w:tl2br w:val="nil"/>
                    <w:tr2bl w:val="nil"/>
                  </w:tcBorders>
                  <w:vAlign w:val="center"/>
                </w:tcPr>
                <w:p w14:paraId="5DA9C5C9">
                  <w:pPr>
                    <w:widowControl/>
                    <w:adjustRightInd w:val="0"/>
                    <w:snapToGrid w:val="0"/>
                    <w:jc w:val="center"/>
                    <w:rPr>
                      <w:b w:val="0"/>
                      <w:bCs/>
                      <w:kern w:val="0"/>
                      <w:sz w:val="18"/>
                      <w:szCs w:val="18"/>
                      <w:u w:val="none"/>
                    </w:rPr>
                  </w:pPr>
                  <w:r>
                    <w:rPr>
                      <w:b w:val="0"/>
                      <w:bCs/>
                      <w:kern w:val="0"/>
                      <w:sz w:val="18"/>
                      <w:szCs w:val="18"/>
                      <w:u w:val="none"/>
                    </w:rPr>
                    <w:t>坡向</w:t>
                  </w:r>
                </w:p>
              </w:tc>
              <w:tc>
                <w:tcPr>
                  <w:tcW w:w="654" w:type="pct"/>
                  <w:tcBorders>
                    <w:tl2br w:val="nil"/>
                    <w:tr2bl w:val="nil"/>
                  </w:tcBorders>
                  <w:vAlign w:val="center"/>
                </w:tcPr>
                <w:p w14:paraId="1E6C3A94">
                  <w:pPr>
                    <w:widowControl/>
                    <w:adjustRightInd w:val="0"/>
                    <w:snapToGrid w:val="0"/>
                    <w:jc w:val="center"/>
                    <w:rPr>
                      <w:b w:val="0"/>
                      <w:bCs/>
                      <w:kern w:val="0"/>
                      <w:sz w:val="18"/>
                      <w:szCs w:val="18"/>
                      <w:u w:val="none"/>
                    </w:rPr>
                  </w:pPr>
                  <w:r>
                    <w:rPr>
                      <w:b w:val="0"/>
                      <w:bCs/>
                      <w:kern w:val="0"/>
                      <w:sz w:val="18"/>
                      <w:szCs w:val="18"/>
                      <w:u w:val="none"/>
                    </w:rPr>
                    <w:t>坡度（°）</w:t>
                  </w:r>
                </w:p>
              </w:tc>
            </w:tr>
            <w:tr w14:paraId="6C55B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232133E2">
                  <w:pPr>
                    <w:widowControl/>
                    <w:adjustRightInd w:val="0"/>
                    <w:snapToGrid w:val="0"/>
                    <w:rPr>
                      <w:b w:val="0"/>
                      <w:bCs/>
                      <w:kern w:val="0"/>
                      <w:sz w:val="18"/>
                      <w:szCs w:val="18"/>
                      <w:u w:val="none"/>
                    </w:rPr>
                  </w:pPr>
                  <w:r>
                    <w:rPr>
                      <w:b w:val="0"/>
                      <w:bCs/>
                      <w:kern w:val="0"/>
                      <w:sz w:val="18"/>
                      <w:szCs w:val="18"/>
                      <w:u w:val="none"/>
                    </w:rPr>
                    <w:t>地点</w:t>
                  </w:r>
                </w:p>
              </w:tc>
              <w:tc>
                <w:tcPr>
                  <w:tcW w:w="1775" w:type="pct"/>
                  <w:gridSpan w:val="2"/>
                  <w:tcBorders>
                    <w:tl2br w:val="nil"/>
                    <w:tr2bl w:val="nil"/>
                  </w:tcBorders>
                  <w:vAlign w:val="center"/>
                </w:tcPr>
                <w:p w14:paraId="5BC4F481">
                  <w:pPr>
                    <w:widowControl/>
                    <w:adjustRightInd w:val="0"/>
                    <w:snapToGrid w:val="0"/>
                    <w:jc w:val="center"/>
                    <w:textAlignment w:val="baseline"/>
                    <w:rPr>
                      <w:rFonts w:hint="default" w:eastAsia="宋体"/>
                      <w:b w:val="0"/>
                      <w:bCs/>
                      <w:snapToGrid w:val="0"/>
                      <w:kern w:val="0"/>
                      <w:sz w:val="18"/>
                      <w:szCs w:val="18"/>
                      <w:u w:val="none"/>
                      <w:lang w:val="en-US" w:eastAsia="zh-CN"/>
                    </w:rPr>
                  </w:pPr>
                  <w:r>
                    <w:rPr>
                      <w:rFonts w:hint="eastAsia"/>
                      <w:b w:val="0"/>
                      <w:bCs/>
                      <w:snapToGrid w:val="0"/>
                      <w:kern w:val="0"/>
                      <w:sz w:val="18"/>
                      <w:szCs w:val="18"/>
                      <w:u w:val="none"/>
                      <w:lang w:val="en-US" w:eastAsia="zh-CN"/>
                    </w:rPr>
                    <w:t>项目区域DZ5东侧区域</w:t>
                  </w:r>
                </w:p>
              </w:tc>
              <w:tc>
                <w:tcPr>
                  <w:tcW w:w="652" w:type="pct"/>
                  <w:tcBorders>
                    <w:tl2br w:val="nil"/>
                    <w:tr2bl w:val="nil"/>
                  </w:tcBorders>
                  <w:vAlign w:val="center"/>
                </w:tcPr>
                <w:p w14:paraId="443E6CFB">
                  <w:pPr>
                    <w:widowControl/>
                    <w:adjustRightInd w:val="0"/>
                    <w:snapToGrid w:val="0"/>
                    <w:jc w:val="center"/>
                    <w:rPr>
                      <w:b w:val="0"/>
                      <w:bCs/>
                      <w:kern w:val="0"/>
                      <w:sz w:val="18"/>
                      <w:szCs w:val="18"/>
                      <w:u w:val="none"/>
                    </w:rPr>
                  </w:pPr>
                  <w:r>
                    <w:rPr>
                      <w:b w:val="0"/>
                      <w:bCs/>
                      <w:kern w:val="0"/>
                      <w:sz w:val="18"/>
                      <w:szCs w:val="18"/>
                      <w:u w:val="none"/>
                    </w:rPr>
                    <w:t>坡地</w:t>
                  </w:r>
                </w:p>
              </w:tc>
              <w:tc>
                <w:tcPr>
                  <w:tcW w:w="652" w:type="pct"/>
                  <w:gridSpan w:val="2"/>
                  <w:tcBorders>
                    <w:tl2br w:val="nil"/>
                    <w:tr2bl w:val="nil"/>
                  </w:tcBorders>
                  <w:vAlign w:val="center"/>
                </w:tcPr>
                <w:p w14:paraId="11FA5CF4">
                  <w:pPr>
                    <w:widowControl/>
                    <w:adjustRightInd w:val="0"/>
                    <w:snapToGrid w:val="0"/>
                    <w:jc w:val="center"/>
                    <w:rPr>
                      <w:b w:val="0"/>
                      <w:bCs/>
                      <w:kern w:val="0"/>
                      <w:sz w:val="18"/>
                      <w:szCs w:val="18"/>
                      <w:u w:val="none"/>
                    </w:rPr>
                  </w:pPr>
                  <w:r>
                    <w:rPr>
                      <w:b w:val="0"/>
                      <w:bCs/>
                      <w:kern w:val="0"/>
                      <w:sz w:val="18"/>
                      <w:szCs w:val="18"/>
                      <w:u w:val="none"/>
                    </w:rPr>
                    <w:t>254</w:t>
                  </w:r>
                </w:p>
              </w:tc>
              <w:tc>
                <w:tcPr>
                  <w:tcW w:w="652" w:type="pct"/>
                  <w:tcBorders>
                    <w:tl2br w:val="nil"/>
                    <w:tr2bl w:val="nil"/>
                  </w:tcBorders>
                  <w:vAlign w:val="center"/>
                </w:tcPr>
                <w:p w14:paraId="280AD848">
                  <w:pPr>
                    <w:widowControl/>
                    <w:adjustRightInd w:val="0"/>
                    <w:snapToGrid w:val="0"/>
                    <w:jc w:val="center"/>
                    <w:rPr>
                      <w:b w:val="0"/>
                      <w:bCs/>
                      <w:kern w:val="0"/>
                      <w:sz w:val="18"/>
                      <w:szCs w:val="18"/>
                      <w:u w:val="none"/>
                    </w:rPr>
                  </w:pPr>
                  <w:r>
                    <w:rPr>
                      <w:b w:val="0"/>
                      <w:bCs/>
                      <w:kern w:val="0"/>
                      <w:sz w:val="18"/>
                      <w:szCs w:val="18"/>
                      <w:u w:val="none"/>
                    </w:rPr>
                    <w:t>NE</w:t>
                  </w:r>
                </w:p>
              </w:tc>
              <w:tc>
                <w:tcPr>
                  <w:tcW w:w="654" w:type="pct"/>
                  <w:tcBorders>
                    <w:tl2br w:val="nil"/>
                    <w:tr2bl w:val="nil"/>
                  </w:tcBorders>
                  <w:vAlign w:val="center"/>
                </w:tcPr>
                <w:p w14:paraId="04CCBD33">
                  <w:pPr>
                    <w:widowControl/>
                    <w:adjustRightInd w:val="0"/>
                    <w:snapToGrid w:val="0"/>
                    <w:jc w:val="center"/>
                    <w:rPr>
                      <w:b w:val="0"/>
                      <w:bCs/>
                      <w:kern w:val="0"/>
                      <w:sz w:val="18"/>
                      <w:szCs w:val="18"/>
                      <w:u w:val="none"/>
                    </w:rPr>
                  </w:pPr>
                  <w:r>
                    <w:rPr>
                      <w:rFonts w:hint="eastAsia"/>
                      <w:b w:val="0"/>
                      <w:bCs/>
                      <w:kern w:val="0"/>
                      <w:sz w:val="18"/>
                      <w:szCs w:val="18"/>
                      <w:u w:val="none"/>
                    </w:rPr>
                    <w:t>8</w:t>
                  </w:r>
                </w:p>
              </w:tc>
            </w:tr>
            <w:tr w14:paraId="137FD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228BF2AD">
                  <w:pPr>
                    <w:widowControl/>
                    <w:adjustRightInd w:val="0"/>
                    <w:snapToGrid w:val="0"/>
                    <w:rPr>
                      <w:b w:val="0"/>
                      <w:bCs/>
                      <w:kern w:val="0"/>
                      <w:sz w:val="18"/>
                      <w:szCs w:val="18"/>
                      <w:u w:val="none"/>
                    </w:rPr>
                  </w:pPr>
                  <w:r>
                    <w:rPr>
                      <w:b w:val="0"/>
                      <w:bCs/>
                      <w:kern w:val="0"/>
                      <w:sz w:val="18"/>
                      <w:szCs w:val="18"/>
                      <w:u w:val="none"/>
                    </w:rPr>
                    <w:t>经纬度</w:t>
                  </w:r>
                </w:p>
              </w:tc>
              <w:tc>
                <w:tcPr>
                  <w:tcW w:w="4385" w:type="pct"/>
                  <w:gridSpan w:val="7"/>
                  <w:tcBorders>
                    <w:tl2br w:val="nil"/>
                    <w:tr2bl w:val="nil"/>
                  </w:tcBorders>
                  <w:vAlign w:val="center"/>
                </w:tcPr>
                <w:p w14:paraId="326B4718">
                  <w:pPr>
                    <w:widowControl/>
                    <w:adjustRightInd w:val="0"/>
                    <w:snapToGrid w:val="0"/>
                    <w:jc w:val="center"/>
                    <w:rPr>
                      <w:b w:val="0"/>
                      <w:bCs/>
                      <w:kern w:val="0"/>
                      <w:sz w:val="18"/>
                      <w:szCs w:val="18"/>
                      <w:u w:val="none"/>
                    </w:rPr>
                  </w:pPr>
                  <w:r>
                    <w:rPr>
                      <w:b w:val="0"/>
                      <w:bCs/>
                      <w:kern w:val="0"/>
                      <w:sz w:val="18"/>
                      <w:szCs w:val="18"/>
                      <w:u w:val="none"/>
                    </w:rPr>
                    <w:t>11</w:t>
                  </w:r>
                  <w:r>
                    <w:rPr>
                      <w:rFonts w:hint="eastAsia"/>
                      <w:b w:val="0"/>
                      <w:bCs/>
                      <w:kern w:val="0"/>
                      <w:sz w:val="18"/>
                      <w:szCs w:val="18"/>
                      <w:u w:val="none"/>
                      <w:lang w:val="en-US" w:eastAsia="zh-CN"/>
                    </w:rPr>
                    <w:t>3</w:t>
                  </w:r>
                  <w:r>
                    <w:rPr>
                      <w:b w:val="0"/>
                      <w:bCs/>
                      <w:kern w:val="0"/>
                      <w:sz w:val="18"/>
                      <w:szCs w:val="18"/>
                      <w:u w:val="none"/>
                    </w:rPr>
                    <w:t>°5′</w:t>
                  </w:r>
                  <w:r>
                    <w:rPr>
                      <w:rFonts w:hint="eastAsia"/>
                      <w:b w:val="0"/>
                      <w:bCs/>
                      <w:kern w:val="0"/>
                      <w:sz w:val="18"/>
                      <w:szCs w:val="18"/>
                      <w:u w:val="none"/>
                      <w:lang w:val="en-US" w:eastAsia="zh-CN"/>
                    </w:rPr>
                    <w:t>3.92949</w:t>
                  </w:r>
                  <w:r>
                    <w:rPr>
                      <w:b w:val="0"/>
                      <w:bCs/>
                      <w:kern w:val="0"/>
                      <w:sz w:val="18"/>
                      <w:szCs w:val="18"/>
                      <w:u w:val="none"/>
                    </w:rPr>
                    <w:t>″,2</w:t>
                  </w:r>
                  <w:r>
                    <w:rPr>
                      <w:rFonts w:hint="eastAsia"/>
                      <w:b w:val="0"/>
                      <w:bCs/>
                      <w:kern w:val="0"/>
                      <w:sz w:val="18"/>
                      <w:szCs w:val="18"/>
                      <w:u w:val="none"/>
                      <w:lang w:val="en-US" w:eastAsia="zh-CN"/>
                    </w:rPr>
                    <w:t>6</w:t>
                  </w:r>
                  <w:r>
                    <w:rPr>
                      <w:b w:val="0"/>
                      <w:bCs/>
                      <w:kern w:val="0"/>
                      <w:sz w:val="18"/>
                      <w:szCs w:val="18"/>
                      <w:u w:val="none"/>
                    </w:rPr>
                    <w:t>°</w:t>
                  </w:r>
                  <w:r>
                    <w:rPr>
                      <w:rFonts w:hint="eastAsia"/>
                      <w:b w:val="0"/>
                      <w:bCs/>
                      <w:kern w:val="0"/>
                      <w:sz w:val="18"/>
                      <w:szCs w:val="18"/>
                      <w:u w:val="none"/>
                      <w:lang w:val="en-US" w:eastAsia="zh-CN"/>
                    </w:rPr>
                    <w:t>28</w:t>
                  </w:r>
                  <w:r>
                    <w:rPr>
                      <w:b w:val="0"/>
                      <w:bCs/>
                      <w:kern w:val="0"/>
                      <w:sz w:val="18"/>
                      <w:szCs w:val="18"/>
                      <w:u w:val="none"/>
                    </w:rPr>
                    <w:t>′</w:t>
                  </w:r>
                  <w:r>
                    <w:rPr>
                      <w:rFonts w:hint="eastAsia"/>
                      <w:b w:val="0"/>
                      <w:bCs/>
                      <w:kern w:val="0"/>
                      <w:sz w:val="18"/>
                      <w:szCs w:val="18"/>
                      <w:u w:val="none"/>
                      <w:lang w:val="en-US" w:eastAsia="zh-CN"/>
                    </w:rPr>
                    <w:t>46.66144</w:t>
                  </w:r>
                  <w:r>
                    <w:rPr>
                      <w:b w:val="0"/>
                      <w:bCs/>
                      <w:kern w:val="0"/>
                      <w:sz w:val="18"/>
                      <w:szCs w:val="18"/>
                      <w:u w:val="none"/>
                    </w:rPr>
                    <w:t>″</w:t>
                  </w:r>
                </w:p>
              </w:tc>
            </w:tr>
            <w:tr w14:paraId="432B1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4A9DC62F">
                  <w:pPr>
                    <w:widowControl/>
                    <w:adjustRightInd w:val="0"/>
                    <w:snapToGrid w:val="0"/>
                    <w:rPr>
                      <w:b w:val="0"/>
                      <w:bCs/>
                      <w:kern w:val="0"/>
                      <w:sz w:val="18"/>
                      <w:szCs w:val="18"/>
                      <w:u w:val="none"/>
                    </w:rPr>
                  </w:pPr>
                  <w:r>
                    <w:rPr>
                      <w:b w:val="0"/>
                      <w:bCs/>
                      <w:kern w:val="0"/>
                      <w:sz w:val="18"/>
                      <w:szCs w:val="18"/>
                      <w:u w:val="none"/>
                    </w:rPr>
                    <w:t>层次</w:t>
                  </w:r>
                </w:p>
              </w:tc>
              <w:tc>
                <w:tcPr>
                  <w:tcW w:w="4385" w:type="pct"/>
                  <w:gridSpan w:val="7"/>
                  <w:tcBorders>
                    <w:tl2br w:val="nil"/>
                    <w:tr2bl w:val="nil"/>
                  </w:tcBorders>
                  <w:vAlign w:val="center"/>
                </w:tcPr>
                <w:p w14:paraId="600C26C7">
                  <w:pPr>
                    <w:widowControl/>
                    <w:adjustRightInd w:val="0"/>
                    <w:snapToGrid w:val="0"/>
                    <w:jc w:val="center"/>
                    <w:rPr>
                      <w:b w:val="0"/>
                      <w:bCs/>
                      <w:kern w:val="0"/>
                      <w:sz w:val="18"/>
                      <w:szCs w:val="18"/>
                      <w:u w:val="none"/>
                    </w:rPr>
                  </w:pPr>
                  <w:r>
                    <w:rPr>
                      <w:b w:val="0"/>
                      <w:bCs/>
                      <w:kern w:val="0"/>
                      <w:sz w:val="18"/>
                      <w:szCs w:val="18"/>
                      <w:u w:val="none"/>
                    </w:rPr>
                    <w:t>一层</w:t>
                  </w:r>
                </w:p>
              </w:tc>
            </w:tr>
            <w:tr w14:paraId="66B6A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250379B4">
                  <w:pPr>
                    <w:widowControl/>
                    <w:adjustRightInd w:val="0"/>
                    <w:snapToGrid w:val="0"/>
                    <w:jc w:val="center"/>
                    <w:rPr>
                      <w:b w:val="0"/>
                      <w:bCs/>
                      <w:kern w:val="0"/>
                      <w:sz w:val="18"/>
                      <w:szCs w:val="18"/>
                      <w:u w:val="none"/>
                    </w:rPr>
                  </w:pPr>
                  <w:r>
                    <w:rPr>
                      <w:b w:val="0"/>
                      <w:bCs/>
                      <w:kern w:val="0"/>
                      <w:sz w:val="18"/>
                      <w:szCs w:val="18"/>
                      <w:u w:val="none"/>
                    </w:rPr>
                    <w:t>分层</w:t>
                  </w:r>
                </w:p>
              </w:tc>
              <w:tc>
                <w:tcPr>
                  <w:tcW w:w="485" w:type="pct"/>
                  <w:tcBorders>
                    <w:tl2br w:val="nil"/>
                    <w:tr2bl w:val="nil"/>
                  </w:tcBorders>
                  <w:vAlign w:val="center"/>
                </w:tcPr>
                <w:p w14:paraId="0063FD4E">
                  <w:pPr>
                    <w:widowControl/>
                    <w:adjustRightInd w:val="0"/>
                    <w:snapToGrid w:val="0"/>
                    <w:rPr>
                      <w:b w:val="0"/>
                      <w:bCs/>
                      <w:kern w:val="0"/>
                      <w:sz w:val="18"/>
                      <w:szCs w:val="18"/>
                      <w:u w:val="none"/>
                    </w:rPr>
                  </w:pPr>
                  <w:r>
                    <w:rPr>
                      <w:b w:val="0"/>
                      <w:bCs/>
                      <w:kern w:val="0"/>
                      <w:sz w:val="18"/>
                      <w:szCs w:val="18"/>
                      <w:u w:val="none"/>
                    </w:rPr>
                    <w:t>层盖度</w:t>
                  </w:r>
                </w:p>
              </w:tc>
              <w:tc>
                <w:tcPr>
                  <w:tcW w:w="2023" w:type="pct"/>
                  <w:gridSpan w:val="3"/>
                  <w:tcBorders>
                    <w:tl2br w:val="nil"/>
                    <w:tr2bl w:val="nil"/>
                  </w:tcBorders>
                  <w:vAlign w:val="center"/>
                </w:tcPr>
                <w:p w14:paraId="7162BEB6">
                  <w:pPr>
                    <w:widowControl/>
                    <w:adjustRightInd w:val="0"/>
                    <w:snapToGrid w:val="0"/>
                    <w:jc w:val="center"/>
                    <w:rPr>
                      <w:b w:val="0"/>
                      <w:bCs/>
                      <w:kern w:val="0"/>
                      <w:sz w:val="18"/>
                      <w:szCs w:val="18"/>
                      <w:u w:val="none"/>
                    </w:rPr>
                  </w:pPr>
                  <w:r>
                    <w:rPr>
                      <w:b w:val="0"/>
                      <w:bCs/>
                      <w:kern w:val="0"/>
                      <w:sz w:val="18"/>
                      <w:szCs w:val="18"/>
                      <w:u w:val="none"/>
                    </w:rPr>
                    <w:t>种类组成与生长状况</w:t>
                  </w:r>
                </w:p>
              </w:tc>
              <w:tc>
                <w:tcPr>
                  <w:tcW w:w="1877" w:type="pct"/>
                  <w:gridSpan w:val="3"/>
                  <w:tcBorders>
                    <w:tl2br w:val="nil"/>
                    <w:tr2bl w:val="nil"/>
                  </w:tcBorders>
                  <w:vAlign w:val="center"/>
                </w:tcPr>
                <w:p w14:paraId="3EAE8E85">
                  <w:pPr>
                    <w:widowControl/>
                    <w:adjustRightInd w:val="0"/>
                    <w:snapToGrid w:val="0"/>
                    <w:jc w:val="center"/>
                    <w:rPr>
                      <w:b w:val="0"/>
                      <w:bCs/>
                      <w:kern w:val="0"/>
                      <w:sz w:val="18"/>
                      <w:szCs w:val="18"/>
                      <w:u w:val="none"/>
                    </w:rPr>
                  </w:pPr>
                  <w:r>
                    <w:rPr>
                      <w:b w:val="0"/>
                      <w:bCs/>
                      <w:kern w:val="0"/>
                      <w:sz w:val="18"/>
                      <w:szCs w:val="18"/>
                      <w:u w:val="none"/>
                    </w:rPr>
                    <w:t>考察照片</w:t>
                  </w:r>
                </w:p>
              </w:tc>
            </w:tr>
            <w:tr w14:paraId="3A177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5" w:type="pct"/>
                  <w:tcBorders>
                    <w:tl2br w:val="nil"/>
                    <w:tr2bl w:val="nil"/>
                  </w:tcBorders>
                  <w:vAlign w:val="center"/>
                </w:tcPr>
                <w:p w14:paraId="587DA38D">
                  <w:pPr>
                    <w:widowControl/>
                    <w:adjustRightInd w:val="0"/>
                    <w:snapToGrid w:val="0"/>
                    <w:rPr>
                      <w:b w:val="0"/>
                      <w:bCs/>
                      <w:kern w:val="0"/>
                      <w:sz w:val="18"/>
                      <w:szCs w:val="18"/>
                      <w:u w:val="none"/>
                    </w:rPr>
                  </w:pPr>
                  <w:r>
                    <w:rPr>
                      <w:b w:val="0"/>
                      <w:bCs/>
                      <w:kern w:val="0"/>
                      <w:sz w:val="18"/>
                      <w:szCs w:val="18"/>
                      <w:u w:val="none"/>
                    </w:rPr>
                    <w:t>草本层</w:t>
                  </w:r>
                </w:p>
              </w:tc>
              <w:tc>
                <w:tcPr>
                  <w:tcW w:w="485" w:type="pct"/>
                  <w:tcBorders>
                    <w:tl2br w:val="nil"/>
                    <w:tr2bl w:val="nil"/>
                  </w:tcBorders>
                  <w:vAlign w:val="center"/>
                </w:tcPr>
                <w:p w14:paraId="11F33173">
                  <w:pPr>
                    <w:widowControl/>
                    <w:adjustRightInd w:val="0"/>
                    <w:snapToGrid w:val="0"/>
                    <w:rPr>
                      <w:b w:val="0"/>
                      <w:bCs/>
                      <w:kern w:val="0"/>
                      <w:sz w:val="18"/>
                      <w:szCs w:val="18"/>
                      <w:u w:val="none"/>
                    </w:rPr>
                  </w:pPr>
                  <w:r>
                    <w:rPr>
                      <w:b w:val="0"/>
                      <w:bCs/>
                      <w:kern w:val="0"/>
                      <w:sz w:val="18"/>
                      <w:szCs w:val="18"/>
                      <w:u w:val="none"/>
                    </w:rPr>
                    <w:t>层盖度30%</w:t>
                  </w:r>
                </w:p>
              </w:tc>
              <w:tc>
                <w:tcPr>
                  <w:tcW w:w="2023" w:type="pct"/>
                  <w:gridSpan w:val="3"/>
                  <w:tcBorders>
                    <w:tl2br w:val="nil"/>
                    <w:tr2bl w:val="nil"/>
                  </w:tcBorders>
                  <w:vAlign w:val="center"/>
                </w:tcPr>
                <w:p w14:paraId="2AC5A86C">
                  <w:pPr>
                    <w:widowControl/>
                    <w:adjustRightInd w:val="0"/>
                    <w:snapToGrid w:val="0"/>
                    <w:rPr>
                      <w:b w:val="0"/>
                      <w:bCs/>
                      <w:sz w:val="18"/>
                      <w:szCs w:val="18"/>
                      <w:u w:val="none"/>
                    </w:rPr>
                  </w:pPr>
                  <w:r>
                    <w:rPr>
                      <w:b w:val="0"/>
                      <w:bCs/>
                      <w:sz w:val="18"/>
                      <w:szCs w:val="18"/>
                      <w:u w:val="none"/>
                    </w:rPr>
                    <w:t>层均高1.5m，优势种为芒（</w:t>
                  </w:r>
                  <w:r>
                    <w:rPr>
                      <w:b w:val="0"/>
                      <w:bCs/>
                      <w:i/>
                      <w:sz w:val="18"/>
                      <w:szCs w:val="18"/>
                      <w:u w:val="none"/>
                    </w:rPr>
                    <w:t>Miscanthus sinensis</w:t>
                  </w:r>
                  <w:r>
                    <w:rPr>
                      <w:b w:val="0"/>
                      <w:bCs/>
                      <w:sz w:val="18"/>
                      <w:szCs w:val="18"/>
                      <w:u w:val="none"/>
                    </w:rPr>
                    <w:t>），高1-2m，盖度30%%，主要伴生种有等乌毛蕨（</w:t>
                  </w:r>
                  <w:r>
                    <w:rPr>
                      <w:b w:val="0"/>
                      <w:bCs/>
                      <w:i/>
                      <w:sz w:val="18"/>
                      <w:szCs w:val="18"/>
                      <w:u w:val="none"/>
                    </w:rPr>
                    <w:t>Blechnum orientale</w:t>
                  </w:r>
                  <w:r>
                    <w:rPr>
                      <w:b w:val="0"/>
                      <w:bCs/>
                      <w:sz w:val="18"/>
                      <w:szCs w:val="18"/>
                      <w:u w:val="none"/>
                    </w:rPr>
                    <w:t>）、鸡眼草（</w:t>
                  </w:r>
                  <w:r>
                    <w:rPr>
                      <w:b w:val="0"/>
                      <w:bCs/>
                      <w:i/>
                      <w:sz w:val="18"/>
                      <w:szCs w:val="18"/>
                      <w:u w:val="none"/>
                    </w:rPr>
                    <w:t>Blechnum orientale</w:t>
                  </w:r>
                  <w:r>
                    <w:rPr>
                      <w:b w:val="0"/>
                      <w:bCs/>
                      <w:sz w:val="18"/>
                      <w:szCs w:val="18"/>
                      <w:u w:val="none"/>
                    </w:rPr>
                    <w:t>）、鬼针草（</w:t>
                  </w:r>
                  <w:r>
                    <w:rPr>
                      <w:b w:val="0"/>
                      <w:bCs/>
                      <w:i/>
                      <w:sz w:val="18"/>
                      <w:szCs w:val="18"/>
                      <w:u w:val="none"/>
                    </w:rPr>
                    <w:t>Bidens pilosa</w:t>
                  </w:r>
                  <w:r>
                    <w:rPr>
                      <w:b w:val="0"/>
                      <w:bCs/>
                      <w:sz w:val="18"/>
                      <w:szCs w:val="18"/>
                      <w:u w:val="none"/>
                    </w:rPr>
                    <w:t>）等。</w:t>
                  </w:r>
                </w:p>
              </w:tc>
              <w:tc>
                <w:tcPr>
                  <w:tcW w:w="1877" w:type="pct"/>
                  <w:gridSpan w:val="3"/>
                  <w:tcBorders>
                    <w:tl2br w:val="nil"/>
                    <w:tr2bl w:val="nil"/>
                  </w:tcBorders>
                  <w:vAlign w:val="center"/>
                </w:tcPr>
                <w:p w14:paraId="6E911012">
                  <w:pPr>
                    <w:widowControl/>
                    <w:adjustRightInd w:val="0"/>
                    <w:snapToGrid w:val="0"/>
                    <w:rPr>
                      <w:b w:val="0"/>
                      <w:bCs/>
                      <w:kern w:val="0"/>
                      <w:sz w:val="18"/>
                      <w:szCs w:val="18"/>
                      <w:u w:val="none"/>
                    </w:rPr>
                  </w:pPr>
                  <w:r>
                    <w:rPr>
                      <w:b w:val="0"/>
                      <w:bCs/>
                      <w:u w:val="none"/>
                    </w:rPr>
                    <w:drawing>
                      <wp:inline distT="0" distB="0" distL="0" distR="0">
                        <wp:extent cx="1855470" cy="17995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a:stretch>
                                  <a:fillRect/>
                                </a:stretch>
                              </pic:blipFill>
                              <pic:spPr>
                                <a:xfrm>
                                  <a:off x="0" y="0"/>
                                  <a:ext cx="1855958" cy="1800000"/>
                                </a:xfrm>
                                <a:prstGeom prst="rect">
                                  <a:avLst/>
                                </a:prstGeom>
                              </pic:spPr>
                            </pic:pic>
                          </a:graphicData>
                        </a:graphic>
                      </wp:inline>
                    </w:drawing>
                  </w:r>
                </w:p>
              </w:tc>
            </w:tr>
          </w:tbl>
          <w:p w14:paraId="10F10752">
            <w:pPr>
              <w:adjustRightInd w:val="0"/>
              <w:snapToGrid w:val="0"/>
              <w:spacing w:line="360" w:lineRule="auto"/>
              <w:ind w:firstLine="482"/>
              <w:rPr>
                <w:sz w:val="24"/>
                <w:u w:val="none"/>
              </w:rPr>
            </w:pPr>
            <w:r>
              <w:rPr>
                <w:rFonts w:hint="eastAsia"/>
                <w:sz w:val="24"/>
                <w:u w:val="none"/>
                <w:lang w:val="en-US" w:eastAsia="zh-CN"/>
              </w:rPr>
              <w:t>3</w:t>
            </w:r>
            <w:r>
              <w:rPr>
                <w:sz w:val="24"/>
                <w:u w:val="none"/>
              </w:rPr>
              <w:t>)蕨灌草丛（Form. Pteridium aquilinum var. latiusculum）</w:t>
            </w:r>
          </w:p>
          <w:p w14:paraId="56A6A7A5">
            <w:pPr>
              <w:adjustRightInd w:val="0"/>
              <w:snapToGrid w:val="0"/>
              <w:spacing w:line="360" w:lineRule="auto"/>
              <w:ind w:firstLine="482"/>
              <w:rPr>
                <w:sz w:val="24"/>
                <w:u w:val="none"/>
              </w:rPr>
            </w:pPr>
            <w:r>
              <w:rPr>
                <w:sz w:val="24"/>
                <w:u w:val="none"/>
              </w:rPr>
              <w:t>蕨喜光，适应性强，在评价区分布广泛，常见于山坡、荒地、林下、林缘等地。蕨灌草丛为评价区最为常见的灌草丛群系之一。</w:t>
            </w:r>
          </w:p>
          <w:tbl>
            <w:tblPr>
              <w:tblStyle w:val="32"/>
              <w:tblW w:w="7901" w:type="dxa"/>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8"/>
              <w:gridCol w:w="825"/>
              <w:gridCol w:w="1645"/>
              <w:gridCol w:w="975"/>
              <w:gridCol w:w="65"/>
              <w:gridCol w:w="1109"/>
              <w:gridCol w:w="943"/>
              <w:gridCol w:w="1361"/>
            </w:tblGrid>
            <w:tr w14:paraId="3BB5D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vMerge w:val="restart"/>
                  <w:tcBorders>
                    <w:tl2br w:val="nil"/>
                    <w:tr2bl w:val="nil"/>
                  </w:tcBorders>
                  <w:vAlign w:val="center"/>
                </w:tcPr>
                <w:p w14:paraId="5CEB88B2">
                  <w:pPr>
                    <w:adjustRightInd w:val="0"/>
                    <w:snapToGrid w:val="0"/>
                    <w:jc w:val="center"/>
                    <w:rPr>
                      <w:b w:val="0"/>
                      <w:bCs/>
                      <w:sz w:val="18"/>
                      <w:szCs w:val="18"/>
                      <w:u w:val="none"/>
                    </w:rPr>
                  </w:pPr>
                  <w:r>
                    <w:rPr>
                      <w:b w:val="0"/>
                      <w:bCs/>
                      <w:sz w:val="18"/>
                      <w:szCs w:val="18"/>
                      <w:u w:val="none"/>
                    </w:rPr>
                    <w:t>植被类型</w:t>
                  </w:r>
                </w:p>
              </w:tc>
              <w:tc>
                <w:tcPr>
                  <w:tcW w:w="1563" w:type="pct"/>
                  <w:gridSpan w:val="2"/>
                  <w:vMerge w:val="restart"/>
                  <w:tcBorders>
                    <w:tl2br w:val="nil"/>
                    <w:tr2bl w:val="nil"/>
                  </w:tcBorders>
                  <w:vAlign w:val="center"/>
                </w:tcPr>
                <w:p w14:paraId="4CD4811D">
                  <w:pPr>
                    <w:adjustRightInd w:val="0"/>
                    <w:snapToGrid w:val="0"/>
                    <w:rPr>
                      <w:b w:val="0"/>
                      <w:bCs/>
                      <w:sz w:val="18"/>
                      <w:szCs w:val="18"/>
                      <w:u w:val="none"/>
                    </w:rPr>
                  </w:pPr>
                  <w:r>
                    <w:rPr>
                      <w:b w:val="0"/>
                      <w:bCs/>
                      <w:sz w:val="18"/>
                      <w:szCs w:val="18"/>
                      <w:u w:val="none"/>
                    </w:rPr>
                    <w:t xml:space="preserve">蕨灌草丛（Form. </w:t>
                  </w:r>
                  <w:r>
                    <w:rPr>
                      <w:b w:val="0"/>
                      <w:bCs/>
                      <w:i/>
                      <w:sz w:val="18"/>
                      <w:szCs w:val="18"/>
                      <w:u w:val="none"/>
                    </w:rPr>
                    <w:t xml:space="preserve">Pteridium aquilinum </w:t>
                  </w:r>
                  <w:r>
                    <w:rPr>
                      <w:b w:val="0"/>
                      <w:bCs/>
                      <w:iCs/>
                      <w:sz w:val="18"/>
                      <w:szCs w:val="18"/>
                      <w:u w:val="none"/>
                    </w:rPr>
                    <w:t>var.</w:t>
                  </w:r>
                  <w:r>
                    <w:rPr>
                      <w:b w:val="0"/>
                      <w:bCs/>
                      <w:i/>
                      <w:sz w:val="18"/>
                      <w:szCs w:val="18"/>
                      <w:u w:val="none"/>
                    </w:rPr>
                    <w:t xml:space="preserve"> latiusculum</w:t>
                  </w:r>
                  <w:r>
                    <w:rPr>
                      <w:b w:val="0"/>
                      <w:bCs/>
                      <w:sz w:val="18"/>
                      <w:szCs w:val="18"/>
                      <w:u w:val="none"/>
                    </w:rPr>
                    <w:t>）</w:t>
                  </w:r>
                </w:p>
              </w:tc>
              <w:tc>
                <w:tcPr>
                  <w:tcW w:w="2817" w:type="pct"/>
                  <w:gridSpan w:val="5"/>
                  <w:tcBorders>
                    <w:tl2br w:val="nil"/>
                    <w:tr2bl w:val="nil"/>
                  </w:tcBorders>
                  <w:vAlign w:val="center"/>
                </w:tcPr>
                <w:p w14:paraId="7BDA64FB">
                  <w:pPr>
                    <w:adjustRightInd w:val="0"/>
                    <w:snapToGrid w:val="0"/>
                    <w:jc w:val="center"/>
                    <w:rPr>
                      <w:b w:val="0"/>
                      <w:bCs/>
                      <w:sz w:val="18"/>
                      <w:szCs w:val="18"/>
                      <w:u w:val="none"/>
                    </w:rPr>
                  </w:pPr>
                  <w:r>
                    <w:rPr>
                      <w:b w:val="0"/>
                      <w:bCs/>
                      <w:sz w:val="18"/>
                      <w:szCs w:val="18"/>
                      <w:u w:val="none"/>
                    </w:rPr>
                    <w:t>环境特征</w:t>
                  </w:r>
                </w:p>
              </w:tc>
            </w:tr>
            <w:tr w14:paraId="2E086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vMerge w:val="continue"/>
                  <w:tcBorders>
                    <w:tl2br w:val="nil"/>
                    <w:tr2bl w:val="nil"/>
                  </w:tcBorders>
                  <w:vAlign w:val="center"/>
                </w:tcPr>
                <w:p w14:paraId="7CD89B97">
                  <w:pPr>
                    <w:widowControl/>
                    <w:adjustRightInd w:val="0"/>
                    <w:snapToGrid w:val="0"/>
                    <w:jc w:val="left"/>
                    <w:rPr>
                      <w:b w:val="0"/>
                      <w:bCs/>
                      <w:sz w:val="18"/>
                      <w:szCs w:val="18"/>
                      <w:u w:val="none"/>
                    </w:rPr>
                  </w:pPr>
                </w:p>
              </w:tc>
              <w:tc>
                <w:tcPr>
                  <w:tcW w:w="1563" w:type="pct"/>
                  <w:gridSpan w:val="2"/>
                  <w:vMerge w:val="continue"/>
                  <w:tcBorders>
                    <w:tl2br w:val="nil"/>
                    <w:tr2bl w:val="nil"/>
                  </w:tcBorders>
                  <w:vAlign w:val="center"/>
                </w:tcPr>
                <w:p w14:paraId="661F0732">
                  <w:pPr>
                    <w:widowControl/>
                    <w:adjustRightInd w:val="0"/>
                    <w:snapToGrid w:val="0"/>
                    <w:jc w:val="left"/>
                    <w:rPr>
                      <w:b w:val="0"/>
                      <w:bCs/>
                      <w:sz w:val="18"/>
                      <w:szCs w:val="18"/>
                      <w:u w:val="none"/>
                    </w:rPr>
                  </w:pPr>
                </w:p>
              </w:tc>
              <w:tc>
                <w:tcPr>
                  <w:tcW w:w="617" w:type="pct"/>
                  <w:tcBorders>
                    <w:tl2br w:val="nil"/>
                    <w:tr2bl w:val="nil"/>
                  </w:tcBorders>
                  <w:vAlign w:val="center"/>
                </w:tcPr>
                <w:p w14:paraId="32768A5F">
                  <w:pPr>
                    <w:adjustRightInd w:val="0"/>
                    <w:snapToGrid w:val="0"/>
                    <w:jc w:val="center"/>
                    <w:rPr>
                      <w:b w:val="0"/>
                      <w:bCs/>
                      <w:sz w:val="18"/>
                      <w:szCs w:val="18"/>
                      <w:u w:val="none"/>
                    </w:rPr>
                  </w:pPr>
                  <w:r>
                    <w:rPr>
                      <w:b w:val="0"/>
                      <w:bCs/>
                      <w:sz w:val="18"/>
                      <w:szCs w:val="18"/>
                      <w:u w:val="none"/>
                    </w:rPr>
                    <w:t>地形</w:t>
                  </w:r>
                </w:p>
              </w:tc>
              <w:tc>
                <w:tcPr>
                  <w:tcW w:w="742" w:type="pct"/>
                  <w:gridSpan w:val="2"/>
                  <w:tcBorders>
                    <w:tl2br w:val="nil"/>
                    <w:tr2bl w:val="nil"/>
                  </w:tcBorders>
                  <w:vAlign w:val="center"/>
                </w:tcPr>
                <w:p w14:paraId="0057D447">
                  <w:pPr>
                    <w:adjustRightInd w:val="0"/>
                    <w:snapToGrid w:val="0"/>
                    <w:jc w:val="center"/>
                    <w:rPr>
                      <w:b w:val="0"/>
                      <w:bCs/>
                      <w:sz w:val="18"/>
                      <w:szCs w:val="18"/>
                      <w:u w:val="none"/>
                    </w:rPr>
                  </w:pPr>
                  <w:r>
                    <w:rPr>
                      <w:b w:val="0"/>
                      <w:bCs/>
                      <w:sz w:val="18"/>
                      <w:szCs w:val="18"/>
                      <w:u w:val="none"/>
                    </w:rPr>
                    <w:t>海拔（m）</w:t>
                  </w:r>
                </w:p>
              </w:tc>
              <w:tc>
                <w:tcPr>
                  <w:tcW w:w="596" w:type="pct"/>
                  <w:tcBorders>
                    <w:tl2br w:val="nil"/>
                    <w:tr2bl w:val="nil"/>
                  </w:tcBorders>
                  <w:vAlign w:val="center"/>
                </w:tcPr>
                <w:p w14:paraId="3A2E4102">
                  <w:pPr>
                    <w:adjustRightInd w:val="0"/>
                    <w:snapToGrid w:val="0"/>
                    <w:jc w:val="center"/>
                    <w:rPr>
                      <w:b w:val="0"/>
                      <w:bCs/>
                      <w:sz w:val="18"/>
                      <w:szCs w:val="18"/>
                      <w:u w:val="none"/>
                    </w:rPr>
                  </w:pPr>
                  <w:r>
                    <w:rPr>
                      <w:b w:val="0"/>
                      <w:bCs/>
                      <w:sz w:val="18"/>
                      <w:szCs w:val="18"/>
                      <w:u w:val="none"/>
                    </w:rPr>
                    <w:t>坡向</w:t>
                  </w:r>
                </w:p>
              </w:tc>
              <w:tc>
                <w:tcPr>
                  <w:tcW w:w="861" w:type="pct"/>
                  <w:tcBorders>
                    <w:tl2br w:val="nil"/>
                    <w:tr2bl w:val="nil"/>
                  </w:tcBorders>
                  <w:vAlign w:val="center"/>
                </w:tcPr>
                <w:p w14:paraId="1316364F">
                  <w:pPr>
                    <w:adjustRightInd w:val="0"/>
                    <w:snapToGrid w:val="0"/>
                    <w:jc w:val="center"/>
                    <w:rPr>
                      <w:b w:val="0"/>
                      <w:bCs/>
                      <w:sz w:val="18"/>
                      <w:szCs w:val="18"/>
                      <w:u w:val="none"/>
                    </w:rPr>
                  </w:pPr>
                  <w:r>
                    <w:rPr>
                      <w:b w:val="0"/>
                      <w:bCs/>
                      <w:sz w:val="18"/>
                      <w:szCs w:val="18"/>
                      <w:u w:val="none"/>
                    </w:rPr>
                    <w:t>坡度（°）</w:t>
                  </w:r>
                </w:p>
              </w:tc>
            </w:tr>
            <w:tr w14:paraId="18024A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1DA09486">
                  <w:pPr>
                    <w:adjustRightInd w:val="0"/>
                    <w:snapToGrid w:val="0"/>
                    <w:jc w:val="center"/>
                    <w:rPr>
                      <w:b w:val="0"/>
                      <w:bCs/>
                      <w:sz w:val="18"/>
                      <w:szCs w:val="18"/>
                      <w:u w:val="none"/>
                    </w:rPr>
                  </w:pPr>
                  <w:r>
                    <w:rPr>
                      <w:b w:val="0"/>
                      <w:bCs/>
                      <w:sz w:val="18"/>
                      <w:szCs w:val="18"/>
                      <w:u w:val="none"/>
                    </w:rPr>
                    <w:t>地点</w:t>
                  </w:r>
                </w:p>
              </w:tc>
              <w:tc>
                <w:tcPr>
                  <w:tcW w:w="1563" w:type="pct"/>
                  <w:gridSpan w:val="2"/>
                  <w:tcBorders>
                    <w:tl2br w:val="nil"/>
                    <w:tr2bl w:val="nil"/>
                  </w:tcBorders>
                  <w:vAlign w:val="center"/>
                </w:tcPr>
                <w:p w14:paraId="218B8030">
                  <w:pPr>
                    <w:adjustRightInd w:val="0"/>
                    <w:snapToGrid w:val="0"/>
                    <w:jc w:val="center"/>
                    <w:rPr>
                      <w:rFonts w:hint="default" w:eastAsia="宋体"/>
                      <w:b w:val="0"/>
                      <w:bCs/>
                      <w:sz w:val="18"/>
                      <w:szCs w:val="18"/>
                      <w:u w:val="none"/>
                      <w:lang w:val="en-US" w:eastAsia="zh-CN"/>
                    </w:rPr>
                  </w:pPr>
                  <w:r>
                    <w:rPr>
                      <w:rFonts w:hint="eastAsia"/>
                      <w:b w:val="0"/>
                      <w:bCs/>
                      <w:sz w:val="18"/>
                      <w:szCs w:val="18"/>
                      <w:u w:val="none"/>
                      <w:lang w:val="en-US" w:eastAsia="zh-CN"/>
                    </w:rPr>
                    <w:t>项目区域</w:t>
                  </w:r>
                </w:p>
              </w:tc>
              <w:tc>
                <w:tcPr>
                  <w:tcW w:w="617" w:type="pct"/>
                  <w:tcBorders>
                    <w:tl2br w:val="nil"/>
                    <w:tr2bl w:val="nil"/>
                  </w:tcBorders>
                  <w:vAlign w:val="center"/>
                </w:tcPr>
                <w:p w14:paraId="48957DD6">
                  <w:pPr>
                    <w:adjustRightInd w:val="0"/>
                    <w:snapToGrid w:val="0"/>
                    <w:jc w:val="center"/>
                    <w:rPr>
                      <w:b w:val="0"/>
                      <w:bCs/>
                      <w:sz w:val="18"/>
                      <w:szCs w:val="18"/>
                      <w:u w:val="none"/>
                    </w:rPr>
                  </w:pPr>
                  <w:r>
                    <w:rPr>
                      <w:b w:val="0"/>
                      <w:bCs/>
                      <w:sz w:val="18"/>
                      <w:szCs w:val="18"/>
                      <w:u w:val="none"/>
                    </w:rPr>
                    <w:t>坡地</w:t>
                  </w:r>
                </w:p>
              </w:tc>
              <w:tc>
                <w:tcPr>
                  <w:tcW w:w="742" w:type="pct"/>
                  <w:gridSpan w:val="2"/>
                  <w:tcBorders>
                    <w:tl2br w:val="nil"/>
                    <w:tr2bl w:val="nil"/>
                  </w:tcBorders>
                  <w:vAlign w:val="center"/>
                </w:tcPr>
                <w:p w14:paraId="34EE85EE">
                  <w:pPr>
                    <w:adjustRightInd w:val="0"/>
                    <w:snapToGrid w:val="0"/>
                    <w:jc w:val="center"/>
                    <w:rPr>
                      <w:rFonts w:hint="default" w:eastAsia="宋体"/>
                      <w:b w:val="0"/>
                      <w:bCs/>
                      <w:sz w:val="18"/>
                      <w:szCs w:val="18"/>
                      <w:u w:val="none"/>
                      <w:lang w:val="en-US" w:eastAsia="zh-CN"/>
                    </w:rPr>
                  </w:pPr>
                  <w:r>
                    <w:rPr>
                      <w:rFonts w:hint="eastAsia"/>
                      <w:b w:val="0"/>
                      <w:bCs/>
                      <w:sz w:val="18"/>
                      <w:szCs w:val="18"/>
                      <w:u w:val="none"/>
                      <w:lang w:val="en-US" w:eastAsia="zh-CN"/>
                    </w:rPr>
                    <w:t>425</w:t>
                  </w:r>
                </w:p>
              </w:tc>
              <w:tc>
                <w:tcPr>
                  <w:tcW w:w="596" w:type="pct"/>
                  <w:tcBorders>
                    <w:tl2br w:val="nil"/>
                    <w:tr2bl w:val="nil"/>
                  </w:tcBorders>
                  <w:vAlign w:val="center"/>
                </w:tcPr>
                <w:p w14:paraId="01957D6B">
                  <w:pPr>
                    <w:adjustRightInd w:val="0"/>
                    <w:snapToGrid w:val="0"/>
                    <w:jc w:val="center"/>
                    <w:rPr>
                      <w:b w:val="0"/>
                      <w:bCs/>
                      <w:sz w:val="18"/>
                      <w:szCs w:val="18"/>
                      <w:u w:val="none"/>
                    </w:rPr>
                  </w:pPr>
                  <w:r>
                    <w:rPr>
                      <w:b w:val="0"/>
                      <w:bCs/>
                      <w:sz w:val="18"/>
                      <w:szCs w:val="18"/>
                      <w:u w:val="none"/>
                    </w:rPr>
                    <w:t>/</w:t>
                  </w:r>
                </w:p>
              </w:tc>
              <w:tc>
                <w:tcPr>
                  <w:tcW w:w="861" w:type="pct"/>
                  <w:tcBorders>
                    <w:tl2br w:val="nil"/>
                    <w:tr2bl w:val="nil"/>
                  </w:tcBorders>
                  <w:vAlign w:val="center"/>
                </w:tcPr>
                <w:p w14:paraId="2B2083D1">
                  <w:pPr>
                    <w:adjustRightInd w:val="0"/>
                    <w:snapToGrid w:val="0"/>
                    <w:jc w:val="center"/>
                    <w:rPr>
                      <w:b w:val="0"/>
                      <w:bCs/>
                      <w:sz w:val="18"/>
                      <w:szCs w:val="18"/>
                      <w:u w:val="none"/>
                    </w:rPr>
                  </w:pPr>
                  <w:r>
                    <w:rPr>
                      <w:b w:val="0"/>
                      <w:bCs/>
                      <w:sz w:val="18"/>
                      <w:szCs w:val="18"/>
                      <w:u w:val="none"/>
                    </w:rPr>
                    <w:t>/</w:t>
                  </w:r>
                </w:p>
              </w:tc>
            </w:tr>
            <w:tr w14:paraId="4386D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655B5F3D">
                  <w:pPr>
                    <w:adjustRightInd w:val="0"/>
                    <w:snapToGrid w:val="0"/>
                    <w:jc w:val="center"/>
                    <w:rPr>
                      <w:b w:val="0"/>
                      <w:bCs/>
                      <w:sz w:val="18"/>
                      <w:szCs w:val="18"/>
                      <w:u w:val="none"/>
                    </w:rPr>
                  </w:pPr>
                  <w:r>
                    <w:rPr>
                      <w:b w:val="0"/>
                      <w:bCs/>
                      <w:sz w:val="18"/>
                      <w:szCs w:val="18"/>
                      <w:u w:val="none"/>
                    </w:rPr>
                    <w:t>经纬度</w:t>
                  </w:r>
                </w:p>
              </w:tc>
              <w:tc>
                <w:tcPr>
                  <w:tcW w:w="4381" w:type="pct"/>
                  <w:gridSpan w:val="7"/>
                  <w:tcBorders>
                    <w:tl2br w:val="nil"/>
                    <w:tr2bl w:val="nil"/>
                  </w:tcBorders>
                  <w:vAlign w:val="center"/>
                </w:tcPr>
                <w:p w14:paraId="7C9D9339">
                  <w:pPr>
                    <w:adjustRightInd w:val="0"/>
                    <w:snapToGrid w:val="0"/>
                    <w:jc w:val="center"/>
                    <w:rPr>
                      <w:b w:val="0"/>
                      <w:bCs/>
                      <w:sz w:val="18"/>
                      <w:szCs w:val="18"/>
                      <w:u w:val="none"/>
                    </w:rPr>
                  </w:pPr>
                  <w:r>
                    <w:rPr>
                      <w:b w:val="0"/>
                      <w:bCs/>
                      <w:sz w:val="18"/>
                      <w:szCs w:val="18"/>
                      <w:u w:val="none"/>
                    </w:rPr>
                    <w:t>11</w:t>
                  </w:r>
                  <w:r>
                    <w:rPr>
                      <w:rFonts w:hint="eastAsia"/>
                      <w:b w:val="0"/>
                      <w:bCs/>
                      <w:sz w:val="18"/>
                      <w:szCs w:val="18"/>
                      <w:u w:val="none"/>
                      <w:lang w:val="en-US" w:eastAsia="zh-CN"/>
                    </w:rPr>
                    <w:t>3</w:t>
                  </w:r>
                  <w:r>
                    <w:rPr>
                      <w:b w:val="0"/>
                      <w:bCs/>
                      <w:sz w:val="18"/>
                      <w:szCs w:val="18"/>
                      <w:u w:val="none"/>
                    </w:rPr>
                    <w:t>°3′4.68627″,2</w:t>
                  </w:r>
                  <w:r>
                    <w:rPr>
                      <w:rFonts w:hint="eastAsia"/>
                      <w:b w:val="0"/>
                      <w:bCs/>
                      <w:sz w:val="18"/>
                      <w:szCs w:val="18"/>
                      <w:u w:val="none"/>
                      <w:lang w:val="en-US" w:eastAsia="zh-CN"/>
                    </w:rPr>
                    <w:t>6</w:t>
                  </w:r>
                  <w:r>
                    <w:rPr>
                      <w:b w:val="0"/>
                      <w:bCs/>
                      <w:sz w:val="18"/>
                      <w:szCs w:val="18"/>
                      <w:u w:val="none"/>
                    </w:rPr>
                    <w:t>°</w:t>
                  </w:r>
                  <w:r>
                    <w:rPr>
                      <w:rFonts w:hint="eastAsia"/>
                      <w:b w:val="0"/>
                      <w:bCs/>
                      <w:sz w:val="18"/>
                      <w:szCs w:val="18"/>
                      <w:u w:val="none"/>
                      <w:lang w:val="en-US" w:eastAsia="zh-CN"/>
                    </w:rPr>
                    <w:t>30</w:t>
                  </w:r>
                  <w:r>
                    <w:rPr>
                      <w:b w:val="0"/>
                      <w:bCs/>
                      <w:sz w:val="18"/>
                      <w:szCs w:val="18"/>
                      <w:u w:val="none"/>
                    </w:rPr>
                    <w:t>′7.00760″</w:t>
                  </w:r>
                </w:p>
              </w:tc>
            </w:tr>
            <w:tr w14:paraId="04154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0E2B434F">
                  <w:pPr>
                    <w:adjustRightInd w:val="0"/>
                    <w:snapToGrid w:val="0"/>
                    <w:jc w:val="center"/>
                    <w:rPr>
                      <w:b w:val="0"/>
                      <w:bCs/>
                      <w:sz w:val="18"/>
                      <w:szCs w:val="18"/>
                      <w:u w:val="none"/>
                    </w:rPr>
                  </w:pPr>
                  <w:r>
                    <w:rPr>
                      <w:b w:val="0"/>
                      <w:bCs/>
                      <w:sz w:val="18"/>
                      <w:szCs w:val="18"/>
                      <w:u w:val="none"/>
                    </w:rPr>
                    <w:t>层次</w:t>
                  </w:r>
                </w:p>
              </w:tc>
              <w:tc>
                <w:tcPr>
                  <w:tcW w:w="4381" w:type="pct"/>
                  <w:gridSpan w:val="7"/>
                  <w:tcBorders>
                    <w:tl2br w:val="nil"/>
                    <w:tr2bl w:val="nil"/>
                  </w:tcBorders>
                  <w:vAlign w:val="center"/>
                </w:tcPr>
                <w:p w14:paraId="1A353478">
                  <w:pPr>
                    <w:adjustRightInd w:val="0"/>
                    <w:snapToGrid w:val="0"/>
                    <w:jc w:val="center"/>
                    <w:rPr>
                      <w:b w:val="0"/>
                      <w:bCs/>
                      <w:sz w:val="18"/>
                      <w:szCs w:val="18"/>
                      <w:u w:val="none"/>
                    </w:rPr>
                  </w:pPr>
                  <w:r>
                    <w:rPr>
                      <w:b w:val="0"/>
                      <w:bCs/>
                      <w:sz w:val="18"/>
                      <w:szCs w:val="18"/>
                      <w:u w:val="none"/>
                    </w:rPr>
                    <w:t>一层</w:t>
                  </w:r>
                </w:p>
              </w:tc>
            </w:tr>
            <w:tr w14:paraId="585D8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343CC6A1">
                  <w:pPr>
                    <w:adjustRightInd w:val="0"/>
                    <w:snapToGrid w:val="0"/>
                    <w:jc w:val="center"/>
                    <w:rPr>
                      <w:b w:val="0"/>
                      <w:bCs/>
                      <w:sz w:val="18"/>
                      <w:szCs w:val="18"/>
                      <w:u w:val="none"/>
                    </w:rPr>
                  </w:pPr>
                  <w:r>
                    <w:rPr>
                      <w:b w:val="0"/>
                      <w:bCs/>
                      <w:sz w:val="18"/>
                      <w:szCs w:val="18"/>
                      <w:u w:val="none"/>
                    </w:rPr>
                    <w:t>分层</w:t>
                  </w:r>
                </w:p>
              </w:tc>
              <w:tc>
                <w:tcPr>
                  <w:tcW w:w="522" w:type="pct"/>
                  <w:tcBorders>
                    <w:tl2br w:val="nil"/>
                    <w:tr2bl w:val="nil"/>
                  </w:tcBorders>
                  <w:vAlign w:val="center"/>
                </w:tcPr>
                <w:p w14:paraId="7985D2DB">
                  <w:pPr>
                    <w:adjustRightInd w:val="0"/>
                    <w:snapToGrid w:val="0"/>
                    <w:jc w:val="center"/>
                    <w:rPr>
                      <w:b w:val="0"/>
                      <w:bCs/>
                      <w:sz w:val="18"/>
                      <w:szCs w:val="18"/>
                      <w:u w:val="none"/>
                    </w:rPr>
                  </w:pPr>
                  <w:r>
                    <w:rPr>
                      <w:b w:val="0"/>
                      <w:bCs/>
                      <w:sz w:val="18"/>
                      <w:szCs w:val="18"/>
                      <w:u w:val="none"/>
                    </w:rPr>
                    <w:t>层盖度</w:t>
                  </w:r>
                </w:p>
              </w:tc>
              <w:tc>
                <w:tcPr>
                  <w:tcW w:w="1699" w:type="pct"/>
                  <w:gridSpan w:val="3"/>
                  <w:tcBorders>
                    <w:tl2br w:val="nil"/>
                    <w:tr2bl w:val="nil"/>
                  </w:tcBorders>
                  <w:vAlign w:val="center"/>
                </w:tcPr>
                <w:p w14:paraId="1F51AE21">
                  <w:pPr>
                    <w:adjustRightInd w:val="0"/>
                    <w:snapToGrid w:val="0"/>
                    <w:jc w:val="center"/>
                    <w:rPr>
                      <w:b w:val="0"/>
                      <w:bCs/>
                      <w:sz w:val="18"/>
                      <w:szCs w:val="18"/>
                      <w:u w:val="none"/>
                    </w:rPr>
                  </w:pPr>
                  <w:r>
                    <w:rPr>
                      <w:b w:val="0"/>
                      <w:bCs/>
                      <w:sz w:val="18"/>
                      <w:szCs w:val="18"/>
                      <w:u w:val="none"/>
                    </w:rPr>
                    <w:t>种类组成与生长状况</w:t>
                  </w:r>
                </w:p>
              </w:tc>
              <w:tc>
                <w:tcPr>
                  <w:tcW w:w="2159" w:type="pct"/>
                  <w:gridSpan w:val="3"/>
                  <w:tcBorders>
                    <w:tl2br w:val="nil"/>
                    <w:tr2bl w:val="nil"/>
                  </w:tcBorders>
                  <w:vAlign w:val="center"/>
                </w:tcPr>
                <w:p w14:paraId="0A8EB2A6">
                  <w:pPr>
                    <w:adjustRightInd w:val="0"/>
                    <w:snapToGrid w:val="0"/>
                    <w:jc w:val="center"/>
                    <w:rPr>
                      <w:b w:val="0"/>
                      <w:bCs/>
                      <w:sz w:val="18"/>
                      <w:szCs w:val="18"/>
                      <w:u w:val="none"/>
                    </w:rPr>
                  </w:pPr>
                  <w:r>
                    <w:rPr>
                      <w:b w:val="0"/>
                      <w:bCs/>
                      <w:sz w:val="18"/>
                      <w:szCs w:val="18"/>
                      <w:u w:val="none"/>
                    </w:rPr>
                    <w:t>考察照片</w:t>
                  </w:r>
                </w:p>
              </w:tc>
            </w:tr>
            <w:tr w14:paraId="61159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18" w:type="pct"/>
                  <w:tcBorders>
                    <w:tl2br w:val="nil"/>
                    <w:tr2bl w:val="nil"/>
                  </w:tcBorders>
                  <w:vAlign w:val="center"/>
                </w:tcPr>
                <w:p w14:paraId="033A0888">
                  <w:pPr>
                    <w:adjustRightInd w:val="0"/>
                    <w:snapToGrid w:val="0"/>
                    <w:rPr>
                      <w:b w:val="0"/>
                      <w:bCs/>
                      <w:sz w:val="18"/>
                      <w:szCs w:val="18"/>
                      <w:u w:val="none"/>
                    </w:rPr>
                  </w:pPr>
                  <w:r>
                    <w:rPr>
                      <w:b w:val="0"/>
                      <w:bCs/>
                      <w:sz w:val="18"/>
                      <w:szCs w:val="18"/>
                      <w:u w:val="none"/>
                    </w:rPr>
                    <w:t>草本层</w:t>
                  </w:r>
                </w:p>
              </w:tc>
              <w:tc>
                <w:tcPr>
                  <w:tcW w:w="522" w:type="pct"/>
                  <w:tcBorders>
                    <w:tl2br w:val="nil"/>
                    <w:tr2bl w:val="nil"/>
                  </w:tcBorders>
                  <w:vAlign w:val="center"/>
                </w:tcPr>
                <w:p w14:paraId="2103BDA3">
                  <w:pPr>
                    <w:adjustRightInd w:val="0"/>
                    <w:snapToGrid w:val="0"/>
                    <w:rPr>
                      <w:b w:val="0"/>
                      <w:bCs/>
                      <w:sz w:val="18"/>
                      <w:szCs w:val="18"/>
                      <w:u w:val="none"/>
                    </w:rPr>
                  </w:pPr>
                  <w:r>
                    <w:rPr>
                      <w:b w:val="0"/>
                      <w:bCs/>
                      <w:sz w:val="18"/>
                      <w:szCs w:val="18"/>
                      <w:u w:val="none"/>
                    </w:rPr>
                    <w:t>盖度85%</w:t>
                  </w:r>
                </w:p>
              </w:tc>
              <w:tc>
                <w:tcPr>
                  <w:tcW w:w="1699" w:type="pct"/>
                  <w:gridSpan w:val="3"/>
                  <w:tcBorders>
                    <w:tl2br w:val="nil"/>
                    <w:tr2bl w:val="nil"/>
                  </w:tcBorders>
                  <w:vAlign w:val="center"/>
                </w:tcPr>
                <w:p w14:paraId="63AB4499">
                  <w:pPr>
                    <w:adjustRightInd w:val="0"/>
                    <w:snapToGrid w:val="0"/>
                    <w:rPr>
                      <w:b w:val="0"/>
                      <w:bCs/>
                      <w:sz w:val="18"/>
                      <w:szCs w:val="18"/>
                      <w:u w:val="none"/>
                    </w:rPr>
                  </w:pPr>
                  <w:r>
                    <w:rPr>
                      <w:b w:val="0"/>
                      <w:bCs/>
                      <w:sz w:val="18"/>
                      <w:szCs w:val="18"/>
                      <w:u w:val="none"/>
                    </w:rPr>
                    <w:t>层均高</w:t>
                  </w:r>
                  <w:bookmarkStart w:id="293" w:name="_Hlk17625266"/>
                  <w:r>
                    <w:rPr>
                      <w:b w:val="0"/>
                      <w:bCs/>
                      <w:sz w:val="18"/>
                      <w:szCs w:val="18"/>
                      <w:u w:val="none"/>
                    </w:rPr>
                    <w:t>0.6m，优势种为蕨（</w:t>
                  </w:r>
                  <w:r>
                    <w:rPr>
                      <w:b w:val="0"/>
                      <w:bCs/>
                      <w:i/>
                      <w:sz w:val="18"/>
                      <w:szCs w:val="18"/>
                      <w:u w:val="none"/>
                    </w:rPr>
                    <w:t xml:space="preserve">Pteridium aquilinum </w:t>
                  </w:r>
                  <w:r>
                    <w:rPr>
                      <w:b w:val="0"/>
                      <w:bCs/>
                      <w:iCs/>
                      <w:sz w:val="18"/>
                      <w:szCs w:val="18"/>
                      <w:u w:val="none"/>
                    </w:rPr>
                    <w:t>var.</w:t>
                  </w:r>
                  <w:r>
                    <w:rPr>
                      <w:b w:val="0"/>
                      <w:bCs/>
                      <w:i/>
                      <w:sz w:val="18"/>
                      <w:szCs w:val="18"/>
                      <w:u w:val="none"/>
                    </w:rPr>
                    <w:t xml:space="preserve"> latiusculum</w:t>
                  </w:r>
                  <w:r>
                    <w:rPr>
                      <w:b w:val="0"/>
                      <w:bCs/>
                      <w:sz w:val="18"/>
                      <w:szCs w:val="18"/>
                      <w:u w:val="none"/>
                    </w:rPr>
                    <w:t>），高0.3~0.8m，盖度65%，主要伴生种为爵床（</w:t>
                  </w:r>
                  <w:r>
                    <w:rPr>
                      <w:b w:val="0"/>
                      <w:bCs/>
                      <w:i/>
                      <w:sz w:val="18"/>
                      <w:szCs w:val="18"/>
                      <w:u w:val="none"/>
                    </w:rPr>
                    <w:t>Rostellularia</w:t>
                  </w:r>
                  <w:r>
                    <w:rPr>
                      <w:b w:val="0"/>
                      <w:bCs/>
                      <w:sz w:val="18"/>
                      <w:szCs w:val="18"/>
                      <w:u w:val="none"/>
                    </w:rPr>
                    <w:t xml:space="preserve"> </w:t>
                  </w:r>
                  <w:r>
                    <w:rPr>
                      <w:b w:val="0"/>
                      <w:bCs/>
                      <w:i/>
                      <w:sz w:val="18"/>
                      <w:szCs w:val="18"/>
                      <w:u w:val="none"/>
                    </w:rPr>
                    <w:t>procumbens</w:t>
                  </w:r>
                  <w:r>
                    <w:rPr>
                      <w:b w:val="0"/>
                      <w:bCs/>
                      <w:sz w:val="18"/>
                      <w:szCs w:val="18"/>
                      <w:u w:val="none"/>
                    </w:rPr>
                    <w:t>）、火炭母（</w:t>
                  </w:r>
                  <w:r>
                    <w:rPr>
                      <w:b w:val="0"/>
                      <w:bCs/>
                      <w:i/>
                      <w:sz w:val="18"/>
                      <w:szCs w:val="18"/>
                      <w:u w:val="none"/>
                    </w:rPr>
                    <w:t>Polygonum</w:t>
                  </w:r>
                  <w:r>
                    <w:rPr>
                      <w:b w:val="0"/>
                      <w:bCs/>
                      <w:sz w:val="18"/>
                      <w:szCs w:val="18"/>
                      <w:u w:val="none"/>
                    </w:rPr>
                    <w:t xml:space="preserve"> </w:t>
                  </w:r>
                  <w:r>
                    <w:rPr>
                      <w:b w:val="0"/>
                      <w:bCs/>
                      <w:i/>
                      <w:sz w:val="18"/>
                      <w:szCs w:val="18"/>
                      <w:u w:val="none"/>
                    </w:rPr>
                    <w:t>chinense</w:t>
                  </w:r>
                  <w:r>
                    <w:rPr>
                      <w:b w:val="0"/>
                      <w:bCs/>
                      <w:sz w:val="18"/>
                      <w:szCs w:val="18"/>
                      <w:u w:val="none"/>
                    </w:rPr>
                    <w:t>）、藿香蓟（</w:t>
                  </w:r>
                  <w:r>
                    <w:rPr>
                      <w:b w:val="0"/>
                      <w:bCs/>
                      <w:i/>
                      <w:sz w:val="18"/>
                      <w:szCs w:val="18"/>
                      <w:u w:val="none"/>
                    </w:rPr>
                    <w:t>Ageratum</w:t>
                  </w:r>
                  <w:r>
                    <w:rPr>
                      <w:b w:val="0"/>
                      <w:bCs/>
                      <w:sz w:val="18"/>
                      <w:szCs w:val="18"/>
                      <w:u w:val="none"/>
                    </w:rPr>
                    <w:t xml:space="preserve"> </w:t>
                  </w:r>
                  <w:r>
                    <w:rPr>
                      <w:b w:val="0"/>
                      <w:bCs/>
                      <w:i/>
                      <w:sz w:val="18"/>
                      <w:szCs w:val="18"/>
                      <w:u w:val="none"/>
                    </w:rPr>
                    <w:t>conyzoides</w:t>
                  </w:r>
                  <w:r>
                    <w:rPr>
                      <w:b w:val="0"/>
                      <w:bCs/>
                      <w:sz w:val="18"/>
                      <w:szCs w:val="18"/>
                      <w:u w:val="none"/>
                    </w:rPr>
                    <w:t>）、狗尾草（</w:t>
                  </w:r>
                  <w:r>
                    <w:rPr>
                      <w:b w:val="0"/>
                      <w:bCs/>
                      <w:i/>
                      <w:sz w:val="18"/>
                      <w:szCs w:val="18"/>
                      <w:u w:val="none"/>
                    </w:rPr>
                    <w:t>Setaria</w:t>
                  </w:r>
                  <w:r>
                    <w:rPr>
                      <w:b w:val="0"/>
                      <w:bCs/>
                      <w:sz w:val="18"/>
                      <w:szCs w:val="18"/>
                      <w:u w:val="none"/>
                    </w:rPr>
                    <w:t xml:space="preserve"> </w:t>
                  </w:r>
                  <w:r>
                    <w:rPr>
                      <w:b w:val="0"/>
                      <w:bCs/>
                      <w:i/>
                      <w:sz w:val="18"/>
                      <w:szCs w:val="18"/>
                      <w:u w:val="none"/>
                    </w:rPr>
                    <w:t>viridis</w:t>
                  </w:r>
                  <w:r>
                    <w:rPr>
                      <w:b w:val="0"/>
                      <w:bCs/>
                      <w:sz w:val="18"/>
                      <w:szCs w:val="18"/>
                      <w:u w:val="none"/>
                    </w:rPr>
                    <w:t>）等</w:t>
                  </w:r>
                  <w:bookmarkEnd w:id="293"/>
                  <w:r>
                    <w:rPr>
                      <w:b w:val="0"/>
                      <w:bCs/>
                      <w:sz w:val="18"/>
                      <w:szCs w:val="18"/>
                      <w:u w:val="none"/>
                    </w:rPr>
                    <w:t>。</w:t>
                  </w:r>
                </w:p>
              </w:tc>
              <w:tc>
                <w:tcPr>
                  <w:tcW w:w="2159" w:type="pct"/>
                  <w:gridSpan w:val="3"/>
                  <w:tcBorders>
                    <w:tl2br w:val="nil"/>
                    <w:tr2bl w:val="nil"/>
                  </w:tcBorders>
                  <w:vAlign w:val="center"/>
                </w:tcPr>
                <w:p w14:paraId="565585F2">
                  <w:pPr>
                    <w:adjustRightInd w:val="0"/>
                    <w:snapToGrid w:val="0"/>
                    <w:jc w:val="center"/>
                    <w:rPr>
                      <w:b w:val="0"/>
                      <w:bCs/>
                      <w:sz w:val="18"/>
                      <w:szCs w:val="18"/>
                      <w:u w:val="none"/>
                    </w:rPr>
                  </w:pPr>
                  <w:r>
                    <w:rPr>
                      <w:b w:val="0"/>
                      <w:bCs/>
                      <w:u w:val="none"/>
                    </w:rPr>
                    <w:drawing>
                      <wp:inline distT="0" distB="0" distL="0" distR="0">
                        <wp:extent cx="1630045" cy="1799590"/>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a:stretch>
                                  <a:fillRect/>
                                </a:stretch>
                              </pic:blipFill>
                              <pic:spPr>
                                <a:xfrm>
                                  <a:off x="0" y="0"/>
                                  <a:ext cx="1630189" cy="1800000"/>
                                </a:xfrm>
                                <a:prstGeom prst="rect">
                                  <a:avLst/>
                                </a:prstGeom>
                              </pic:spPr>
                            </pic:pic>
                          </a:graphicData>
                        </a:graphic>
                      </wp:inline>
                    </w:drawing>
                  </w:r>
                </w:p>
              </w:tc>
            </w:tr>
          </w:tbl>
          <w:p w14:paraId="32509089">
            <w:pPr>
              <w:pStyle w:val="62"/>
              <w:ind w:firstLine="480"/>
              <w:rPr>
                <w:rFonts w:cs="Times New Roman"/>
                <w:u w:val="none"/>
              </w:rPr>
            </w:pPr>
            <w:r>
              <w:rPr>
                <w:rFonts w:hint="eastAsia" w:cs="Times New Roman"/>
                <w:u w:val="none"/>
              </w:rPr>
              <w:t>（5）评价区生物量</w:t>
            </w:r>
          </w:p>
          <w:p w14:paraId="72B9B8F3">
            <w:pPr>
              <w:pStyle w:val="62"/>
              <w:ind w:firstLine="480"/>
              <w:rPr>
                <w:rFonts w:cs="Times New Roman"/>
                <w:u w:val="none"/>
              </w:rPr>
            </w:pPr>
            <w:r>
              <w:rPr>
                <w:rFonts w:hint="eastAsia" w:cs="Times New Roman"/>
                <w:u w:val="none"/>
              </w:rPr>
              <w:t>根据评价区各类土地的现状调查数据，生物量估算结果见下表：</w:t>
            </w:r>
          </w:p>
          <w:p w14:paraId="57AE179B">
            <w:pPr>
              <w:pStyle w:val="62"/>
              <w:spacing w:line="240" w:lineRule="auto"/>
              <w:ind w:firstLine="0" w:firstLineChars="0"/>
              <w:jc w:val="center"/>
              <w:rPr>
                <w:rFonts w:cs="Times New Roman"/>
                <w:u w:val="none"/>
              </w:rPr>
            </w:pPr>
            <w:r>
              <w:rPr>
                <w:rFonts w:hint="eastAsia"/>
                <w:b/>
                <w:bCs/>
                <w:sz w:val="21"/>
                <w:szCs w:val="21"/>
                <w:u w:val="none"/>
              </w:rPr>
              <w:t>表3</w:t>
            </w:r>
            <w:r>
              <w:rPr>
                <w:b/>
                <w:bCs/>
                <w:sz w:val="21"/>
                <w:szCs w:val="21"/>
                <w:u w:val="none"/>
              </w:rPr>
              <w:t>-</w:t>
            </w:r>
            <w:r>
              <w:rPr>
                <w:rFonts w:hint="eastAsia"/>
                <w:b/>
                <w:bCs/>
                <w:sz w:val="21"/>
                <w:szCs w:val="21"/>
                <w:u w:val="none"/>
                <w:lang w:val="en-US" w:eastAsia="zh-CN"/>
              </w:rPr>
              <w:t xml:space="preserve">4  </w:t>
            </w:r>
            <w:r>
              <w:rPr>
                <w:b/>
                <w:bCs/>
                <w:sz w:val="21"/>
                <w:szCs w:val="21"/>
                <w:u w:val="none"/>
              </w:rPr>
              <w:t>评价区生物量现状表</w:t>
            </w:r>
          </w:p>
          <w:tbl>
            <w:tblPr>
              <w:tblStyle w:val="32"/>
              <w:tblW w:w="78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9"/>
              <w:gridCol w:w="1120"/>
              <w:gridCol w:w="1119"/>
              <w:gridCol w:w="1119"/>
              <w:gridCol w:w="1119"/>
              <w:gridCol w:w="1119"/>
              <w:gridCol w:w="1119"/>
            </w:tblGrid>
            <w:tr w14:paraId="189441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5F55371E">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土地类型</w:t>
                  </w:r>
                </w:p>
              </w:tc>
              <w:tc>
                <w:tcPr>
                  <w:tcW w:w="1120" w:type="dxa"/>
                  <w:shd w:val="clear" w:color="auto" w:fill="auto"/>
                  <w:vAlign w:val="center"/>
                </w:tcPr>
                <w:p w14:paraId="1402CC3E">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代表植物</w:t>
                  </w:r>
                </w:p>
              </w:tc>
              <w:tc>
                <w:tcPr>
                  <w:tcW w:w="1119" w:type="dxa"/>
                  <w:shd w:val="clear" w:color="auto" w:fill="auto"/>
                  <w:vAlign w:val="center"/>
                </w:tcPr>
                <w:p w14:paraId="7912A762">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 xml:space="preserve">面积（hm </w:t>
                  </w:r>
                  <w:r>
                    <w:rPr>
                      <w:rFonts w:hint="eastAsia" w:ascii="宋体" w:hAnsi="宋体" w:cs="宋体"/>
                      <w:b w:val="0"/>
                      <w:bCs w:val="0"/>
                      <w:color w:val="FF0000"/>
                      <w:kern w:val="0"/>
                      <w:sz w:val="18"/>
                      <w:szCs w:val="18"/>
                      <w:u w:val="none"/>
                      <w:vertAlign w:val="superscript"/>
                    </w:rPr>
                    <w:t>2</w:t>
                  </w:r>
                  <w:r>
                    <w:rPr>
                      <w:rFonts w:hint="eastAsia" w:ascii="宋体" w:hAnsi="宋体" w:cs="宋体"/>
                      <w:b w:val="0"/>
                      <w:bCs w:val="0"/>
                      <w:color w:val="FF0000"/>
                      <w:kern w:val="0"/>
                      <w:sz w:val="18"/>
                      <w:szCs w:val="18"/>
                      <w:u w:val="none"/>
                    </w:rPr>
                    <w:t>）</w:t>
                  </w:r>
                </w:p>
              </w:tc>
              <w:tc>
                <w:tcPr>
                  <w:tcW w:w="1119" w:type="dxa"/>
                  <w:shd w:val="clear" w:color="auto" w:fill="auto"/>
                  <w:vAlign w:val="center"/>
                </w:tcPr>
                <w:p w14:paraId="3B270F76">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占评价范围比例</w:t>
                  </w:r>
                </w:p>
              </w:tc>
              <w:tc>
                <w:tcPr>
                  <w:tcW w:w="1119" w:type="dxa"/>
                  <w:shd w:val="clear" w:color="auto" w:fill="auto"/>
                  <w:vAlign w:val="center"/>
                </w:tcPr>
                <w:p w14:paraId="2DC22054">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平均生物量</w:t>
                  </w:r>
                  <w:r>
                    <w:rPr>
                      <w:b w:val="0"/>
                      <w:bCs w:val="0"/>
                      <w:color w:val="FF0000"/>
                      <w:kern w:val="0"/>
                      <w:sz w:val="18"/>
                      <w:szCs w:val="18"/>
                      <w:u w:val="none"/>
                    </w:rPr>
                    <w:t xml:space="preserve">(t / hm </w:t>
                  </w:r>
                  <w:r>
                    <w:rPr>
                      <w:b w:val="0"/>
                      <w:bCs w:val="0"/>
                      <w:color w:val="FF0000"/>
                      <w:kern w:val="0"/>
                      <w:sz w:val="18"/>
                      <w:szCs w:val="18"/>
                      <w:u w:val="none"/>
                      <w:vertAlign w:val="superscript"/>
                    </w:rPr>
                    <w:t>2</w:t>
                  </w:r>
                  <w:r>
                    <w:rPr>
                      <w:b w:val="0"/>
                      <w:bCs w:val="0"/>
                      <w:color w:val="FF0000"/>
                      <w:kern w:val="0"/>
                      <w:sz w:val="18"/>
                      <w:szCs w:val="18"/>
                      <w:u w:val="none"/>
                    </w:rPr>
                    <w:t>)</w:t>
                  </w:r>
                </w:p>
              </w:tc>
              <w:tc>
                <w:tcPr>
                  <w:tcW w:w="1119" w:type="dxa"/>
                  <w:shd w:val="clear" w:color="auto" w:fill="auto"/>
                  <w:vAlign w:val="center"/>
                </w:tcPr>
                <w:p w14:paraId="16809072">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总生物量（</w:t>
                  </w:r>
                  <w:r>
                    <w:rPr>
                      <w:b w:val="0"/>
                      <w:bCs w:val="0"/>
                      <w:color w:val="FF0000"/>
                      <w:kern w:val="0"/>
                      <w:sz w:val="18"/>
                      <w:szCs w:val="18"/>
                      <w:u w:val="none"/>
                    </w:rPr>
                    <w:t>t</w:t>
                  </w:r>
                  <w:r>
                    <w:rPr>
                      <w:rFonts w:hint="eastAsia" w:ascii="宋体" w:hAnsi="宋体" w:cs="宋体"/>
                      <w:b w:val="0"/>
                      <w:bCs w:val="0"/>
                      <w:color w:val="FF0000"/>
                      <w:kern w:val="0"/>
                      <w:sz w:val="18"/>
                      <w:szCs w:val="18"/>
                      <w:u w:val="none"/>
                    </w:rPr>
                    <w:t>）</w:t>
                  </w:r>
                </w:p>
              </w:tc>
              <w:tc>
                <w:tcPr>
                  <w:tcW w:w="1119" w:type="dxa"/>
                  <w:tcBorders>
                    <w:right w:val="nil"/>
                  </w:tcBorders>
                  <w:shd w:val="clear" w:color="auto" w:fill="auto"/>
                  <w:vAlign w:val="center"/>
                </w:tcPr>
                <w:p w14:paraId="701F94F2">
                  <w:pPr>
                    <w:widowControl/>
                    <w:jc w:val="center"/>
                    <w:rPr>
                      <w:rFonts w:hint="eastAsia" w:ascii="宋体" w:hAnsi="宋体" w:eastAsia="宋体" w:cs="宋体"/>
                      <w:b w:val="0"/>
                      <w:bCs w:val="0"/>
                      <w:color w:val="FF0000"/>
                      <w:kern w:val="0"/>
                      <w:sz w:val="18"/>
                      <w:szCs w:val="18"/>
                      <w:u w:val="none"/>
                      <w:lang w:val="en-US" w:eastAsia="zh-CN" w:bidi="ar-SA"/>
                    </w:rPr>
                  </w:pPr>
                  <w:r>
                    <w:rPr>
                      <w:rFonts w:hint="eastAsia" w:ascii="宋体" w:hAnsi="宋体" w:cs="宋体"/>
                      <w:b w:val="0"/>
                      <w:bCs w:val="0"/>
                      <w:color w:val="FF0000"/>
                      <w:kern w:val="0"/>
                      <w:sz w:val="18"/>
                      <w:szCs w:val="18"/>
                      <w:u w:val="none"/>
                    </w:rPr>
                    <w:t>占评价区总生物量比例</w:t>
                  </w:r>
                </w:p>
              </w:tc>
            </w:tr>
            <w:tr w14:paraId="20DCCD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4A9970C0">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林地</w:t>
                  </w:r>
                </w:p>
              </w:tc>
              <w:tc>
                <w:tcPr>
                  <w:tcW w:w="1120" w:type="dxa"/>
                  <w:shd w:val="clear" w:color="auto" w:fill="auto"/>
                  <w:vAlign w:val="center"/>
                </w:tcPr>
                <w:p w14:paraId="6B6D87F1">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杉木</w:t>
                  </w:r>
                </w:p>
              </w:tc>
              <w:tc>
                <w:tcPr>
                  <w:tcW w:w="1119" w:type="dxa"/>
                  <w:shd w:val="clear" w:color="auto" w:fill="auto"/>
                  <w:vAlign w:val="center"/>
                </w:tcPr>
                <w:p w14:paraId="4D6CB8EF">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1654.62</w:t>
                  </w:r>
                </w:p>
              </w:tc>
              <w:tc>
                <w:tcPr>
                  <w:tcW w:w="1119" w:type="dxa"/>
                  <w:shd w:val="clear" w:color="auto" w:fill="auto"/>
                  <w:vAlign w:val="center"/>
                </w:tcPr>
                <w:p w14:paraId="59778905">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58.41</w:t>
                  </w:r>
                </w:p>
              </w:tc>
              <w:tc>
                <w:tcPr>
                  <w:tcW w:w="1119" w:type="dxa"/>
                  <w:shd w:val="clear" w:color="auto" w:fill="auto"/>
                  <w:vAlign w:val="center"/>
                </w:tcPr>
                <w:p w14:paraId="79E936CC">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31.59</w:t>
                  </w:r>
                </w:p>
              </w:tc>
              <w:tc>
                <w:tcPr>
                  <w:tcW w:w="1119" w:type="dxa"/>
                  <w:shd w:val="clear" w:color="auto" w:fill="auto"/>
                  <w:vAlign w:val="center"/>
                </w:tcPr>
                <w:p w14:paraId="764663A0">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52269.45</w:t>
                  </w:r>
                </w:p>
              </w:tc>
              <w:tc>
                <w:tcPr>
                  <w:tcW w:w="1119" w:type="dxa"/>
                  <w:tcBorders>
                    <w:right w:val="nil"/>
                  </w:tcBorders>
                  <w:shd w:val="clear" w:color="auto" w:fill="auto"/>
                  <w:vAlign w:val="center"/>
                </w:tcPr>
                <w:p w14:paraId="38285883">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86.11</w:t>
                  </w:r>
                </w:p>
              </w:tc>
            </w:tr>
            <w:tr w14:paraId="04285D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17BAFC05">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灌草地</w:t>
                  </w:r>
                </w:p>
              </w:tc>
              <w:tc>
                <w:tcPr>
                  <w:tcW w:w="1120" w:type="dxa"/>
                  <w:shd w:val="clear" w:color="auto" w:fill="auto"/>
                  <w:vAlign w:val="center"/>
                </w:tcPr>
                <w:p w14:paraId="58739677">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白背叶、牡荆、芒萁、蕨、油茶树</w:t>
                  </w:r>
                </w:p>
              </w:tc>
              <w:tc>
                <w:tcPr>
                  <w:tcW w:w="1119" w:type="dxa"/>
                  <w:shd w:val="clear" w:color="auto" w:fill="auto"/>
                  <w:vAlign w:val="center"/>
                </w:tcPr>
                <w:p w14:paraId="2D583B0B">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749.74</w:t>
                  </w:r>
                </w:p>
              </w:tc>
              <w:tc>
                <w:tcPr>
                  <w:tcW w:w="1119" w:type="dxa"/>
                  <w:shd w:val="clear" w:color="auto" w:fill="auto"/>
                  <w:vAlign w:val="center"/>
                </w:tcPr>
                <w:p w14:paraId="0C710564">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26.47</w:t>
                  </w:r>
                </w:p>
              </w:tc>
              <w:tc>
                <w:tcPr>
                  <w:tcW w:w="1119" w:type="dxa"/>
                  <w:shd w:val="clear" w:color="auto" w:fill="auto"/>
                  <w:vAlign w:val="center"/>
                </w:tcPr>
                <w:p w14:paraId="5E1DE8B8">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8.9</w:t>
                  </w:r>
                </w:p>
              </w:tc>
              <w:tc>
                <w:tcPr>
                  <w:tcW w:w="1119" w:type="dxa"/>
                  <w:shd w:val="clear" w:color="auto" w:fill="auto"/>
                  <w:vAlign w:val="center"/>
                </w:tcPr>
                <w:p w14:paraId="242F6308">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6672.69</w:t>
                  </w:r>
                </w:p>
              </w:tc>
              <w:tc>
                <w:tcPr>
                  <w:tcW w:w="1119" w:type="dxa"/>
                  <w:tcBorders>
                    <w:right w:val="nil"/>
                  </w:tcBorders>
                  <w:shd w:val="clear" w:color="auto" w:fill="auto"/>
                  <w:vAlign w:val="center"/>
                </w:tcPr>
                <w:p w14:paraId="00E4911F">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10.99</w:t>
                  </w:r>
                </w:p>
              </w:tc>
            </w:tr>
            <w:tr w14:paraId="269189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2D31DC88">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耕地</w:t>
                  </w:r>
                </w:p>
              </w:tc>
              <w:tc>
                <w:tcPr>
                  <w:tcW w:w="1120" w:type="dxa"/>
                  <w:shd w:val="clear" w:color="auto" w:fill="auto"/>
                  <w:vAlign w:val="center"/>
                </w:tcPr>
                <w:p w14:paraId="1F169CA9">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水稻、玉米</w:t>
                  </w:r>
                </w:p>
              </w:tc>
              <w:tc>
                <w:tcPr>
                  <w:tcW w:w="1119" w:type="dxa"/>
                  <w:shd w:val="clear" w:color="auto" w:fill="auto"/>
                  <w:vAlign w:val="center"/>
                </w:tcPr>
                <w:p w14:paraId="44AFBDCC">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285.76</w:t>
                  </w:r>
                </w:p>
              </w:tc>
              <w:tc>
                <w:tcPr>
                  <w:tcW w:w="1119" w:type="dxa"/>
                  <w:shd w:val="clear" w:color="auto" w:fill="auto"/>
                  <w:vAlign w:val="center"/>
                </w:tcPr>
                <w:p w14:paraId="36FFCD66">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10.09</w:t>
                  </w:r>
                </w:p>
              </w:tc>
              <w:tc>
                <w:tcPr>
                  <w:tcW w:w="1119" w:type="dxa"/>
                  <w:shd w:val="clear" w:color="auto" w:fill="auto"/>
                  <w:vAlign w:val="center"/>
                </w:tcPr>
                <w:p w14:paraId="4945CD04">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6.12</w:t>
                  </w:r>
                </w:p>
              </w:tc>
              <w:tc>
                <w:tcPr>
                  <w:tcW w:w="1119" w:type="dxa"/>
                  <w:shd w:val="clear" w:color="auto" w:fill="auto"/>
                  <w:vAlign w:val="center"/>
                </w:tcPr>
                <w:p w14:paraId="09B1938F">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1748.85</w:t>
                  </w:r>
                </w:p>
              </w:tc>
              <w:tc>
                <w:tcPr>
                  <w:tcW w:w="1119" w:type="dxa"/>
                  <w:tcBorders>
                    <w:right w:val="nil"/>
                  </w:tcBorders>
                  <w:shd w:val="clear" w:color="auto" w:fill="auto"/>
                  <w:vAlign w:val="center"/>
                </w:tcPr>
                <w:p w14:paraId="748D0CE7">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2.88</w:t>
                  </w:r>
                </w:p>
              </w:tc>
            </w:tr>
            <w:tr w14:paraId="20B903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2B44D78E">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水域</w:t>
                  </w:r>
                </w:p>
              </w:tc>
              <w:tc>
                <w:tcPr>
                  <w:tcW w:w="1120" w:type="dxa"/>
                  <w:shd w:val="clear" w:color="auto" w:fill="auto"/>
                  <w:vAlign w:val="center"/>
                </w:tcPr>
                <w:p w14:paraId="62886121">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藻类及水生植物</w:t>
                  </w:r>
                </w:p>
              </w:tc>
              <w:tc>
                <w:tcPr>
                  <w:tcW w:w="1119" w:type="dxa"/>
                  <w:shd w:val="clear" w:color="auto" w:fill="auto"/>
                  <w:vAlign w:val="center"/>
                </w:tcPr>
                <w:p w14:paraId="370A82AF">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6.96</w:t>
                  </w:r>
                </w:p>
              </w:tc>
              <w:tc>
                <w:tcPr>
                  <w:tcW w:w="1119" w:type="dxa"/>
                  <w:shd w:val="clear" w:color="auto" w:fill="auto"/>
                  <w:vAlign w:val="center"/>
                </w:tcPr>
                <w:p w14:paraId="0BA7DF2D">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0.25</w:t>
                  </w:r>
                </w:p>
              </w:tc>
              <w:tc>
                <w:tcPr>
                  <w:tcW w:w="1119" w:type="dxa"/>
                  <w:shd w:val="clear" w:color="auto" w:fill="auto"/>
                  <w:vAlign w:val="center"/>
                </w:tcPr>
                <w:p w14:paraId="63A5716F">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1.2</w:t>
                  </w:r>
                </w:p>
              </w:tc>
              <w:tc>
                <w:tcPr>
                  <w:tcW w:w="1119" w:type="dxa"/>
                  <w:shd w:val="clear" w:color="auto" w:fill="auto"/>
                  <w:vAlign w:val="center"/>
                </w:tcPr>
                <w:p w14:paraId="6A05B2FE">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8.35</w:t>
                  </w:r>
                </w:p>
              </w:tc>
              <w:tc>
                <w:tcPr>
                  <w:tcW w:w="1119" w:type="dxa"/>
                  <w:tcBorders>
                    <w:right w:val="nil"/>
                  </w:tcBorders>
                  <w:shd w:val="clear" w:color="auto" w:fill="auto"/>
                  <w:vAlign w:val="center"/>
                </w:tcPr>
                <w:p w14:paraId="21A101DC">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0.02</w:t>
                  </w:r>
                </w:p>
              </w:tc>
            </w:tr>
            <w:tr w14:paraId="2942BB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119" w:type="dxa"/>
                  <w:tcBorders>
                    <w:left w:val="nil"/>
                  </w:tcBorders>
                  <w:shd w:val="clear" w:color="auto" w:fill="auto"/>
                  <w:vAlign w:val="center"/>
                </w:tcPr>
                <w:p w14:paraId="5C36A964">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建筑用地</w:t>
                  </w:r>
                </w:p>
              </w:tc>
              <w:tc>
                <w:tcPr>
                  <w:tcW w:w="1120" w:type="dxa"/>
                  <w:shd w:val="clear" w:color="auto" w:fill="auto"/>
                  <w:vAlign w:val="center"/>
                </w:tcPr>
                <w:p w14:paraId="67C1A046">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shd w:val="clear" w:color="auto" w:fill="auto"/>
                  <w:vAlign w:val="center"/>
                </w:tcPr>
                <w:p w14:paraId="67A52FA5">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135.71</w:t>
                  </w:r>
                </w:p>
              </w:tc>
              <w:tc>
                <w:tcPr>
                  <w:tcW w:w="1119" w:type="dxa"/>
                  <w:shd w:val="clear" w:color="auto" w:fill="auto"/>
                  <w:vAlign w:val="center"/>
                </w:tcPr>
                <w:p w14:paraId="1642C615">
                  <w:pPr>
                    <w:widowControl/>
                    <w:jc w:val="center"/>
                    <w:rPr>
                      <w:rFonts w:hint="eastAsia"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4.79</w:t>
                  </w:r>
                </w:p>
              </w:tc>
              <w:tc>
                <w:tcPr>
                  <w:tcW w:w="1119" w:type="dxa"/>
                  <w:shd w:val="clear" w:color="auto" w:fill="auto"/>
                  <w:vAlign w:val="center"/>
                </w:tcPr>
                <w:p w14:paraId="0215FADF">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shd w:val="clear" w:color="auto" w:fill="auto"/>
                  <w:vAlign w:val="center"/>
                </w:tcPr>
                <w:p w14:paraId="08C9CFF2">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tcBorders>
                    <w:right w:val="nil"/>
                  </w:tcBorders>
                  <w:shd w:val="clear" w:color="auto" w:fill="auto"/>
                  <w:vAlign w:val="center"/>
                </w:tcPr>
                <w:p w14:paraId="5EDDE325">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r>
            <w:tr w14:paraId="350AD5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2239" w:type="dxa"/>
                  <w:gridSpan w:val="2"/>
                  <w:tcBorders>
                    <w:left w:val="nil"/>
                  </w:tcBorders>
                  <w:shd w:val="clear" w:color="auto" w:fill="auto"/>
                  <w:vAlign w:val="center"/>
                </w:tcPr>
                <w:p w14:paraId="5041D81F">
                  <w:pPr>
                    <w:widowControl/>
                    <w:jc w:val="center"/>
                    <w:rPr>
                      <w:rFonts w:ascii="宋体" w:hAnsi="宋体" w:cs="宋体"/>
                      <w:b w:val="0"/>
                      <w:bCs w:val="0"/>
                      <w:color w:val="FF0000"/>
                      <w:kern w:val="0"/>
                      <w:sz w:val="18"/>
                      <w:szCs w:val="18"/>
                      <w:u w:val="none"/>
                    </w:rPr>
                  </w:pPr>
                  <w:r>
                    <w:rPr>
                      <w:rFonts w:hint="eastAsia" w:ascii="宋体" w:hAnsi="宋体" w:cs="宋体"/>
                      <w:b w:val="0"/>
                      <w:bCs w:val="0"/>
                      <w:color w:val="FF0000"/>
                      <w:kern w:val="0"/>
                      <w:sz w:val="18"/>
                      <w:szCs w:val="18"/>
                      <w:u w:val="none"/>
                    </w:rPr>
                    <w:t>合</w:t>
                  </w:r>
                  <w:r>
                    <w:rPr>
                      <w:b w:val="0"/>
                      <w:bCs w:val="0"/>
                      <w:color w:val="FF0000"/>
                      <w:kern w:val="0"/>
                      <w:sz w:val="18"/>
                      <w:szCs w:val="18"/>
                      <w:u w:val="none"/>
                    </w:rPr>
                    <w:t xml:space="preserve">  </w:t>
                  </w:r>
                  <w:r>
                    <w:rPr>
                      <w:rFonts w:hint="eastAsia" w:ascii="宋体" w:hAnsi="宋体" w:cs="宋体"/>
                      <w:b w:val="0"/>
                      <w:bCs w:val="0"/>
                      <w:color w:val="FF0000"/>
                      <w:kern w:val="0"/>
                      <w:sz w:val="18"/>
                      <w:szCs w:val="18"/>
                      <w:u w:val="none"/>
                    </w:rPr>
                    <w:t>计</w:t>
                  </w:r>
                </w:p>
              </w:tc>
              <w:tc>
                <w:tcPr>
                  <w:tcW w:w="1119" w:type="dxa"/>
                  <w:shd w:val="clear" w:color="auto" w:fill="auto"/>
                  <w:vAlign w:val="center"/>
                </w:tcPr>
                <w:p w14:paraId="60569FAE">
                  <w:pPr>
                    <w:widowControl/>
                    <w:jc w:val="center"/>
                    <w:rPr>
                      <w:rFonts w:hint="eastAsia" w:eastAsia="等线"/>
                      <w:b w:val="0"/>
                      <w:bCs w:val="0"/>
                      <w:color w:val="FF0000"/>
                      <w:kern w:val="0"/>
                      <w:sz w:val="18"/>
                      <w:szCs w:val="18"/>
                      <w:u w:val="none"/>
                      <w:lang w:val="en-US" w:eastAsia="zh-CN"/>
                    </w:rPr>
                  </w:pPr>
                  <w:r>
                    <w:rPr>
                      <w:rFonts w:eastAsia="等线"/>
                      <w:b w:val="0"/>
                      <w:bCs w:val="0"/>
                      <w:color w:val="FF0000"/>
                      <w:kern w:val="0"/>
                      <w:sz w:val="18"/>
                      <w:szCs w:val="18"/>
                      <w:u w:val="none"/>
                    </w:rPr>
                    <w:t>96</w:t>
                  </w:r>
                  <w:r>
                    <w:rPr>
                      <w:rFonts w:hint="eastAsia" w:eastAsia="等线"/>
                      <w:b w:val="0"/>
                      <w:bCs w:val="0"/>
                      <w:color w:val="FF0000"/>
                      <w:kern w:val="0"/>
                      <w:sz w:val="18"/>
                      <w:szCs w:val="18"/>
                      <w:u w:val="none"/>
                      <w:lang w:val="en-US" w:eastAsia="zh-CN"/>
                    </w:rPr>
                    <w:t>.</w:t>
                  </w:r>
                  <w:r>
                    <w:rPr>
                      <w:rFonts w:eastAsia="等线"/>
                      <w:b w:val="0"/>
                      <w:bCs w:val="0"/>
                      <w:color w:val="FF0000"/>
                      <w:kern w:val="0"/>
                      <w:sz w:val="18"/>
                      <w:szCs w:val="18"/>
                      <w:u w:val="none"/>
                    </w:rPr>
                    <w:t>7</w:t>
                  </w:r>
                  <w:r>
                    <w:rPr>
                      <w:rFonts w:hint="eastAsia" w:eastAsia="等线"/>
                      <w:b w:val="0"/>
                      <w:bCs w:val="0"/>
                      <w:color w:val="FF0000"/>
                      <w:kern w:val="0"/>
                      <w:sz w:val="18"/>
                      <w:szCs w:val="18"/>
                      <w:u w:val="none"/>
                      <w:lang w:val="en-US" w:eastAsia="zh-CN"/>
                    </w:rPr>
                    <w:t>5</w:t>
                  </w:r>
                </w:p>
              </w:tc>
              <w:tc>
                <w:tcPr>
                  <w:tcW w:w="1119" w:type="dxa"/>
                  <w:shd w:val="clear" w:color="auto" w:fill="auto"/>
                  <w:vAlign w:val="center"/>
                </w:tcPr>
                <w:p w14:paraId="5D358241">
                  <w:pPr>
                    <w:widowControl/>
                    <w:jc w:val="center"/>
                    <w:rPr>
                      <w:rFonts w:eastAsia="等线"/>
                      <w:b w:val="0"/>
                      <w:bCs w:val="0"/>
                      <w:color w:val="FF0000"/>
                      <w:kern w:val="0"/>
                      <w:sz w:val="18"/>
                      <w:szCs w:val="18"/>
                      <w:u w:val="none"/>
                    </w:rPr>
                  </w:pPr>
                  <w:r>
                    <w:rPr>
                      <w:rFonts w:eastAsia="等线"/>
                      <w:b w:val="0"/>
                      <w:bCs w:val="0"/>
                      <w:color w:val="FF0000"/>
                      <w:kern w:val="0"/>
                      <w:sz w:val="18"/>
                      <w:szCs w:val="18"/>
                      <w:u w:val="none"/>
                    </w:rPr>
                    <w:t>100%</w:t>
                  </w:r>
                </w:p>
              </w:tc>
              <w:tc>
                <w:tcPr>
                  <w:tcW w:w="1119" w:type="dxa"/>
                  <w:shd w:val="clear" w:color="auto" w:fill="auto"/>
                  <w:vAlign w:val="center"/>
                </w:tcPr>
                <w:p w14:paraId="058232B9">
                  <w:pPr>
                    <w:widowControl/>
                    <w:jc w:val="center"/>
                    <w:rPr>
                      <w:rFonts w:hint="eastAsia" w:eastAsia="等线"/>
                      <w:b w:val="0"/>
                      <w:bCs w:val="0"/>
                      <w:color w:val="FF0000"/>
                      <w:kern w:val="0"/>
                      <w:sz w:val="18"/>
                      <w:szCs w:val="18"/>
                      <w:u w:val="none"/>
                      <w:lang w:eastAsia="zh-CN"/>
                    </w:rPr>
                  </w:pPr>
                  <w:r>
                    <w:rPr>
                      <w:rFonts w:hint="eastAsia" w:eastAsia="等线"/>
                      <w:b w:val="0"/>
                      <w:bCs w:val="0"/>
                      <w:color w:val="FF0000"/>
                      <w:kern w:val="0"/>
                      <w:sz w:val="18"/>
                      <w:szCs w:val="18"/>
                      <w:u w:val="none"/>
                      <w:lang w:val="en-US" w:eastAsia="zh-CN"/>
                    </w:rPr>
                    <w:t>/</w:t>
                  </w:r>
                </w:p>
              </w:tc>
              <w:tc>
                <w:tcPr>
                  <w:tcW w:w="1119" w:type="dxa"/>
                  <w:shd w:val="clear" w:color="auto" w:fill="auto"/>
                  <w:vAlign w:val="center"/>
                </w:tcPr>
                <w:p w14:paraId="6E885513">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60699.34</w:t>
                  </w:r>
                </w:p>
              </w:tc>
              <w:tc>
                <w:tcPr>
                  <w:tcW w:w="1119" w:type="dxa"/>
                  <w:tcBorders>
                    <w:right w:val="nil"/>
                  </w:tcBorders>
                  <w:shd w:val="clear" w:color="auto" w:fill="auto"/>
                  <w:vAlign w:val="center"/>
                </w:tcPr>
                <w:p w14:paraId="335C8EDD">
                  <w:pPr>
                    <w:widowControl/>
                    <w:jc w:val="center"/>
                    <w:rPr>
                      <w:rFonts w:hint="default" w:eastAsia="等线"/>
                      <w:b w:val="0"/>
                      <w:bCs w:val="0"/>
                      <w:color w:val="FF0000"/>
                      <w:kern w:val="0"/>
                      <w:sz w:val="18"/>
                      <w:szCs w:val="18"/>
                      <w:u w:val="none"/>
                      <w:lang w:val="en-US" w:eastAsia="zh-CN"/>
                    </w:rPr>
                  </w:pPr>
                  <w:r>
                    <w:rPr>
                      <w:rFonts w:hint="eastAsia" w:eastAsia="等线"/>
                      <w:b w:val="0"/>
                      <w:bCs w:val="0"/>
                      <w:color w:val="FF0000"/>
                      <w:kern w:val="0"/>
                      <w:sz w:val="18"/>
                      <w:szCs w:val="18"/>
                      <w:u w:val="none"/>
                      <w:lang w:val="en-US" w:eastAsia="zh-CN"/>
                    </w:rPr>
                    <w:t>100%</w:t>
                  </w:r>
                </w:p>
              </w:tc>
            </w:tr>
          </w:tbl>
          <w:p w14:paraId="4D2107D9">
            <w:pPr>
              <w:jc w:val="left"/>
              <w:rPr>
                <w:b/>
                <w:u w:val="none"/>
              </w:rPr>
            </w:pPr>
            <w:r>
              <w:rPr>
                <w:u w:val="none"/>
              </w:rPr>
              <w:t>*</w:t>
            </w:r>
            <w:r>
              <w:rPr>
                <w:sz w:val="18"/>
                <w:szCs w:val="18"/>
                <w:u w:val="none"/>
                <w:lang w:bidi="ar"/>
              </w:rPr>
              <w:t>注：各植被类型平均生物量数据来源于：</w:t>
            </w:r>
            <w:r>
              <w:rPr>
                <w:sz w:val="18"/>
                <w:szCs w:val="18"/>
                <w:u w:val="none"/>
                <w:lang w:bidi="ar"/>
              </w:rPr>
              <w:fldChar w:fldCharType="begin"/>
            </w:r>
            <w:r>
              <w:rPr>
                <w:sz w:val="18"/>
                <w:szCs w:val="18"/>
                <w:u w:val="none"/>
                <w:lang w:bidi="ar"/>
              </w:rPr>
              <w:instrText xml:space="preserve"> = 1 \* GB3 </w:instrText>
            </w:r>
            <w:r>
              <w:rPr>
                <w:sz w:val="18"/>
                <w:szCs w:val="18"/>
                <w:u w:val="none"/>
                <w:lang w:bidi="ar"/>
              </w:rPr>
              <w:fldChar w:fldCharType="separate"/>
            </w:r>
            <w:r>
              <w:rPr>
                <w:rFonts w:hint="eastAsia" w:ascii="宋体" w:hAnsi="宋体" w:cs="宋体"/>
                <w:sz w:val="18"/>
                <w:szCs w:val="18"/>
                <w:u w:val="none"/>
                <w:lang w:bidi="ar"/>
              </w:rPr>
              <w:t>①</w:t>
            </w:r>
            <w:r>
              <w:rPr>
                <w:sz w:val="18"/>
                <w:szCs w:val="18"/>
                <w:u w:val="none"/>
                <w:lang w:bidi="ar"/>
              </w:rPr>
              <w:fldChar w:fldCharType="end"/>
            </w:r>
            <w:r>
              <w:rPr>
                <w:sz w:val="18"/>
                <w:szCs w:val="18"/>
                <w:u w:val="none"/>
                <w:lang w:bidi="ar"/>
              </w:rPr>
              <w:t>《我国森林植被的生物量和净生产量》（方精云等，1996）；</w:t>
            </w:r>
            <w:r>
              <w:rPr>
                <w:sz w:val="18"/>
                <w:szCs w:val="18"/>
                <w:u w:val="none"/>
                <w:lang w:bidi="ar"/>
              </w:rPr>
              <w:fldChar w:fldCharType="begin"/>
            </w:r>
            <w:r>
              <w:rPr>
                <w:sz w:val="18"/>
                <w:szCs w:val="18"/>
                <w:u w:val="none"/>
                <w:lang w:bidi="ar"/>
              </w:rPr>
              <w:instrText xml:space="preserve"> = 2 \* GB3 </w:instrText>
            </w:r>
            <w:r>
              <w:rPr>
                <w:sz w:val="18"/>
                <w:szCs w:val="18"/>
                <w:u w:val="none"/>
                <w:lang w:bidi="ar"/>
              </w:rPr>
              <w:fldChar w:fldCharType="separate"/>
            </w:r>
            <w:r>
              <w:rPr>
                <w:rFonts w:hint="eastAsia" w:ascii="宋体" w:hAnsi="宋体" w:cs="宋体"/>
                <w:sz w:val="18"/>
                <w:szCs w:val="18"/>
                <w:u w:val="none"/>
                <w:lang w:bidi="ar"/>
              </w:rPr>
              <w:t>②</w:t>
            </w:r>
            <w:r>
              <w:rPr>
                <w:sz w:val="18"/>
                <w:szCs w:val="18"/>
                <w:u w:val="none"/>
                <w:lang w:bidi="ar"/>
              </w:rPr>
              <w:fldChar w:fldCharType="end"/>
            </w:r>
            <w:r>
              <w:rPr>
                <w:sz w:val="18"/>
                <w:szCs w:val="18"/>
                <w:u w:val="none"/>
                <w:lang w:bidi="ar"/>
              </w:rPr>
              <w:t>《中国森林生态系统的生物量和生产力》（冯宗炜 等，1999）；</w:t>
            </w:r>
            <w:r>
              <w:rPr>
                <w:sz w:val="18"/>
                <w:szCs w:val="18"/>
                <w:u w:val="none"/>
                <w:lang w:bidi="ar"/>
              </w:rPr>
              <w:fldChar w:fldCharType="begin"/>
            </w:r>
            <w:r>
              <w:rPr>
                <w:sz w:val="18"/>
                <w:szCs w:val="18"/>
                <w:u w:val="none"/>
                <w:lang w:bidi="ar"/>
              </w:rPr>
              <w:instrText xml:space="preserve"> = 3 \* GB3 </w:instrText>
            </w:r>
            <w:r>
              <w:rPr>
                <w:sz w:val="18"/>
                <w:szCs w:val="18"/>
                <w:u w:val="none"/>
                <w:lang w:bidi="ar"/>
              </w:rPr>
              <w:fldChar w:fldCharType="separate"/>
            </w:r>
            <w:r>
              <w:rPr>
                <w:rFonts w:hint="eastAsia" w:ascii="宋体" w:hAnsi="宋体" w:cs="宋体"/>
                <w:sz w:val="18"/>
                <w:szCs w:val="18"/>
                <w:u w:val="none"/>
                <w:lang w:bidi="ar"/>
              </w:rPr>
              <w:t>③</w:t>
            </w:r>
            <w:r>
              <w:rPr>
                <w:sz w:val="18"/>
                <w:szCs w:val="18"/>
                <w:u w:val="none"/>
                <w:lang w:bidi="ar"/>
              </w:rPr>
              <w:fldChar w:fldCharType="end"/>
            </w:r>
            <w:r>
              <w:rPr>
                <w:sz w:val="18"/>
                <w:szCs w:val="18"/>
                <w:u w:val="none"/>
                <w:lang w:bidi="ar"/>
              </w:rPr>
              <w:t>《中国森林生物量与生产力的研究》（肖兴威，2005）；</w:t>
            </w:r>
            <w:r>
              <w:rPr>
                <w:sz w:val="18"/>
                <w:szCs w:val="18"/>
                <w:u w:val="none"/>
                <w:lang w:bidi="ar"/>
              </w:rPr>
              <w:fldChar w:fldCharType="begin"/>
            </w:r>
            <w:r>
              <w:rPr>
                <w:sz w:val="18"/>
                <w:szCs w:val="18"/>
                <w:u w:val="none"/>
                <w:lang w:bidi="ar"/>
              </w:rPr>
              <w:instrText xml:space="preserve"> = 4 \* GB3 </w:instrText>
            </w:r>
            <w:r>
              <w:rPr>
                <w:sz w:val="18"/>
                <w:szCs w:val="18"/>
                <w:u w:val="none"/>
                <w:lang w:bidi="ar"/>
              </w:rPr>
              <w:fldChar w:fldCharType="separate"/>
            </w:r>
            <w:r>
              <w:rPr>
                <w:rFonts w:hint="eastAsia" w:ascii="宋体" w:hAnsi="宋体" w:cs="宋体"/>
                <w:sz w:val="18"/>
                <w:szCs w:val="18"/>
                <w:u w:val="none"/>
                <w:lang w:bidi="ar"/>
              </w:rPr>
              <w:t>④</w:t>
            </w:r>
            <w:r>
              <w:rPr>
                <w:sz w:val="18"/>
                <w:szCs w:val="18"/>
                <w:u w:val="none"/>
                <w:lang w:bidi="ar"/>
              </w:rPr>
              <w:fldChar w:fldCharType="end"/>
            </w:r>
            <w:r>
              <w:rPr>
                <w:sz w:val="18"/>
                <w:szCs w:val="18"/>
                <w:u w:val="none"/>
                <w:lang w:bidi="ar"/>
              </w:rPr>
              <w:t>《中国森林植被净生产量及平均生产力动态变化分析》（林业科学研究，2014）；</w:t>
            </w:r>
            <w:r>
              <w:rPr>
                <w:sz w:val="18"/>
                <w:szCs w:val="18"/>
                <w:u w:val="none"/>
                <w:lang w:bidi="ar"/>
              </w:rPr>
              <w:fldChar w:fldCharType="begin"/>
            </w:r>
            <w:r>
              <w:rPr>
                <w:sz w:val="18"/>
                <w:szCs w:val="18"/>
                <w:u w:val="none"/>
                <w:lang w:bidi="ar"/>
              </w:rPr>
              <w:instrText xml:space="preserve"> = 5 \* GB3 </w:instrText>
            </w:r>
            <w:r>
              <w:rPr>
                <w:sz w:val="18"/>
                <w:szCs w:val="18"/>
                <w:u w:val="none"/>
                <w:lang w:bidi="ar"/>
              </w:rPr>
              <w:fldChar w:fldCharType="separate"/>
            </w:r>
            <w:r>
              <w:rPr>
                <w:rFonts w:hint="eastAsia" w:ascii="宋体" w:hAnsi="宋体" w:cs="宋体"/>
                <w:sz w:val="18"/>
                <w:szCs w:val="18"/>
                <w:u w:val="none"/>
                <w:lang w:bidi="ar"/>
              </w:rPr>
              <w:t>⑤</w:t>
            </w:r>
            <w:r>
              <w:rPr>
                <w:sz w:val="18"/>
                <w:szCs w:val="18"/>
                <w:u w:val="none"/>
                <w:lang w:bidi="ar"/>
              </w:rPr>
              <w:fldChar w:fldCharType="end"/>
            </w:r>
            <w:r>
              <w:rPr>
                <w:sz w:val="18"/>
                <w:szCs w:val="18"/>
                <w:u w:val="none"/>
                <w:lang w:bidi="ar"/>
              </w:rPr>
              <w:t>《中国不同植被类型净初级生产力变化特征》（陈雅敏等，2012）等文献</w:t>
            </w:r>
            <w:r>
              <w:rPr>
                <w:rFonts w:hint="eastAsia"/>
                <w:sz w:val="18"/>
                <w:szCs w:val="18"/>
                <w:u w:val="none"/>
                <w:lang w:bidi="ar"/>
              </w:rPr>
              <w:t>，根据项目区实际情况适当调整</w:t>
            </w:r>
            <w:r>
              <w:rPr>
                <w:sz w:val="18"/>
                <w:szCs w:val="18"/>
                <w:u w:val="none"/>
                <w:lang w:bidi="ar"/>
              </w:rPr>
              <w:t>。</w:t>
            </w:r>
          </w:p>
          <w:p w14:paraId="749EF682">
            <w:pPr>
              <w:adjustRightInd w:val="0"/>
              <w:snapToGrid w:val="0"/>
              <w:spacing w:line="470" w:lineRule="exact"/>
              <w:ind w:firstLine="480"/>
              <w:rPr>
                <w:rFonts w:hint="default" w:eastAsia="宋体"/>
                <w:bCs/>
                <w:color w:val="FF0000"/>
                <w:sz w:val="24"/>
                <w:u w:val="none"/>
                <w:lang w:val="en-US" w:eastAsia="zh-CN"/>
              </w:rPr>
            </w:pPr>
            <w:r>
              <w:rPr>
                <w:bCs/>
                <w:color w:val="FF0000"/>
                <w:sz w:val="24"/>
                <w:u w:val="none"/>
              </w:rPr>
              <w:t>对区域自然体系生态完整性的影响是由工程占地引起的，</w:t>
            </w:r>
            <w:r>
              <w:rPr>
                <w:rFonts w:hint="eastAsia"/>
                <w:bCs/>
                <w:color w:val="FF0000"/>
                <w:sz w:val="24"/>
                <w:u w:val="none"/>
                <w:lang w:val="en-US" w:eastAsia="zh-CN"/>
              </w:rPr>
              <w:t>项目建设总占地面积为38.79</w:t>
            </w:r>
            <w:r>
              <w:rPr>
                <w:bCs/>
                <w:color w:val="FF0000"/>
                <w:sz w:val="24"/>
                <w:u w:val="none"/>
              </w:rPr>
              <w:t>hm</w:t>
            </w:r>
            <w:r>
              <w:rPr>
                <w:bCs/>
                <w:color w:val="FF0000"/>
                <w:sz w:val="24"/>
                <w:u w:val="none"/>
                <w:vertAlign w:val="superscript"/>
              </w:rPr>
              <w:t>2</w:t>
            </w:r>
            <w:r>
              <w:rPr>
                <w:rFonts w:hint="eastAsia"/>
                <w:bCs/>
                <w:color w:val="FF0000"/>
                <w:sz w:val="24"/>
                <w:u w:val="none"/>
                <w:lang w:eastAsia="zh-CN"/>
              </w:rPr>
              <w:t>（</w:t>
            </w:r>
            <w:r>
              <w:rPr>
                <w:bCs/>
                <w:color w:val="FF0000"/>
                <w:sz w:val="24"/>
                <w:u w:val="none"/>
              </w:rPr>
              <w:t>其中永久</w:t>
            </w:r>
            <w:r>
              <w:rPr>
                <w:rFonts w:hint="eastAsia"/>
                <w:bCs/>
                <w:color w:val="FF0000"/>
                <w:sz w:val="24"/>
                <w:u w:val="none"/>
                <w:lang w:val="en-US" w:eastAsia="zh-CN"/>
              </w:rPr>
              <w:t>1.46</w:t>
            </w:r>
            <w:r>
              <w:rPr>
                <w:bCs/>
                <w:color w:val="FF0000"/>
                <w:sz w:val="24"/>
                <w:u w:val="none"/>
              </w:rPr>
              <w:t>hm</w:t>
            </w:r>
            <w:r>
              <w:rPr>
                <w:bCs/>
                <w:color w:val="FF0000"/>
                <w:sz w:val="24"/>
                <w:u w:val="none"/>
                <w:vertAlign w:val="superscript"/>
              </w:rPr>
              <w:t>2</w:t>
            </w:r>
            <w:r>
              <w:rPr>
                <w:bCs/>
                <w:color w:val="FF0000"/>
                <w:sz w:val="24"/>
                <w:u w:val="none"/>
              </w:rPr>
              <w:t>，临时</w:t>
            </w:r>
            <w:r>
              <w:rPr>
                <w:rFonts w:hint="eastAsia"/>
                <w:bCs/>
                <w:color w:val="FF0000"/>
                <w:sz w:val="24"/>
                <w:u w:val="none"/>
                <w:lang w:val="en-US" w:eastAsia="zh-CN"/>
              </w:rPr>
              <w:t>37.33</w:t>
            </w:r>
            <w:r>
              <w:rPr>
                <w:bCs/>
                <w:color w:val="FF0000"/>
                <w:sz w:val="24"/>
                <w:u w:val="none"/>
              </w:rPr>
              <w:t>hm</w:t>
            </w:r>
            <w:r>
              <w:rPr>
                <w:bCs/>
                <w:color w:val="FF0000"/>
                <w:sz w:val="24"/>
                <w:u w:val="none"/>
                <w:vertAlign w:val="superscript"/>
              </w:rPr>
              <w:t>2</w:t>
            </w:r>
            <w:r>
              <w:rPr>
                <w:bCs/>
                <w:color w:val="FF0000"/>
                <w:sz w:val="24"/>
                <w:u w:val="none"/>
              </w:rPr>
              <w:t>）</w:t>
            </w:r>
            <w:r>
              <w:rPr>
                <w:rFonts w:hint="eastAsia"/>
                <w:bCs/>
                <w:color w:val="FF0000"/>
                <w:sz w:val="24"/>
                <w:u w:val="none"/>
                <w:lang w:eastAsia="zh-CN"/>
              </w:rPr>
              <w:t>，</w:t>
            </w:r>
            <w:r>
              <w:rPr>
                <w:rFonts w:hint="eastAsia"/>
                <w:bCs/>
                <w:color w:val="FF0000"/>
                <w:sz w:val="24"/>
                <w:u w:val="none"/>
                <w:lang w:val="en-US" w:eastAsia="zh-CN"/>
              </w:rPr>
              <w:t>主要占用林地13.68hm</w:t>
            </w:r>
            <w:r>
              <w:rPr>
                <w:rFonts w:hint="eastAsia"/>
                <w:bCs/>
                <w:color w:val="FF0000"/>
                <w:sz w:val="24"/>
                <w:u w:val="none"/>
                <w:vertAlign w:val="superscript"/>
                <w:lang w:val="en-US" w:eastAsia="zh-CN"/>
              </w:rPr>
              <w:t>2</w:t>
            </w:r>
            <w:r>
              <w:rPr>
                <w:rFonts w:hint="eastAsia"/>
                <w:bCs/>
                <w:color w:val="FF0000"/>
                <w:sz w:val="24"/>
                <w:u w:val="none"/>
                <w:lang w:val="en-US" w:eastAsia="zh-CN"/>
              </w:rPr>
              <w:t>和灌草地25.11hm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。经计算，项目建设造成的生物量总损失为：25.11hm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×31.59t/hm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+13.68hm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×8.9t/hm</w:t>
            </w:r>
            <w:r>
              <w:rPr>
                <w:rFonts w:hint="eastAsia"/>
                <w:bCs/>
                <w:color w:val="FF0000"/>
                <w:sz w:val="24"/>
                <w:u w:val="none"/>
                <w:vertAlign w:val="superscript"/>
                <w:lang w:val="en-US" w:eastAsia="zh-CN"/>
              </w:rPr>
              <w:t>2</w:t>
            </w:r>
            <w:r>
              <w:rPr>
                <w:rFonts w:hint="eastAsia"/>
                <w:bCs/>
                <w:color w:val="FF0000"/>
                <w:sz w:val="24"/>
                <w:u w:val="none"/>
                <w:vertAlign w:val="baseline"/>
                <w:lang w:val="en-US" w:eastAsia="zh-CN"/>
              </w:rPr>
              <w:t>=914.98t，占评价区总生物量的1.51%</w:t>
            </w:r>
            <w:r>
              <w:rPr>
                <w:rFonts w:hint="eastAsia"/>
                <w:bCs/>
                <w:color w:val="FF0000"/>
                <w:sz w:val="24"/>
                <w:u w:val="none"/>
              </w:rPr>
              <w:t>，其中</w:t>
            </w:r>
            <w:r>
              <w:rPr>
                <w:bCs/>
                <w:color w:val="FF0000"/>
                <w:sz w:val="24"/>
                <w:u w:val="none"/>
              </w:rPr>
              <w:t>临时占地区在区域内工程建设完成后尽快进行植被恢复，</w:t>
            </w:r>
            <w:r>
              <w:rPr>
                <w:rFonts w:hint="eastAsia"/>
                <w:bCs/>
                <w:color w:val="FF0000"/>
                <w:sz w:val="24"/>
                <w:u w:val="none"/>
              </w:rPr>
              <w:t>可</w:t>
            </w:r>
            <w:r>
              <w:rPr>
                <w:bCs/>
                <w:color w:val="FF0000"/>
                <w:sz w:val="24"/>
                <w:u w:val="none"/>
              </w:rPr>
              <w:t>缓解生物量的损失。</w:t>
            </w:r>
            <w:r>
              <w:rPr>
                <w:rFonts w:hint="eastAsia"/>
                <w:bCs/>
                <w:color w:val="FF0000"/>
                <w:sz w:val="24"/>
                <w:u w:val="none"/>
                <w:lang w:val="en-US" w:eastAsia="zh-CN"/>
              </w:rPr>
              <w:t>具体见表3-5。</w:t>
            </w:r>
          </w:p>
          <w:p w14:paraId="73AD4C00">
            <w:pPr>
              <w:adjustRightInd w:val="0"/>
              <w:snapToGrid w:val="0"/>
              <w:spacing w:line="470" w:lineRule="exact"/>
              <w:ind w:firstLine="482"/>
              <w:jc w:val="center"/>
              <w:rPr>
                <w:bCs/>
                <w:color w:val="FF0000"/>
                <w:u w:val="none"/>
              </w:rPr>
            </w:pPr>
            <w:r>
              <w:rPr>
                <w:rFonts w:hint="eastAsia"/>
                <w:b/>
                <w:bCs/>
                <w:color w:val="FF0000"/>
                <w:szCs w:val="21"/>
                <w:u w:val="none"/>
              </w:rPr>
              <w:t>表</w:t>
            </w:r>
            <w:r>
              <w:rPr>
                <w:rFonts w:hint="eastAsia"/>
                <w:b/>
                <w:bCs/>
                <w:color w:val="FF0000"/>
                <w:szCs w:val="21"/>
                <w:u w:val="none"/>
                <w:lang w:val="en-US" w:eastAsia="zh-CN"/>
              </w:rPr>
              <w:t xml:space="preserve">3-5  </w:t>
            </w:r>
            <w:r>
              <w:rPr>
                <w:rFonts w:hint="eastAsia"/>
                <w:b/>
                <w:bCs/>
                <w:color w:val="FF0000"/>
                <w:szCs w:val="21"/>
                <w:u w:val="none"/>
              </w:rPr>
              <w:t>项目</w:t>
            </w:r>
            <w:r>
              <w:rPr>
                <w:b/>
                <w:bCs/>
                <w:color w:val="FF0000"/>
                <w:szCs w:val="21"/>
                <w:u w:val="none"/>
              </w:rPr>
              <w:t>建设后评价区生物量变化统计表</w:t>
            </w:r>
          </w:p>
          <w:tbl>
            <w:tblPr>
              <w:tblStyle w:val="32"/>
              <w:tblW w:w="7956" w:type="dxa"/>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91"/>
              <w:gridCol w:w="1592"/>
              <w:gridCol w:w="1591"/>
              <w:gridCol w:w="1591"/>
              <w:gridCol w:w="1591"/>
            </w:tblGrid>
            <w:tr w14:paraId="34D9FD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3183" w:type="dxa"/>
                  <w:gridSpan w:val="2"/>
                  <w:tcBorders>
                    <w:left w:val="nil"/>
                  </w:tcBorders>
                  <w:shd w:val="clear" w:color="auto" w:fill="auto"/>
                  <w:vAlign w:val="center"/>
                </w:tcPr>
                <w:p w14:paraId="3C831936">
                  <w:pPr>
                    <w:widowControl/>
                    <w:jc w:val="center"/>
                    <w:rPr>
                      <w:rFonts w:hint="eastAsia" w:ascii="宋体" w:hAnsi="宋体" w:cs="宋体"/>
                      <w:b w:val="0"/>
                      <w:bCs w:val="0"/>
                      <w:color w:val="FF0000"/>
                      <w:kern w:val="0"/>
                      <w:szCs w:val="21"/>
                      <w:u w:val="none"/>
                    </w:rPr>
                  </w:pPr>
                  <w:r>
                    <w:rPr>
                      <w:rFonts w:hint="eastAsia" w:ascii="宋体" w:hAnsi="宋体" w:cs="宋体"/>
                      <w:b w:val="0"/>
                      <w:bCs w:val="0"/>
                      <w:color w:val="FF0000"/>
                      <w:kern w:val="0"/>
                      <w:szCs w:val="21"/>
                      <w:u w:val="none"/>
                    </w:rPr>
                    <w:t>生态类型变化</w:t>
                  </w:r>
                </w:p>
              </w:tc>
              <w:tc>
                <w:tcPr>
                  <w:tcW w:w="1591" w:type="dxa"/>
                  <w:vMerge w:val="restart"/>
                  <w:vAlign w:val="center"/>
                </w:tcPr>
                <w:p w14:paraId="3562A923">
                  <w:pPr>
                    <w:widowControl/>
                    <w:jc w:val="center"/>
                    <w:rPr>
                      <w:rFonts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平均生物量</w:t>
                  </w:r>
                  <w:r>
                    <w:rPr>
                      <w:b w:val="0"/>
                      <w:bCs w:val="0"/>
                      <w:color w:val="FF0000"/>
                      <w:kern w:val="0"/>
                      <w:szCs w:val="21"/>
                      <w:u w:val="none"/>
                    </w:rPr>
                    <w:t>(t/hm</w:t>
                  </w:r>
                  <w:r>
                    <w:rPr>
                      <w:b w:val="0"/>
                      <w:bCs w:val="0"/>
                      <w:color w:val="FF0000"/>
                      <w:kern w:val="0"/>
                      <w:szCs w:val="21"/>
                      <w:u w:val="none"/>
                      <w:vertAlign w:val="superscript"/>
                    </w:rPr>
                    <w:t>2</w:t>
                  </w:r>
                  <w:r>
                    <w:rPr>
                      <w:b w:val="0"/>
                      <w:bCs w:val="0"/>
                      <w:color w:val="FF0000"/>
                      <w:kern w:val="0"/>
                      <w:szCs w:val="21"/>
                      <w:u w:val="none"/>
                    </w:rPr>
                    <w:t>)</w:t>
                  </w:r>
                </w:p>
              </w:tc>
              <w:tc>
                <w:tcPr>
                  <w:tcW w:w="1591" w:type="dxa"/>
                  <w:vMerge w:val="restart"/>
                  <w:vAlign w:val="center"/>
                </w:tcPr>
                <w:p w14:paraId="446150F6">
                  <w:pPr>
                    <w:widowControl/>
                    <w:jc w:val="center"/>
                    <w:rPr>
                      <w:rFonts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生物量变化</w:t>
                  </w:r>
                  <w:r>
                    <w:rPr>
                      <w:b w:val="0"/>
                      <w:bCs w:val="0"/>
                      <w:color w:val="FF0000"/>
                      <w:kern w:val="0"/>
                      <w:szCs w:val="21"/>
                      <w:u w:val="none"/>
                    </w:rPr>
                    <w:t>(t)</w:t>
                  </w:r>
                </w:p>
              </w:tc>
              <w:tc>
                <w:tcPr>
                  <w:tcW w:w="1591" w:type="dxa"/>
                  <w:vMerge w:val="restart"/>
                  <w:tcBorders>
                    <w:right w:val="nil"/>
                  </w:tcBorders>
                  <w:vAlign w:val="center"/>
                </w:tcPr>
                <w:p w14:paraId="76FA2BCE">
                  <w:pPr>
                    <w:widowControl/>
                    <w:jc w:val="center"/>
                    <w:rPr>
                      <w:rFonts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占总生物量</w:t>
                  </w:r>
                  <w:r>
                    <w:rPr>
                      <w:rFonts w:hint="eastAsia" w:ascii="宋体" w:hAnsi="宋体" w:cs="宋体"/>
                      <w:b w:val="0"/>
                      <w:bCs w:val="0"/>
                      <w:color w:val="FF0000"/>
                      <w:kern w:val="0"/>
                      <w:szCs w:val="21"/>
                      <w:u w:val="none"/>
                      <w:lang w:val="en-US" w:eastAsia="zh-CN"/>
                    </w:rPr>
                    <w:t>变化的比值</w:t>
                  </w:r>
                  <w:r>
                    <w:rPr>
                      <w:b w:val="0"/>
                      <w:bCs w:val="0"/>
                      <w:color w:val="FF0000"/>
                      <w:kern w:val="0"/>
                      <w:szCs w:val="21"/>
                      <w:u w:val="none"/>
                    </w:rPr>
                    <w:t>(%)</w:t>
                  </w:r>
                </w:p>
              </w:tc>
            </w:tr>
            <w:tr w14:paraId="21456F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4B85F541">
                  <w:pPr>
                    <w:widowControl/>
                    <w:jc w:val="center"/>
                    <w:rPr>
                      <w:rFonts w:hint="eastAsia"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类型</w:t>
                  </w:r>
                </w:p>
              </w:tc>
              <w:tc>
                <w:tcPr>
                  <w:tcW w:w="1592" w:type="dxa"/>
                  <w:shd w:val="clear" w:color="auto" w:fill="auto"/>
                  <w:vAlign w:val="center"/>
                </w:tcPr>
                <w:p w14:paraId="29527F5C">
                  <w:pPr>
                    <w:widowControl/>
                    <w:jc w:val="center"/>
                    <w:rPr>
                      <w:rFonts w:hint="eastAsia" w:ascii="宋体" w:hAnsi="宋体" w:eastAsia="宋体" w:cs="宋体"/>
                      <w:b w:val="0"/>
                      <w:bCs w:val="0"/>
                      <w:color w:val="FF0000"/>
                      <w:kern w:val="0"/>
                      <w:sz w:val="21"/>
                      <w:szCs w:val="21"/>
                      <w:u w:val="none"/>
                      <w:lang w:val="en-US" w:eastAsia="zh-CN" w:bidi="ar-SA"/>
                    </w:rPr>
                  </w:pPr>
                  <w:r>
                    <w:rPr>
                      <w:rFonts w:hint="eastAsia" w:ascii="宋体" w:hAnsi="宋体" w:cs="宋体"/>
                      <w:b w:val="0"/>
                      <w:bCs w:val="0"/>
                      <w:color w:val="FF0000"/>
                      <w:kern w:val="0"/>
                      <w:szCs w:val="21"/>
                      <w:u w:val="none"/>
                    </w:rPr>
                    <w:t>面积变化</w:t>
                  </w:r>
                  <w:r>
                    <w:rPr>
                      <w:b w:val="0"/>
                      <w:bCs w:val="0"/>
                      <w:color w:val="FF0000"/>
                      <w:kern w:val="0"/>
                      <w:szCs w:val="21"/>
                      <w:u w:val="none"/>
                    </w:rPr>
                    <w:t>(hm</w:t>
                  </w:r>
                  <w:r>
                    <w:rPr>
                      <w:b w:val="0"/>
                      <w:bCs w:val="0"/>
                      <w:color w:val="FF0000"/>
                      <w:kern w:val="0"/>
                      <w:szCs w:val="21"/>
                      <w:u w:val="none"/>
                      <w:vertAlign w:val="superscript"/>
                    </w:rPr>
                    <w:t>2</w:t>
                  </w:r>
                  <w:r>
                    <w:rPr>
                      <w:b w:val="0"/>
                      <w:bCs w:val="0"/>
                      <w:color w:val="FF0000"/>
                      <w:kern w:val="0"/>
                      <w:szCs w:val="21"/>
                      <w:u w:val="none"/>
                    </w:rPr>
                    <w:t>)</w:t>
                  </w:r>
                </w:p>
              </w:tc>
              <w:tc>
                <w:tcPr>
                  <w:tcW w:w="1591" w:type="dxa"/>
                  <w:vMerge w:val="continue"/>
                  <w:vAlign w:val="center"/>
                </w:tcPr>
                <w:p w14:paraId="1B5689F5">
                  <w:pPr>
                    <w:widowControl/>
                    <w:jc w:val="left"/>
                    <w:rPr>
                      <w:rFonts w:ascii="宋体" w:hAnsi="宋体" w:cs="宋体"/>
                      <w:b w:val="0"/>
                      <w:bCs w:val="0"/>
                      <w:color w:val="FF0000"/>
                      <w:kern w:val="0"/>
                      <w:szCs w:val="21"/>
                      <w:u w:val="none"/>
                    </w:rPr>
                  </w:pPr>
                </w:p>
              </w:tc>
              <w:tc>
                <w:tcPr>
                  <w:tcW w:w="1591" w:type="dxa"/>
                  <w:vMerge w:val="continue"/>
                  <w:vAlign w:val="center"/>
                </w:tcPr>
                <w:p w14:paraId="61B90241">
                  <w:pPr>
                    <w:widowControl/>
                    <w:jc w:val="left"/>
                    <w:rPr>
                      <w:rFonts w:ascii="宋体" w:hAnsi="宋体" w:cs="宋体"/>
                      <w:b w:val="0"/>
                      <w:bCs w:val="0"/>
                      <w:color w:val="FF0000"/>
                      <w:kern w:val="0"/>
                      <w:szCs w:val="21"/>
                      <w:u w:val="none"/>
                    </w:rPr>
                  </w:pPr>
                </w:p>
              </w:tc>
              <w:tc>
                <w:tcPr>
                  <w:tcW w:w="1591" w:type="dxa"/>
                  <w:vMerge w:val="continue"/>
                  <w:tcBorders>
                    <w:right w:val="nil"/>
                  </w:tcBorders>
                  <w:vAlign w:val="center"/>
                </w:tcPr>
                <w:p w14:paraId="78F4BB05">
                  <w:pPr>
                    <w:widowControl/>
                    <w:jc w:val="left"/>
                    <w:rPr>
                      <w:rFonts w:ascii="宋体" w:hAnsi="宋体" w:cs="宋体"/>
                      <w:b w:val="0"/>
                      <w:bCs w:val="0"/>
                      <w:color w:val="FF0000"/>
                      <w:kern w:val="0"/>
                      <w:szCs w:val="21"/>
                      <w:u w:val="none"/>
                    </w:rPr>
                  </w:pPr>
                </w:p>
              </w:tc>
            </w:tr>
            <w:tr w14:paraId="08BE4F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66DD6364">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林地</w:t>
                  </w:r>
                </w:p>
              </w:tc>
              <w:tc>
                <w:tcPr>
                  <w:tcW w:w="1592" w:type="dxa"/>
                  <w:shd w:val="clear" w:color="auto" w:fill="auto"/>
                  <w:vAlign w:val="center"/>
                </w:tcPr>
                <w:p w14:paraId="6CE0095E">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13.68</w:t>
                  </w:r>
                </w:p>
              </w:tc>
              <w:tc>
                <w:tcPr>
                  <w:tcW w:w="1591" w:type="dxa"/>
                  <w:shd w:val="clear" w:color="auto" w:fill="auto"/>
                  <w:vAlign w:val="center"/>
                </w:tcPr>
                <w:p w14:paraId="1D2D112F">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31.59</w:t>
                  </w:r>
                </w:p>
              </w:tc>
              <w:tc>
                <w:tcPr>
                  <w:tcW w:w="1591" w:type="dxa"/>
                  <w:shd w:val="clear" w:color="auto" w:fill="auto"/>
                  <w:vAlign w:val="center"/>
                </w:tcPr>
                <w:p w14:paraId="705B6F22">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432.15</w:t>
                  </w:r>
                </w:p>
              </w:tc>
              <w:tc>
                <w:tcPr>
                  <w:tcW w:w="1591" w:type="dxa"/>
                  <w:tcBorders>
                    <w:right w:val="nil"/>
                  </w:tcBorders>
                  <w:shd w:val="clear" w:color="auto" w:fill="auto"/>
                  <w:vAlign w:val="center"/>
                </w:tcPr>
                <w:p w14:paraId="6B48B0D7">
                  <w:pPr>
                    <w:widowControl/>
                    <w:jc w:val="center"/>
                    <w:rPr>
                      <w:rFonts w:eastAsia="等线"/>
                      <w:b w:val="0"/>
                      <w:bCs w:val="0"/>
                      <w:color w:val="FF0000"/>
                      <w:kern w:val="0"/>
                      <w:sz w:val="20"/>
                      <w:szCs w:val="20"/>
                      <w:u w:val="none"/>
                    </w:rPr>
                  </w:pPr>
                  <w:r>
                    <w:rPr>
                      <w:rFonts w:hint="eastAsia" w:eastAsia="等线"/>
                      <w:b w:val="0"/>
                      <w:bCs w:val="0"/>
                      <w:color w:val="FF0000"/>
                      <w:kern w:val="0"/>
                      <w:sz w:val="20"/>
                      <w:szCs w:val="20"/>
                      <w:u w:val="none"/>
                      <w:lang w:val="en-US" w:eastAsia="zh-CN"/>
                    </w:rPr>
                    <w:t>65.91</w:t>
                  </w:r>
                </w:p>
              </w:tc>
            </w:tr>
            <w:tr w14:paraId="430774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5514BB6B">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灌草地</w:t>
                  </w:r>
                </w:p>
              </w:tc>
              <w:tc>
                <w:tcPr>
                  <w:tcW w:w="1592" w:type="dxa"/>
                  <w:shd w:val="clear" w:color="auto" w:fill="auto"/>
                  <w:vAlign w:val="center"/>
                </w:tcPr>
                <w:p w14:paraId="09CDFF15">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25.11</w:t>
                  </w:r>
                </w:p>
              </w:tc>
              <w:tc>
                <w:tcPr>
                  <w:tcW w:w="1591" w:type="dxa"/>
                  <w:shd w:val="clear" w:color="auto" w:fill="auto"/>
                  <w:vAlign w:val="center"/>
                </w:tcPr>
                <w:p w14:paraId="06D6D3B8">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8.9</w:t>
                  </w:r>
                </w:p>
              </w:tc>
              <w:tc>
                <w:tcPr>
                  <w:tcW w:w="1591" w:type="dxa"/>
                  <w:shd w:val="clear" w:color="auto" w:fill="auto"/>
                  <w:vAlign w:val="center"/>
                </w:tcPr>
                <w:p w14:paraId="01824F6C">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223.48</w:t>
                  </w:r>
                </w:p>
              </w:tc>
              <w:tc>
                <w:tcPr>
                  <w:tcW w:w="1591" w:type="dxa"/>
                  <w:tcBorders>
                    <w:right w:val="nil"/>
                  </w:tcBorders>
                  <w:shd w:val="clear" w:color="auto" w:fill="auto"/>
                  <w:vAlign w:val="center"/>
                </w:tcPr>
                <w:p w14:paraId="5DC95A1E">
                  <w:pPr>
                    <w:widowControl/>
                    <w:jc w:val="center"/>
                    <w:rPr>
                      <w:rFonts w:eastAsia="等线"/>
                      <w:b w:val="0"/>
                      <w:bCs w:val="0"/>
                      <w:color w:val="FF0000"/>
                      <w:kern w:val="0"/>
                      <w:sz w:val="20"/>
                      <w:szCs w:val="20"/>
                      <w:u w:val="none"/>
                    </w:rPr>
                  </w:pPr>
                  <w:r>
                    <w:rPr>
                      <w:rFonts w:hint="eastAsia" w:eastAsia="等线"/>
                      <w:b w:val="0"/>
                      <w:bCs w:val="0"/>
                      <w:color w:val="FF0000"/>
                      <w:kern w:val="0"/>
                      <w:sz w:val="20"/>
                      <w:szCs w:val="20"/>
                      <w:u w:val="none"/>
                      <w:lang w:val="en-US" w:eastAsia="zh-CN"/>
                    </w:rPr>
                    <w:t>34.09</w:t>
                  </w:r>
                </w:p>
              </w:tc>
            </w:tr>
            <w:tr w14:paraId="7AC7AC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71136633">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耕地</w:t>
                  </w:r>
                </w:p>
              </w:tc>
              <w:tc>
                <w:tcPr>
                  <w:tcW w:w="1592" w:type="dxa"/>
                  <w:shd w:val="clear" w:color="auto" w:fill="auto"/>
                  <w:vAlign w:val="center"/>
                </w:tcPr>
                <w:p w14:paraId="16483CF0">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shd w:val="clear" w:color="auto" w:fill="auto"/>
                  <w:vAlign w:val="center"/>
                </w:tcPr>
                <w:p w14:paraId="1095799A">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6.12</w:t>
                  </w:r>
                </w:p>
              </w:tc>
              <w:tc>
                <w:tcPr>
                  <w:tcW w:w="1591" w:type="dxa"/>
                  <w:shd w:val="clear" w:color="auto" w:fill="auto"/>
                  <w:vAlign w:val="center"/>
                </w:tcPr>
                <w:p w14:paraId="7A6290A6">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tcBorders>
                    <w:right w:val="nil"/>
                  </w:tcBorders>
                  <w:shd w:val="clear" w:color="auto" w:fill="auto"/>
                  <w:vAlign w:val="center"/>
                </w:tcPr>
                <w:p w14:paraId="52157F27">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r>
            <w:tr w14:paraId="396887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5FB9D537">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水域</w:t>
                  </w:r>
                </w:p>
              </w:tc>
              <w:tc>
                <w:tcPr>
                  <w:tcW w:w="1592" w:type="dxa"/>
                  <w:shd w:val="clear" w:color="auto" w:fill="auto"/>
                  <w:vAlign w:val="center"/>
                </w:tcPr>
                <w:p w14:paraId="6A6793D6">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shd w:val="clear" w:color="auto" w:fill="auto"/>
                  <w:vAlign w:val="center"/>
                </w:tcPr>
                <w:p w14:paraId="51E5AB91">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1.2</w:t>
                  </w:r>
                </w:p>
              </w:tc>
              <w:tc>
                <w:tcPr>
                  <w:tcW w:w="1591" w:type="dxa"/>
                  <w:shd w:val="clear" w:color="auto" w:fill="auto"/>
                  <w:vAlign w:val="center"/>
                </w:tcPr>
                <w:p w14:paraId="71131D42">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c>
                <w:tcPr>
                  <w:tcW w:w="1591" w:type="dxa"/>
                  <w:tcBorders>
                    <w:right w:val="nil"/>
                  </w:tcBorders>
                  <w:shd w:val="clear" w:color="auto" w:fill="auto"/>
                  <w:vAlign w:val="center"/>
                </w:tcPr>
                <w:p w14:paraId="050A8851">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0</w:t>
                  </w:r>
                </w:p>
              </w:tc>
            </w:tr>
            <w:tr w14:paraId="2B6E9B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1591" w:type="dxa"/>
                  <w:tcBorders>
                    <w:left w:val="nil"/>
                  </w:tcBorders>
                  <w:shd w:val="clear" w:color="auto" w:fill="auto"/>
                  <w:vAlign w:val="center"/>
                </w:tcPr>
                <w:p w14:paraId="278386A9">
                  <w:pPr>
                    <w:widowControl/>
                    <w:jc w:val="center"/>
                    <w:rPr>
                      <w:rFonts w:ascii="宋体" w:hAnsi="宋体" w:cs="宋体"/>
                      <w:b w:val="0"/>
                      <w:bCs w:val="0"/>
                      <w:color w:val="FF0000"/>
                      <w:kern w:val="0"/>
                      <w:szCs w:val="21"/>
                      <w:u w:val="none"/>
                    </w:rPr>
                  </w:pPr>
                  <w:r>
                    <w:rPr>
                      <w:rFonts w:hint="eastAsia" w:ascii="宋体" w:hAnsi="宋体" w:cs="宋体"/>
                      <w:b w:val="0"/>
                      <w:bCs w:val="0"/>
                      <w:color w:val="FF0000"/>
                      <w:kern w:val="0"/>
                      <w:szCs w:val="21"/>
                      <w:u w:val="none"/>
                    </w:rPr>
                    <w:t>合计</w:t>
                  </w:r>
                </w:p>
              </w:tc>
              <w:tc>
                <w:tcPr>
                  <w:tcW w:w="1592" w:type="dxa"/>
                  <w:shd w:val="clear" w:color="auto" w:fill="auto"/>
                  <w:vAlign w:val="center"/>
                </w:tcPr>
                <w:p w14:paraId="310F0600">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38.79</w:t>
                  </w:r>
                </w:p>
              </w:tc>
              <w:tc>
                <w:tcPr>
                  <w:tcW w:w="1591" w:type="dxa"/>
                  <w:shd w:val="clear" w:color="auto" w:fill="auto"/>
                  <w:vAlign w:val="center"/>
                </w:tcPr>
                <w:p w14:paraId="6A6DBE67">
                  <w:pPr>
                    <w:widowControl/>
                    <w:jc w:val="center"/>
                    <w:rPr>
                      <w:rFonts w:eastAsia="等线"/>
                      <w:b w:val="0"/>
                      <w:bCs w:val="0"/>
                      <w:color w:val="FF0000"/>
                      <w:kern w:val="0"/>
                      <w:sz w:val="20"/>
                      <w:szCs w:val="20"/>
                      <w:u w:val="none"/>
                    </w:rPr>
                  </w:pPr>
                  <w:r>
                    <w:rPr>
                      <w:rFonts w:eastAsia="等线"/>
                      <w:b w:val="0"/>
                      <w:bCs w:val="0"/>
                      <w:color w:val="FF0000"/>
                      <w:kern w:val="0"/>
                      <w:sz w:val="20"/>
                      <w:szCs w:val="20"/>
                      <w:u w:val="none"/>
                    </w:rPr>
                    <w:t>——</w:t>
                  </w:r>
                </w:p>
              </w:tc>
              <w:tc>
                <w:tcPr>
                  <w:tcW w:w="1591" w:type="dxa"/>
                  <w:shd w:val="clear" w:color="auto" w:fill="auto"/>
                  <w:vAlign w:val="center"/>
                </w:tcPr>
                <w:p w14:paraId="2486402C">
                  <w:pPr>
                    <w:widowControl/>
                    <w:jc w:val="center"/>
                    <w:rPr>
                      <w:rFonts w:hint="default" w:eastAsia="等线"/>
                      <w:b w:val="0"/>
                      <w:bCs w:val="0"/>
                      <w:color w:val="FF0000"/>
                      <w:kern w:val="0"/>
                      <w:sz w:val="20"/>
                      <w:szCs w:val="20"/>
                      <w:u w:val="none"/>
                      <w:lang w:val="en-US" w:eastAsia="zh-CN"/>
                    </w:rPr>
                  </w:pPr>
                  <w:r>
                    <w:rPr>
                      <w:rFonts w:hint="eastAsia" w:eastAsia="等线"/>
                      <w:b w:val="0"/>
                      <w:bCs w:val="0"/>
                      <w:color w:val="FF0000"/>
                      <w:kern w:val="0"/>
                      <w:sz w:val="20"/>
                      <w:szCs w:val="20"/>
                      <w:u w:val="none"/>
                      <w:lang w:val="en-US" w:eastAsia="zh-CN"/>
                    </w:rPr>
                    <w:t>655.63</w:t>
                  </w:r>
                </w:p>
              </w:tc>
              <w:tc>
                <w:tcPr>
                  <w:tcW w:w="1591" w:type="dxa"/>
                  <w:tcBorders>
                    <w:right w:val="nil"/>
                  </w:tcBorders>
                  <w:shd w:val="clear" w:color="auto" w:fill="auto"/>
                  <w:vAlign w:val="center"/>
                </w:tcPr>
                <w:p w14:paraId="40216D1B">
                  <w:pPr>
                    <w:widowControl/>
                    <w:jc w:val="center"/>
                    <w:rPr>
                      <w:rFonts w:eastAsia="等线"/>
                      <w:b w:val="0"/>
                      <w:bCs w:val="0"/>
                      <w:color w:val="FF0000"/>
                      <w:kern w:val="0"/>
                      <w:sz w:val="20"/>
                      <w:szCs w:val="20"/>
                      <w:u w:val="none"/>
                    </w:rPr>
                  </w:pPr>
                  <w:r>
                    <w:rPr>
                      <w:rFonts w:hint="eastAsia" w:eastAsia="等线"/>
                      <w:b w:val="0"/>
                      <w:bCs w:val="0"/>
                      <w:color w:val="FF0000"/>
                      <w:kern w:val="0"/>
                      <w:sz w:val="20"/>
                      <w:szCs w:val="20"/>
                      <w:u w:val="none"/>
                      <w:lang w:val="en-US" w:eastAsia="zh-CN"/>
                    </w:rPr>
                    <w:t>100</w:t>
                  </w:r>
                  <w:r>
                    <w:rPr>
                      <w:rFonts w:eastAsia="等线"/>
                      <w:b w:val="0"/>
                      <w:bCs w:val="0"/>
                      <w:color w:val="FF0000"/>
                      <w:kern w:val="0"/>
                      <w:sz w:val="20"/>
                      <w:szCs w:val="20"/>
                      <w:u w:val="none"/>
                    </w:rPr>
                    <w:t>%</w:t>
                  </w:r>
                </w:p>
              </w:tc>
            </w:tr>
          </w:tbl>
          <w:p w14:paraId="4FA2BE1F">
            <w:pPr>
              <w:pStyle w:val="62"/>
              <w:ind w:firstLine="480"/>
              <w:rPr>
                <w:b/>
                <w:bCs/>
                <w:u w:val="none"/>
              </w:rPr>
            </w:pPr>
            <w:r>
              <w:rPr>
                <w:rFonts w:hint="eastAsia" w:cs="Times New Roman"/>
                <w:u w:val="none"/>
              </w:rPr>
              <w:t>（</w:t>
            </w:r>
            <w:r>
              <w:rPr>
                <w:rFonts w:cs="Times New Roman"/>
                <w:u w:val="none"/>
              </w:rPr>
              <w:t>6</w:t>
            </w:r>
            <w:r>
              <w:rPr>
                <w:rFonts w:hint="eastAsia" w:cs="Times New Roman"/>
                <w:u w:val="none"/>
              </w:rPr>
              <w:t>）植被分布特征</w:t>
            </w:r>
          </w:p>
          <w:p w14:paraId="0ED2595C">
            <w:pPr>
              <w:pStyle w:val="57"/>
              <w:ind w:left="42" w:right="42" w:firstLine="480"/>
              <w:rPr>
                <w:u w:val="none"/>
              </w:rPr>
            </w:pPr>
            <w:r>
              <w:rPr>
                <w:rFonts w:hint="eastAsia"/>
                <w:u w:val="none"/>
              </w:rPr>
              <w:t>评价区位于湖南省中东部，湘江中下游，衡阳盆地东北边缘，丘陵地貌。自然环境良好，较有利于植被发育，但评价区内人为活动频繁，现植被类型多为次生林、人工林，且评价区内水分分布不均、区域山体海拔跨度小、区域人为活动较为频繁，评价区植被分布受光照、水分、人为活动等影响强烈，植被在垂直和水平分布上具有自身特点，自然植被多为一些抗逆性较强的乡土树种组成的次生林植被。</w:t>
            </w:r>
          </w:p>
          <w:p w14:paraId="5111E818">
            <w:pPr>
              <w:pStyle w:val="57"/>
              <w:ind w:left="42" w:right="42" w:firstLine="480"/>
              <w:rPr>
                <w:u w:val="none"/>
              </w:rPr>
            </w:pPr>
            <w:r>
              <w:rPr>
                <w:rFonts w:hint="eastAsia"/>
                <w:u w:val="none"/>
              </w:rPr>
              <w:t>垂直分布规律：评价区属丘陵区，区内海拔</w:t>
            </w:r>
            <w:r>
              <w:rPr>
                <w:rFonts w:hint="eastAsia"/>
                <w:u w:val="none"/>
                <w:lang w:val="en-US" w:eastAsia="zh-CN"/>
              </w:rPr>
              <w:t>45</w:t>
            </w:r>
            <w:r>
              <w:rPr>
                <w:rFonts w:hint="eastAsia"/>
                <w:u w:val="none"/>
              </w:rPr>
              <w:t>0～</w:t>
            </w:r>
            <w:r>
              <w:rPr>
                <w:rFonts w:hint="eastAsia"/>
                <w:u w:val="none"/>
                <w:lang w:val="en-US" w:eastAsia="zh-CN"/>
              </w:rPr>
              <w:t>6</w:t>
            </w:r>
            <w:r>
              <w:rPr>
                <w:rFonts w:hint="eastAsia"/>
                <w:u w:val="none"/>
              </w:rPr>
              <w:t>50m，评价区内植被的垂直分布主要受水分、人为活动等因素影响，由于评价区山脊区土壤贫瘠，该区域风速度大，蒸发量大，山脊区植被多以特规灌木林为主，主要有</w:t>
            </w:r>
            <w:r>
              <w:rPr>
                <w:rFonts w:hint="eastAsia"/>
                <w:u w:val="none"/>
                <w:lang w:val="en-US" w:eastAsia="zh-CN"/>
              </w:rPr>
              <w:t>杉木林</w:t>
            </w:r>
            <w:r>
              <w:rPr>
                <w:rFonts w:hint="eastAsia"/>
                <w:u w:val="none"/>
              </w:rPr>
              <w:t>等；评价区山坡中部人为活动较少、区域水分等相对充足；评价区山坡下部人为活动频繁、水分等相对充足，植被多以农作物、次生林为主。</w:t>
            </w:r>
          </w:p>
          <w:p w14:paraId="3006450A">
            <w:pPr>
              <w:pStyle w:val="57"/>
              <w:ind w:left="42" w:right="42" w:firstLine="480"/>
              <w:rPr>
                <w:u w:val="none"/>
              </w:rPr>
            </w:pPr>
            <w:r>
              <w:rPr>
                <w:rFonts w:hint="eastAsia"/>
                <w:u w:val="none"/>
              </w:rPr>
              <w:t>水平分布规律：评价区植被水平分布主要受人为活动、水分条件、地势地貌等因素影响。由于评价区村落多分布于山体下部，该区域地势相对平缓，水分及光照相对充足，该区域植被多以喜光性次生林、灌丛及灌草丛为主，常见的群系有蕨灌草丛、杉木林等。</w:t>
            </w:r>
          </w:p>
          <w:p w14:paraId="3CCCFB1D">
            <w:pPr>
              <w:pStyle w:val="57"/>
              <w:ind w:left="42" w:right="42" w:firstLine="480"/>
              <w:rPr>
                <w:b/>
                <w:bCs/>
                <w:u w:val="none"/>
              </w:rPr>
            </w:pPr>
            <w:r>
              <w:rPr>
                <w:rFonts w:hint="eastAsia" w:cs="Times New Roman"/>
                <w:u w:val="none"/>
              </w:rPr>
              <w:t>（</w:t>
            </w:r>
            <w:r>
              <w:rPr>
                <w:rFonts w:cs="Times New Roman"/>
                <w:u w:val="none"/>
              </w:rPr>
              <w:t>7</w:t>
            </w:r>
            <w:r>
              <w:rPr>
                <w:rFonts w:hint="eastAsia" w:cs="Times New Roman"/>
                <w:u w:val="none"/>
              </w:rPr>
              <w:t>）重点保护植物和古树名木</w:t>
            </w:r>
          </w:p>
          <w:p w14:paraId="70201CEE">
            <w:pPr>
              <w:pStyle w:val="57"/>
              <w:ind w:left="42" w:right="42" w:firstLine="480"/>
              <w:rPr>
                <w:u w:val="none"/>
              </w:rPr>
            </w:pPr>
            <w:r>
              <w:rPr>
                <w:rFonts w:hint="eastAsia"/>
                <w:u w:val="none"/>
              </w:rPr>
              <w:t>区域国家重点保护野生植物根据《国家重点保护野生植物名录》（第一批）（国务院，1999年8月）确定，湖南省重点保护野生植物根据《湖南省人民政府关于修订湖南省地方重点保护野生植物名录的通知）（湘政函，[2002]172号）确定。参考《湖南省国家级珍稀濒危植物分布特征及区系探讨》（刘德良，2001年）、《湖南珍稀濒危保护植物的地理分布及其区系特征》（杨一光，1987年）、《湖南省林木种源普查资料汇编》（湖南省林业厅，1985年）、《湖南植物名录》（祁承经，1987年）、《湖南珍稀濒危植物优先护存分级指标的研究》（颜立红等，1997）、《湖南珍稀濒危植物迁地仿生护存的初步研究》（颜立红等，1997）及本工程所在行政区内关于国家及湖南省重点保护野生植物的相关资料，结合现场调查情况，评价区未发现国家和湖南省级重点保护野生植物。</w:t>
            </w:r>
          </w:p>
          <w:p w14:paraId="1E01D925">
            <w:pPr>
              <w:pStyle w:val="57"/>
              <w:ind w:left="42" w:right="42" w:firstLine="480"/>
              <w:rPr>
                <w:rFonts w:hint="default"/>
                <w:color w:val="FF0000"/>
                <w:u w:val="none"/>
                <w:lang w:val="en-US"/>
              </w:rPr>
            </w:pPr>
            <w:r>
              <w:rPr>
                <w:rFonts w:hint="eastAsia"/>
                <w:color w:val="FF0000"/>
                <w:u w:val="none"/>
                <w:lang w:val="en-US" w:eastAsia="zh-CN"/>
              </w:rPr>
              <w:t>此外根据</w:t>
            </w:r>
            <w:r>
              <w:rPr>
                <w:rFonts w:hint="eastAsia"/>
                <w:color w:val="FF0000"/>
                <w:sz w:val="24"/>
                <w:szCs w:val="32"/>
                <w:u w:val="none"/>
                <w:lang w:val="en-US" w:eastAsia="zh-CN"/>
              </w:rPr>
              <w:t>《耒阳市导子东湖风电场项目使用林地可行性研究报告》的专家评审意见（见附件16），项目区没有古树名木，没有国家和省级重点保护的野生植物及生境，没有国家和省级重点保护的野生动物及栖息地。同时我公司在现场踏勘时，通过走访居民，也未在评价区内发现古树名木。</w:t>
            </w:r>
          </w:p>
          <w:p w14:paraId="35E9C013">
            <w:pPr>
              <w:pStyle w:val="62"/>
              <w:ind w:firstLine="480"/>
              <w:rPr>
                <w:b/>
                <w:bCs/>
                <w:u w:val="none"/>
              </w:rPr>
            </w:pPr>
            <w:r>
              <w:rPr>
                <w:rFonts w:hint="eastAsia" w:cs="Times New Roman"/>
                <w:u w:val="none"/>
              </w:rPr>
              <w:t>（</w:t>
            </w:r>
            <w:r>
              <w:rPr>
                <w:rFonts w:cs="Times New Roman"/>
                <w:u w:val="none"/>
              </w:rPr>
              <w:t>8</w:t>
            </w:r>
            <w:r>
              <w:rPr>
                <w:rFonts w:hint="eastAsia" w:cs="Times New Roman"/>
                <w:u w:val="none"/>
              </w:rPr>
              <w:t>）外来物种</w:t>
            </w:r>
          </w:p>
          <w:p w14:paraId="0C50E415">
            <w:pPr>
              <w:pStyle w:val="57"/>
              <w:ind w:left="42" w:right="42" w:firstLine="480"/>
              <w:rPr>
                <w:u w:val="none"/>
              </w:rPr>
            </w:pPr>
            <w:r>
              <w:rPr>
                <w:rFonts w:hint="eastAsia"/>
                <w:u w:val="none"/>
              </w:rPr>
              <w:t>根据《中国外来入侵物种名单》（第一批，2003年）、《中国外来入侵物种名单》（第二批，2010年）、《中国外来入侵物种名单》（第三批，2014年）、《中国自然生态系统外来入侵物种名单》（第四批，2016年），参考本工程所在行政区内关于外来入侵植物的相关资料通过现场调查，评价区外来入侵物种主要有小蓬草、垂序商陆、野茼蒿、藿香蓟等，多零散分布，主要分布于村落附近，评价区外来入侵物种面积不大，危害程度较小。</w:t>
            </w:r>
          </w:p>
          <w:p w14:paraId="01D91646">
            <w:pPr>
              <w:pStyle w:val="62"/>
              <w:ind w:firstLine="480"/>
              <w:rPr>
                <w:b/>
                <w:bCs/>
                <w:u w:val="none"/>
              </w:rPr>
            </w:pPr>
            <w:r>
              <w:rPr>
                <w:rFonts w:hint="eastAsia" w:cs="Times New Roman"/>
                <w:u w:val="none"/>
              </w:rPr>
              <w:t>（</w:t>
            </w:r>
            <w:r>
              <w:rPr>
                <w:rFonts w:cs="Times New Roman"/>
                <w:u w:val="none"/>
              </w:rPr>
              <w:t>9</w:t>
            </w:r>
            <w:r>
              <w:rPr>
                <w:rFonts w:hint="eastAsia" w:cs="Times New Roman"/>
                <w:u w:val="none"/>
              </w:rPr>
              <w:t>）生态公益林</w:t>
            </w:r>
          </w:p>
          <w:p w14:paraId="283C8EF4">
            <w:pPr>
              <w:pStyle w:val="57"/>
              <w:ind w:left="42" w:right="42" w:firstLine="480"/>
              <w:rPr>
                <w:u w:val="none"/>
              </w:rPr>
            </w:pPr>
            <w:r>
              <w:rPr>
                <w:rFonts w:hint="eastAsia"/>
                <w:u w:val="none"/>
              </w:rPr>
              <w:t>根据《湖南省生态公益林管理办法》第二章保护管理第十一条及第三章经营管理第十六条、第十八条：禁止在国家级公益林地开垦、采石、采沙、取土，严格控制勘查、开采矿藏和工程建设占用、征收公益林地。除国务院有关部门和省级人民政府批准的基础设施建设项目外，不得占用、征收一级国家级公益林地。一级国家级公益林原则上不得进行生产经营活动，人工林、母树林、种子园经营，应当组织专家评审后，报省级林业主管部门备案同意。在不破坏森林生态系统功能的前提下，可以合理利用二级、三级国家级公益林和省级公益林的林地资源，适度开展林下种植养殖和森林游憩等非木质资源开发和利用，科学发展林下经济。公益林实施禁止、限制采伐保护措施。</w:t>
            </w:r>
          </w:p>
          <w:p w14:paraId="6CDC52C2">
            <w:pPr>
              <w:pStyle w:val="57"/>
              <w:ind w:left="42" w:right="42" w:firstLine="480"/>
              <w:rPr>
                <w:color w:val="FF0000"/>
                <w:u w:val="none"/>
              </w:rPr>
            </w:pPr>
            <w:r>
              <w:rPr>
                <w:rFonts w:hint="eastAsia"/>
                <w:color w:val="FF0000"/>
                <w:sz w:val="24"/>
                <w:szCs w:val="32"/>
                <w:u w:val="none"/>
                <w:lang w:val="en-US" w:eastAsia="zh-CN"/>
              </w:rPr>
              <w:t>根据耒阳市林业局出具的《关于耒阳市导子东湖风电场项目选址意见》，项目选址不占用公益林、天然林及自然保护林</w:t>
            </w:r>
            <w:r>
              <w:rPr>
                <w:rFonts w:hint="eastAsia"/>
                <w:color w:val="FF0000"/>
                <w:u w:val="none"/>
              </w:rPr>
              <w:t>。</w:t>
            </w:r>
          </w:p>
          <w:p w14:paraId="425A8F2B">
            <w:pPr>
              <w:pStyle w:val="62"/>
              <w:ind w:firstLine="480"/>
              <w:rPr>
                <w:b/>
                <w:bCs/>
                <w:u w:val="none"/>
              </w:rPr>
            </w:pPr>
            <w:r>
              <w:rPr>
                <w:rFonts w:hint="eastAsia" w:cs="Times New Roman"/>
                <w:u w:val="none"/>
              </w:rPr>
              <w:t>（</w:t>
            </w:r>
            <w:r>
              <w:rPr>
                <w:rFonts w:cs="Times New Roman"/>
                <w:u w:val="none"/>
              </w:rPr>
              <w:t>10</w:t>
            </w:r>
            <w:r>
              <w:rPr>
                <w:rFonts w:hint="eastAsia" w:cs="Times New Roman"/>
                <w:u w:val="none"/>
              </w:rPr>
              <w:t>）基本农田</w:t>
            </w:r>
          </w:p>
          <w:p w14:paraId="2D2DD6F9">
            <w:pPr>
              <w:pStyle w:val="57"/>
              <w:ind w:left="42" w:right="42" w:firstLine="480"/>
              <w:rPr>
                <w:color w:val="FF0000"/>
                <w:u w:val="none"/>
              </w:rPr>
            </w:pPr>
            <w:r>
              <w:rPr>
                <w:rFonts w:hint="eastAsia"/>
                <w:color w:val="FF0000"/>
                <w:u w:val="none"/>
              </w:rPr>
              <w:t>根据</w:t>
            </w:r>
            <w:r>
              <w:rPr>
                <w:rFonts w:hint="eastAsia"/>
                <w:color w:val="FF0000"/>
                <w:u w:val="none"/>
                <w:lang w:eastAsia="zh-CN"/>
              </w:rPr>
              <w:t>耒阳市</w:t>
            </w:r>
            <w:r>
              <w:rPr>
                <w:rFonts w:hint="eastAsia"/>
                <w:color w:val="FF0000"/>
                <w:u w:val="none"/>
              </w:rPr>
              <w:t>自然资源局提供的项目选址意见函</w:t>
            </w:r>
            <w:r>
              <w:rPr>
                <w:rFonts w:hint="eastAsia"/>
                <w:color w:val="FF0000"/>
                <w:u w:val="none"/>
                <w:lang w:val="en-US" w:eastAsia="zh-CN"/>
              </w:rPr>
              <w:t>以及三区三线套合图（见附图7）</w:t>
            </w:r>
            <w:r>
              <w:rPr>
                <w:rFonts w:hint="eastAsia"/>
                <w:color w:val="FF0000"/>
                <w:u w:val="none"/>
              </w:rPr>
              <w:t>，本</w:t>
            </w:r>
            <w:r>
              <w:rPr>
                <w:rFonts w:hint="eastAsia"/>
                <w:color w:val="FF0000"/>
                <w:u w:val="none"/>
                <w:lang w:val="en-US" w:eastAsia="zh-CN"/>
              </w:rPr>
              <w:t>项目</w:t>
            </w:r>
            <w:r>
              <w:rPr>
                <w:rFonts w:hint="eastAsia"/>
                <w:color w:val="FF0000"/>
                <w:u w:val="none"/>
              </w:rPr>
              <w:t>不涉及基本农田。</w:t>
            </w:r>
          </w:p>
          <w:p w14:paraId="23AF47D0">
            <w:pPr>
              <w:spacing w:line="360" w:lineRule="auto"/>
              <w:jc w:val="left"/>
              <w:rPr>
                <w:b/>
                <w:bCs/>
                <w:sz w:val="28"/>
                <w:szCs w:val="28"/>
                <w:u w:val="none"/>
              </w:rPr>
            </w:pPr>
            <w:r>
              <w:rPr>
                <w:b/>
                <w:bCs/>
                <w:sz w:val="24"/>
                <w:u w:val="none"/>
              </w:rPr>
              <w:t>2.4</w:t>
            </w:r>
            <w:r>
              <w:rPr>
                <w:rFonts w:hint="eastAsia"/>
                <w:b/>
                <w:bCs/>
                <w:sz w:val="24"/>
                <w:u w:val="none"/>
              </w:rPr>
              <w:t>陆生动物资源</w:t>
            </w:r>
          </w:p>
          <w:p w14:paraId="3948ADDD">
            <w:pPr>
              <w:pStyle w:val="57"/>
              <w:ind w:left="42" w:right="42" w:firstLine="480"/>
              <w:rPr>
                <w:u w:val="none"/>
              </w:rPr>
            </w:pPr>
            <w:r>
              <w:rPr>
                <w:rFonts w:hint="eastAsia"/>
                <w:u w:val="none"/>
              </w:rPr>
              <w:t>根据《中国动物地理》（科学出版社，2011），我国动物地理区划分属于世界动物地理分区的古北界与东洋界。两界在我国境内的分界线西起横断山脉北部，经过川北的岷山与陕南的秦岭，向东至淮河南岸，直抵长江口以北。我国动物区系根据陆栖脊椎动物，特别是哺乳类和鸟类的分布情况，可以分为东北区、华北区、蒙新区、青藏区、西南区、华中区及华南区7个区。其中前4个区属于古北界；后3个区属于东洋界。</w:t>
            </w:r>
          </w:p>
          <w:p w14:paraId="714E917D">
            <w:pPr>
              <w:pStyle w:val="57"/>
              <w:ind w:left="42" w:right="42" w:firstLine="480"/>
              <w:rPr>
                <w:u w:val="none"/>
              </w:rPr>
            </w:pPr>
            <w:r>
              <w:rPr>
                <w:rFonts w:hint="eastAsia"/>
                <w:u w:val="none"/>
              </w:rPr>
              <w:t>本工程评价区位于湖南省衡阳市</w:t>
            </w:r>
            <w:r>
              <w:rPr>
                <w:rFonts w:hint="eastAsia"/>
                <w:u w:val="none"/>
                <w:lang w:eastAsia="zh-CN"/>
              </w:rPr>
              <w:t>耒阳市</w:t>
            </w:r>
            <w:r>
              <w:rPr>
                <w:rFonts w:hint="eastAsia"/>
                <w:u w:val="none"/>
              </w:rPr>
              <w:t>，根据工程位置与中国动物地理区划图叠图可知，本项目地处东洋界—华中区—东部丘陵平原亚区，所属动物群为江南丘陵省—亚热带林灌农田动物群。</w:t>
            </w:r>
          </w:p>
          <w:p w14:paraId="720E6F0F">
            <w:pPr>
              <w:pStyle w:val="57"/>
              <w:ind w:left="0" w:leftChars="0" w:right="42" w:firstLine="0" w:firstLineChars="0"/>
              <w:rPr>
                <w:u w:val="none"/>
              </w:rPr>
            </w:pPr>
            <w:r>
              <w:rPr>
                <w:sz w:val="24"/>
              </w:rPr>
              <mc:AlternateContent>
                <mc:Choice Requires="wps">
                  <w:drawing>
                    <wp:anchor distT="0" distB="0" distL="114300" distR="114300" simplePos="0" relativeHeight="251661312" behindDoc="0" locked="0" layoutInCell="1" allowOverlap="1">
                      <wp:simplePos x="0" y="0"/>
                      <wp:positionH relativeFrom="column">
                        <wp:posOffset>3228975</wp:posOffset>
                      </wp:positionH>
                      <wp:positionV relativeFrom="paragraph">
                        <wp:posOffset>2134870</wp:posOffset>
                      </wp:positionV>
                      <wp:extent cx="1198880" cy="418465"/>
                      <wp:effectExtent l="6350" t="6350" r="13970" b="13335"/>
                      <wp:wrapNone/>
                      <wp:docPr id="55" name="矩形 55"/>
                      <wp:cNvGraphicFramePr/>
                      <a:graphic xmlns:a="http://schemas.openxmlformats.org/drawingml/2006/main">
                        <a:graphicData uri="http://schemas.microsoft.com/office/word/2010/wordprocessingShape">
                          <wps:wsp>
                            <wps:cNvSpPr/>
                            <wps:spPr>
                              <a:xfrm>
                                <a:off x="4804410" y="6007100"/>
                                <a:ext cx="1198880" cy="41846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1472805A">
                                  <w:pPr>
                                    <w:keepNext w:val="0"/>
                                    <w:keepLines w:val="0"/>
                                    <w:pageBreakBefore w:val="0"/>
                                    <w:widowControl w:val="0"/>
                                    <w:kinsoku/>
                                    <w:wordWrap/>
                                    <w:overflowPunct/>
                                    <w:topLinePunct w:val="0"/>
                                    <w:bidi w:val="0"/>
                                    <w:adjustRightInd/>
                                    <w:snapToGrid/>
                                    <w:jc w:val="both"/>
                                    <w:textAlignment w:val="auto"/>
                                    <w:rPr>
                                      <w:rFonts w:hint="default" w:eastAsia="宋体"/>
                                      <w:color w:val="auto"/>
                                      <w:highlight w:val="red"/>
                                      <w:lang w:val="en-US" w:eastAsia="zh-CN"/>
                                    </w:rPr>
                                  </w:pPr>
                                  <w:r>
                                    <w:rPr>
                                      <w:rFonts w:hint="eastAsia"/>
                                      <w:color w:val="auto"/>
                                      <w:highlight w:val="red"/>
                                      <w:lang w:val="en-US" w:eastAsia="zh-CN"/>
                                    </w:rPr>
                                    <w:t>导子东湖风电场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25pt;margin-top:168.1pt;height:32.95pt;width:94.4pt;z-index:251661312;v-text-anchor:middle;mso-width-relative:page;mso-height-relative:page;" fillcolor="#FFFFFF [3212]" filled="t" stroked="t" coordsize="21600,21600" o:gfxdata="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X7MJUdkAAAALAQAADwAAAAAAAAABACAAAAAiAAAAZHJzL2Rvd25yZXYueG1sUEsBAhQAFAAA&#10;AAgAh07iQIfAn7KZAgAALwUAAA4AAAAAAAAAAQAgAAAAKAEAAGRycy9lMm9Eb2MueG1sUEsFBgAA&#10;AAAGAAYAWQEAADMGAAAAAA==&#10;">
                      <v:fill on="t" focussize="0,0"/>
                      <v:stroke weight="1pt" color="#2E75B6 [2404]" miterlimit="8" joinstyle="miter"/>
                      <v:imagedata o:title=""/>
                      <o:lock v:ext="edit" aspectratio="f"/>
                      <v:textbox>
                        <w:txbxContent>
                          <w:p w14:paraId="1472805A">
                            <w:pPr>
                              <w:keepNext w:val="0"/>
                              <w:keepLines w:val="0"/>
                              <w:pageBreakBefore w:val="0"/>
                              <w:widowControl w:val="0"/>
                              <w:kinsoku/>
                              <w:wordWrap/>
                              <w:overflowPunct/>
                              <w:topLinePunct w:val="0"/>
                              <w:bidi w:val="0"/>
                              <w:adjustRightInd/>
                              <w:snapToGrid/>
                              <w:jc w:val="both"/>
                              <w:textAlignment w:val="auto"/>
                              <w:rPr>
                                <w:rFonts w:hint="default" w:eastAsia="宋体"/>
                                <w:color w:val="auto"/>
                                <w:highlight w:val="red"/>
                                <w:lang w:val="en-US" w:eastAsia="zh-CN"/>
                              </w:rPr>
                            </w:pPr>
                            <w:r>
                              <w:rPr>
                                <w:rFonts w:hint="eastAsia"/>
                                <w:color w:val="auto"/>
                                <w:highlight w:val="red"/>
                                <w:lang w:val="en-US" w:eastAsia="zh-CN"/>
                              </w:rPr>
                              <w:t>导子东湖风电场</w:t>
                            </w:r>
                          </w:p>
                        </w:txbxContent>
                      </v:textbox>
                    </v:rect>
                  </w:pict>
                </mc:Fallback>
              </mc:AlternateContent>
            </w:r>
            <w:r>
              <w:rPr>
                <w:rFonts w:cs="Times New Roman"/>
                <w:bCs/>
                <w:u w:val="none"/>
                <w:lang w:val="en-US" w:bidi="ar-SA"/>
              </w:rPr>
              <w:drawing>
                <wp:inline distT="0" distB="0" distL="0" distR="0">
                  <wp:extent cx="5274310" cy="3756025"/>
                  <wp:effectExtent l="0" t="0" r="2540" b="15875"/>
                  <wp:docPr id="98" name="图片 1" descr="D:\1-负责项目\2020年\14.衡东风电（已完成动物部分）\衡东风电所在位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descr="D:\1-负责项目\2020年\14.衡东风电（已完成动物部分）\衡东风电所在位置.png"/>
                          <pic:cNvPicPr>
                            <a:picLocks noChangeAspect="1" noChangeArrowheads="1"/>
                          </pic:cNvPicPr>
                        </pic:nvPicPr>
                        <pic:blipFill>
                          <a:blip r:embed="rId24" cstate="print"/>
                          <a:srcRect/>
                          <a:stretch>
                            <a:fillRect/>
                          </a:stretch>
                        </pic:blipFill>
                        <pic:spPr>
                          <a:xfrm>
                            <a:off x="0" y="0"/>
                            <a:ext cx="5274310" cy="3756481"/>
                          </a:xfrm>
                          <a:prstGeom prst="rect">
                            <a:avLst/>
                          </a:prstGeom>
                          <a:noFill/>
                          <a:ln w="9525">
                            <a:noFill/>
                            <a:miter lim="800000"/>
                            <a:headEnd/>
                            <a:tailEnd/>
                          </a:ln>
                        </pic:spPr>
                      </pic:pic>
                    </a:graphicData>
                  </a:graphic>
                </wp:inline>
              </w:drawing>
            </w:r>
          </w:p>
          <w:p w14:paraId="13E0460B">
            <w:pPr>
              <w:pStyle w:val="57"/>
              <w:ind w:left="42" w:right="42" w:firstLine="422"/>
              <w:jc w:val="center"/>
              <w:rPr>
                <w:b/>
                <w:bCs/>
                <w:sz w:val="21"/>
                <w:szCs w:val="21"/>
                <w:u w:val="none"/>
              </w:rPr>
            </w:pPr>
            <w:r>
              <w:rPr>
                <w:rFonts w:hint="eastAsia"/>
                <w:b/>
                <w:bCs/>
                <w:sz w:val="21"/>
                <w:szCs w:val="21"/>
                <w:u w:val="none"/>
              </w:rPr>
              <w:t>图3-1  项目在中国动物地理区划图中的位置示意</w:t>
            </w:r>
          </w:p>
          <w:p w14:paraId="55F4E66D">
            <w:pPr>
              <w:pStyle w:val="57"/>
              <w:ind w:left="42" w:right="42" w:firstLine="480"/>
              <w:rPr>
                <w:u w:val="none"/>
              </w:rPr>
            </w:pPr>
            <w:r>
              <w:rPr>
                <w:rFonts w:hint="eastAsia"/>
                <w:u w:val="none"/>
              </w:rPr>
              <w:t>根据《中国动物地理》相关描述，该区域分布的动物类群中，爬行类常见的是中国石龙子、华游蛇（</w:t>
            </w:r>
            <w:r>
              <w:rPr>
                <w:rFonts w:hint="eastAsia"/>
                <w:i/>
                <w:iCs/>
                <w:u w:val="none"/>
              </w:rPr>
              <w:t>Sinonatrix percarinata</w:t>
            </w:r>
            <w:r>
              <w:rPr>
                <w:rFonts w:hint="eastAsia"/>
                <w:u w:val="none"/>
              </w:rPr>
              <w:t>）、黑眉晨蛇（</w:t>
            </w:r>
            <w:r>
              <w:rPr>
                <w:rFonts w:hint="eastAsia"/>
                <w:i/>
                <w:iCs/>
                <w:u w:val="none"/>
              </w:rPr>
              <w:t>Elaphe taeniura</w:t>
            </w:r>
            <w:r>
              <w:rPr>
                <w:rFonts w:hint="eastAsia"/>
                <w:u w:val="none"/>
              </w:rPr>
              <w:t>）等南方常见种类，亦有北草蜥、虎斑颈槽蛇（</w:t>
            </w:r>
            <w:r>
              <w:rPr>
                <w:rFonts w:hint="eastAsia"/>
                <w:i/>
                <w:iCs/>
                <w:u w:val="none"/>
              </w:rPr>
              <w:t>Rhobdophis tigrina</w:t>
            </w:r>
            <w:r>
              <w:rPr>
                <w:rFonts w:hint="eastAsia"/>
                <w:u w:val="none"/>
              </w:rPr>
              <w:t>）等广布种；两栖类中黑斑侧褶蛙（</w:t>
            </w:r>
            <w:r>
              <w:rPr>
                <w:rFonts w:hint="eastAsia"/>
                <w:i/>
                <w:iCs/>
                <w:u w:val="none"/>
              </w:rPr>
              <w:t>Pelophylax nigromaculata</w:t>
            </w:r>
            <w:r>
              <w:rPr>
                <w:rFonts w:hint="eastAsia"/>
                <w:u w:val="none"/>
              </w:rPr>
              <w:t>）、中华蟾蜍、各种姬蛙等较为普遍；</w:t>
            </w:r>
            <w:r>
              <w:rPr>
                <w:rFonts w:hint="eastAsia"/>
                <w:color w:val="FF0000"/>
                <w:u w:val="none"/>
                <w:lang w:val="en-US" w:eastAsia="zh-CN"/>
              </w:rPr>
              <w:t>根据项目鸟评报告，</w:t>
            </w:r>
            <w:r>
              <w:rPr>
                <w:rFonts w:hint="eastAsia"/>
                <w:color w:val="FF0000"/>
                <w:u w:val="none"/>
              </w:rPr>
              <w:t>鸟类中</w:t>
            </w:r>
            <w:r>
              <w:rPr>
                <w:rFonts w:hint="default" w:ascii="Times New Roman" w:hAnsi="Times New Roman" w:cs="Times New Roman"/>
                <w:color w:val="FF0000"/>
                <w:sz w:val="24"/>
              </w:rPr>
              <w:t>优势种为白头鹎</w:t>
            </w:r>
            <w:r>
              <w:rPr>
                <w:rFonts w:hint="eastAsia" w:cs="Times New Roman"/>
                <w:color w:val="FF0000"/>
                <w:sz w:val="24"/>
                <w:lang w:eastAsia="zh-CN"/>
              </w:rPr>
              <w:t>（</w:t>
            </w:r>
            <w:r>
              <w:rPr>
                <w:rFonts w:eastAsia="华文楷体"/>
                <w:i/>
                <w:iCs/>
                <w:color w:val="FF0000"/>
              </w:rPr>
              <w:t>Pycnonotus sinensis</w:t>
            </w:r>
            <w:r>
              <w:rPr>
                <w:rFonts w:hint="eastAsia" w:cs="Times New Roman"/>
                <w:color w:val="FF0000"/>
                <w:sz w:val="24"/>
                <w:lang w:eastAsia="zh-CN"/>
              </w:rPr>
              <w:t>）</w:t>
            </w:r>
            <w:r>
              <w:rPr>
                <w:rFonts w:hint="default" w:ascii="Times New Roman" w:hAnsi="Times New Roman" w:cs="Times New Roman"/>
                <w:color w:val="FF0000"/>
                <w:sz w:val="24"/>
              </w:rPr>
              <w:t>和山麻雀</w:t>
            </w:r>
            <w:r>
              <w:rPr>
                <w:rFonts w:hint="eastAsia" w:cs="Times New Roman"/>
                <w:color w:val="FF0000"/>
                <w:sz w:val="24"/>
                <w:lang w:eastAsia="zh-CN"/>
              </w:rPr>
              <w:t>（</w:t>
            </w:r>
            <w:r>
              <w:rPr>
                <w:rFonts w:eastAsia="华文楷体"/>
                <w:i/>
                <w:iCs/>
                <w:color w:val="FF0000"/>
              </w:rPr>
              <w:t>P</w:t>
            </w:r>
            <w:r>
              <w:rPr>
                <w:rFonts w:eastAsia="华文楷体"/>
                <w:i/>
                <w:iCs/>
                <w:color w:val="FF0000"/>
                <w:kern w:val="0"/>
                <w:sz w:val="20"/>
              </w:rPr>
              <w:t>asser</w:t>
            </w:r>
            <w:r>
              <w:rPr>
                <w:rFonts w:eastAsia="华文楷体"/>
                <w:i/>
                <w:iCs/>
                <w:color w:val="FF0000"/>
              </w:rPr>
              <w:t xml:space="preserve"> rutilans rutilans</w:t>
            </w:r>
            <w:r>
              <w:rPr>
                <w:rFonts w:hint="eastAsia" w:cs="Times New Roman"/>
                <w:color w:val="FF0000"/>
                <w:sz w:val="24"/>
                <w:lang w:eastAsia="zh-CN"/>
              </w:rPr>
              <w:t>）</w:t>
            </w:r>
            <w:r>
              <w:rPr>
                <w:rFonts w:hint="default" w:ascii="Times New Roman" w:hAnsi="Times New Roman" w:cs="Times New Roman"/>
                <w:color w:val="FF0000"/>
                <w:sz w:val="24"/>
              </w:rPr>
              <w:t>，其次是</w:t>
            </w:r>
            <w:r>
              <w:rPr>
                <w:rFonts w:hint="default" w:ascii="Times New Roman" w:hAnsi="Times New Roman" w:cs="Times New Roman"/>
                <w:color w:val="FF0000"/>
                <w:kern w:val="0"/>
                <w:sz w:val="24"/>
              </w:rPr>
              <w:t>棕头鸦雀</w:t>
            </w:r>
            <w:r>
              <w:rPr>
                <w:rFonts w:hint="eastAsia" w:cs="Times New Roman"/>
                <w:color w:val="FF0000"/>
                <w:kern w:val="0"/>
                <w:sz w:val="24"/>
                <w:lang w:eastAsia="zh-CN"/>
              </w:rPr>
              <w:t>（</w:t>
            </w:r>
            <w:r>
              <w:rPr>
                <w:rFonts w:eastAsia="华文楷体"/>
                <w:i/>
                <w:iCs/>
                <w:color w:val="FF0000"/>
              </w:rPr>
              <w:t>Paradoxornis webbianus</w:t>
            </w:r>
            <w:r>
              <w:rPr>
                <w:rFonts w:hint="eastAsia" w:cs="Times New Roman"/>
                <w:color w:val="FF0000"/>
                <w:kern w:val="0"/>
                <w:sz w:val="24"/>
                <w:lang w:eastAsia="zh-CN"/>
              </w:rPr>
              <w:t>）</w:t>
            </w:r>
            <w:r>
              <w:rPr>
                <w:rFonts w:hint="default" w:ascii="Times New Roman" w:hAnsi="Times New Roman" w:cs="Times New Roman"/>
                <w:color w:val="FF0000"/>
                <w:kern w:val="0"/>
                <w:sz w:val="24"/>
              </w:rPr>
              <w:t>、白鹡鸰</w:t>
            </w:r>
            <w:r>
              <w:rPr>
                <w:rFonts w:hint="eastAsia" w:cs="Times New Roman"/>
                <w:color w:val="FF0000"/>
                <w:kern w:val="0"/>
                <w:sz w:val="24"/>
                <w:lang w:eastAsia="zh-CN"/>
              </w:rPr>
              <w:t>（</w:t>
            </w:r>
            <w:r>
              <w:rPr>
                <w:rFonts w:eastAsia="华文楷体"/>
                <w:i/>
                <w:iCs/>
                <w:color w:val="FF0000"/>
              </w:rPr>
              <w:t>M. alba</w:t>
            </w:r>
            <w:r>
              <w:rPr>
                <w:rFonts w:hint="eastAsia" w:cs="Times New Roman"/>
                <w:color w:val="FF0000"/>
                <w:kern w:val="0"/>
                <w:sz w:val="24"/>
                <w:lang w:eastAsia="zh-CN"/>
              </w:rPr>
              <w:t>）</w:t>
            </w:r>
            <w:r>
              <w:rPr>
                <w:rFonts w:hint="default" w:ascii="Times New Roman" w:hAnsi="Times New Roman" w:cs="Times New Roman"/>
                <w:color w:val="FF0000"/>
                <w:kern w:val="0"/>
                <w:sz w:val="24"/>
              </w:rPr>
              <w:t>和领雀嘴鹎</w:t>
            </w:r>
            <w:r>
              <w:rPr>
                <w:rFonts w:hint="eastAsia" w:cs="Times New Roman"/>
                <w:color w:val="FF0000"/>
                <w:kern w:val="0"/>
                <w:sz w:val="24"/>
                <w:lang w:eastAsia="zh-CN"/>
              </w:rPr>
              <w:t>（</w:t>
            </w:r>
            <w:r>
              <w:rPr>
                <w:rFonts w:eastAsia="华文楷体"/>
                <w:i/>
                <w:iCs/>
                <w:color w:val="FF0000"/>
              </w:rPr>
              <w:t>Spizixos semitorques</w:t>
            </w:r>
            <w:r>
              <w:rPr>
                <w:rFonts w:hint="eastAsia" w:cs="Times New Roman"/>
                <w:color w:val="FF0000"/>
                <w:kern w:val="0"/>
                <w:sz w:val="24"/>
                <w:lang w:eastAsia="zh-CN"/>
              </w:rPr>
              <w:t>）</w:t>
            </w:r>
            <w:r>
              <w:rPr>
                <w:rFonts w:hint="eastAsia"/>
                <w:color w:val="FF0000"/>
                <w:u w:val="none"/>
              </w:rPr>
              <w:t>。</w:t>
            </w:r>
          </w:p>
          <w:p w14:paraId="6E5126F2">
            <w:pPr>
              <w:pStyle w:val="62"/>
              <w:ind w:firstLine="480"/>
              <w:rPr>
                <w:rFonts w:cs="Times New Roman"/>
                <w:u w:val="none"/>
              </w:rPr>
            </w:pPr>
            <w:r>
              <w:rPr>
                <w:rFonts w:hint="eastAsia" w:cs="Times New Roman"/>
                <w:u w:val="none"/>
                <w:lang w:val="en-US" w:eastAsia="zh-CN"/>
              </w:rPr>
              <w:t>根据项目鸟评报告，</w:t>
            </w:r>
            <w:r>
              <w:rPr>
                <w:rFonts w:hint="eastAsia" w:cs="Times New Roman"/>
                <w:u w:val="none"/>
              </w:rPr>
              <w:t>鸟类种类、数量等现状如下：</w:t>
            </w:r>
          </w:p>
          <w:p w14:paraId="308E6315">
            <w:pPr>
              <w:pStyle w:val="62"/>
              <w:ind w:firstLine="480"/>
              <w:rPr>
                <w:rFonts w:cs="Times New Roman"/>
                <w:u w:val="none"/>
              </w:rPr>
            </w:pPr>
            <w:r>
              <w:rPr>
                <w:rFonts w:hint="eastAsia" w:cs="Times New Roman"/>
                <w:u w:val="none"/>
                <w:lang w:eastAsia="zh-CN"/>
              </w:rPr>
              <w:t>（</w:t>
            </w:r>
            <w:r>
              <w:rPr>
                <w:rFonts w:hint="eastAsia" w:cs="Times New Roman"/>
                <w:u w:val="none"/>
                <w:lang w:val="en-US" w:eastAsia="zh-CN"/>
              </w:rPr>
              <w:t>1</w:t>
            </w:r>
            <w:r>
              <w:rPr>
                <w:rFonts w:hint="eastAsia" w:cs="Times New Roman"/>
                <w:u w:val="none"/>
                <w:lang w:eastAsia="zh-CN"/>
              </w:rPr>
              <w:t>）</w:t>
            </w:r>
            <w:r>
              <w:rPr>
                <w:rFonts w:hint="eastAsia" w:cs="Times New Roman"/>
                <w:u w:val="none"/>
              </w:rPr>
              <w:t>种类、数量</w:t>
            </w:r>
          </w:p>
          <w:p w14:paraId="6ACB1903">
            <w:pPr>
              <w:pStyle w:val="62"/>
              <w:ind w:firstLine="480"/>
              <w:rPr>
                <w:rFonts w:hint="eastAsia" w:cs="Times New Roman"/>
                <w:u w:val="none"/>
              </w:rPr>
            </w:pPr>
            <w:r>
              <w:rPr>
                <w:rFonts w:hint="eastAsia" w:cs="Times New Roman"/>
                <w:u w:val="none"/>
              </w:rPr>
              <w:t>评价区内鸟类共有14目</w:t>
            </w:r>
            <w:r>
              <w:rPr>
                <w:rFonts w:hint="eastAsia" w:cs="Times New Roman"/>
                <w:u w:val="none"/>
                <w:lang w:val="en-US" w:eastAsia="zh-CN"/>
              </w:rPr>
              <w:t>36</w:t>
            </w:r>
            <w:r>
              <w:rPr>
                <w:rFonts w:hint="eastAsia" w:cs="Times New Roman"/>
                <w:u w:val="none"/>
              </w:rPr>
              <w:t>科</w:t>
            </w:r>
            <w:r>
              <w:rPr>
                <w:rFonts w:hint="eastAsia" w:cs="Times New Roman"/>
                <w:u w:val="none"/>
                <w:lang w:val="en-US" w:eastAsia="zh-CN"/>
              </w:rPr>
              <w:t>73</w:t>
            </w:r>
            <w:r>
              <w:rPr>
                <w:rFonts w:hint="eastAsia" w:cs="Times New Roman"/>
                <w:u w:val="none"/>
              </w:rPr>
              <w:t>种（名录见</w:t>
            </w:r>
            <w:r>
              <w:rPr>
                <w:rFonts w:hint="eastAsia" w:cs="Times New Roman"/>
                <w:u w:val="none"/>
                <w:lang w:val="en-US" w:eastAsia="zh-CN"/>
              </w:rPr>
              <w:t>鸟评报告附件</w:t>
            </w:r>
            <w:r>
              <w:rPr>
                <w:rFonts w:hint="eastAsia" w:cs="Times New Roman"/>
                <w:u w:val="none"/>
              </w:rPr>
              <w:t>）。其中雀形目的种类最多，有</w:t>
            </w:r>
            <w:r>
              <w:rPr>
                <w:rFonts w:hint="eastAsia" w:cs="Times New Roman"/>
                <w:u w:val="none"/>
                <w:lang w:val="en-US" w:eastAsia="zh-CN"/>
              </w:rPr>
              <w:t>47</w:t>
            </w:r>
            <w:r>
              <w:rPr>
                <w:rFonts w:hint="eastAsia" w:cs="Times New Roman"/>
                <w:u w:val="none"/>
              </w:rPr>
              <w:t>种，占69.14%。评价区内国家Ⅱ级重点保护鸟类有</w:t>
            </w:r>
            <w:r>
              <w:rPr>
                <w:rFonts w:hint="eastAsia" w:cs="Times New Roman"/>
                <w:u w:val="none"/>
                <w:lang w:val="en-US" w:eastAsia="zh-CN"/>
              </w:rPr>
              <w:t>7</w:t>
            </w:r>
            <w:r>
              <w:rPr>
                <w:rFonts w:hint="eastAsia" w:cs="Times New Roman"/>
                <w:u w:val="none"/>
              </w:rPr>
              <w:t>种，分别为</w:t>
            </w:r>
            <w:r>
              <w:rPr>
                <w:rFonts w:hint="default" w:ascii="Times New Roman" w:hAnsi="Times New Roman" w:cs="Times New Roman"/>
                <w:kern w:val="0"/>
                <w:sz w:val="24"/>
              </w:rPr>
              <w:t>红隼</w:t>
            </w:r>
            <w:r>
              <w:rPr>
                <w:rFonts w:hint="default" w:ascii="Times New Roman" w:hAnsi="Times New Roman" w:cs="Times New Roman"/>
                <w:i/>
                <w:kern w:val="0"/>
                <w:sz w:val="24"/>
              </w:rPr>
              <w:t>Falco tinnunculus</w:t>
            </w:r>
            <w:r>
              <w:rPr>
                <w:rFonts w:hint="default" w:ascii="Times New Roman" w:hAnsi="Times New Roman" w:cs="Times New Roman"/>
                <w:sz w:val="24"/>
              </w:rPr>
              <w:t>、松雀鹰</w:t>
            </w:r>
            <w:r>
              <w:rPr>
                <w:rFonts w:hint="default" w:ascii="Times New Roman" w:hAnsi="Times New Roman" w:eastAsia="华文楷体" w:cs="Times New Roman"/>
                <w:i/>
                <w:iCs/>
                <w:sz w:val="24"/>
              </w:rPr>
              <w:t>A.gularis</w:t>
            </w:r>
            <w:r>
              <w:rPr>
                <w:rFonts w:hint="default" w:ascii="Times New Roman" w:hAnsi="Times New Roman" w:eastAsia="华文楷体" w:cs="Times New Roman"/>
                <w:iCs/>
                <w:sz w:val="24"/>
              </w:rPr>
              <w:t>、</w:t>
            </w:r>
            <w:r>
              <w:rPr>
                <w:rFonts w:hint="default" w:ascii="Times New Roman" w:hAnsi="Times New Roman" w:cs="Times New Roman"/>
                <w:sz w:val="24"/>
              </w:rPr>
              <w:t>白尾鹞</w:t>
            </w:r>
            <w:r>
              <w:rPr>
                <w:rFonts w:hint="default" w:ascii="Times New Roman" w:hAnsi="Times New Roman" w:eastAsia="华文楷体" w:cs="Times New Roman"/>
                <w:i/>
                <w:sz w:val="24"/>
              </w:rPr>
              <w:t>Circus cyaneus</w:t>
            </w:r>
            <w:r>
              <w:rPr>
                <w:rFonts w:hint="default" w:ascii="Times New Roman" w:hAnsi="Times New Roman" w:eastAsia="华文楷体" w:cs="Times New Roman"/>
                <w:sz w:val="24"/>
              </w:rPr>
              <w:t>、</w:t>
            </w:r>
            <w:r>
              <w:rPr>
                <w:rFonts w:hint="default" w:ascii="Times New Roman" w:hAnsi="Times New Roman" w:cs="Times New Roman"/>
                <w:sz w:val="24"/>
              </w:rPr>
              <w:t>领角鸮</w:t>
            </w:r>
            <w:r>
              <w:rPr>
                <w:rFonts w:hint="default" w:ascii="Times New Roman" w:hAnsi="Times New Roman" w:eastAsia="华文楷体" w:cs="Times New Roman"/>
                <w:i/>
                <w:iCs/>
                <w:sz w:val="24"/>
              </w:rPr>
              <w:t>Otus bakkamoena</w:t>
            </w:r>
            <w:r>
              <w:rPr>
                <w:rFonts w:hint="default" w:ascii="Times New Roman" w:hAnsi="Times New Roman" w:eastAsia="华文楷体" w:cs="Times New Roman"/>
                <w:iCs/>
                <w:sz w:val="24"/>
              </w:rPr>
              <w:t>、</w:t>
            </w:r>
            <w:r>
              <w:rPr>
                <w:rFonts w:hint="default" w:ascii="Times New Roman" w:hAnsi="Times New Roman" w:cs="Times New Roman"/>
                <w:sz w:val="24"/>
              </w:rPr>
              <w:t>斑头鸺鹠</w:t>
            </w:r>
            <w:r>
              <w:rPr>
                <w:rFonts w:hint="default" w:ascii="Times New Roman" w:hAnsi="Times New Roman" w:eastAsia="华文楷体" w:cs="Times New Roman"/>
                <w:i/>
                <w:iCs/>
                <w:sz w:val="24"/>
              </w:rPr>
              <w:t>Glancidium.cuculoides</w:t>
            </w:r>
            <w:r>
              <w:rPr>
                <w:rFonts w:hint="default" w:ascii="Times New Roman" w:hAnsi="Times New Roman" w:eastAsia="华文楷体" w:cs="Times New Roman"/>
                <w:iCs/>
                <w:sz w:val="24"/>
              </w:rPr>
              <w:t>、</w:t>
            </w:r>
            <w:r>
              <w:rPr>
                <w:rFonts w:hint="default" w:ascii="Times New Roman" w:hAnsi="Times New Roman" w:cs="Times New Roman"/>
                <w:iCs/>
                <w:sz w:val="24"/>
              </w:rPr>
              <w:t>小鸦鹃</w:t>
            </w:r>
            <w:r>
              <w:rPr>
                <w:rFonts w:hint="default" w:ascii="Times New Roman" w:hAnsi="Times New Roman" w:eastAsia="华文楷体" w:cs="Times New Roman"/>
                <w:i/>
                <w:iCs/>
                <w:sz w:val="24"/>
              </w:rPr>
              <w:t>Centropus bengalensis</w:t>
            </w:r>
            <w:r>
              <w:rPr>
                <w:rFonts w:hint="default" w:ascii="Times New Roman" w:hAnsi="Times New Roman" w:eastAsia="华文楷体" w:cs="Times New Roman"/>
                <w:iCs/>
                <w:sz w:val="24"/>
              </w:rPr>
              <w:t>和</w:t>
            </w:r>
            <w:r>
              <w:rPr>
                <w:rFonts w:hint="default" w:ascii="Times New Roman" w:hAnsi="Times New Roman" w:cs="Times New Roman"/>
                <w:iCs/>
                <w:sz w:val="24"/>
              </w:rPr>
              <w:t>画眉</w:t>
            </w:r>
            <w:r>
              <w:rPr>
                <w:rFonts w:hint="default" w:ascii="Times New Roman" w:hAnsi="Times New Roman" w:eastAsia="华文楷体" w:cs="Times New Roman"/>
                <w:i/>
                <w:iCs/>
                <w:sz w:val="24"/>
              </w:rPr>
              <w:t>Garrulax caniyus</w:t>
            </w:r>
            <w:r>
              <w:rPr>
                <w:rFonts w:hint="eastAsia" w:cs="Times New Roman"/>
                <w:u w:val="none"/>
              </w:rPr>
              <w:t>；</w:t>
            </w:r>
            <w:r>
              <w:rPr>
                <w:rFonts w:hint="default" w:ascii="Times New Roman" w:hAnsi="Times New Roman" w:cs="Times New Roman"/>
                <w:sz w:val="24"/>
              </w:rPr>
              <w:t>列入中日候鸟保护协定的有中白鹭</w:t>
            </w:r>
            <w:r>
              <w:rPr>
                <w:rFonts w:hint="default" w:ascii="Times New Roman" w:hAnsi="Times New Roman" w:cs="Times New Roman"/>
                <w:i/>
                <w:sz w:val="24"/>
              </w:rPr>
              <w:t>Egretta intermedia</w:t>
            </w:r>
            <w:r>
              <w:rPr>
                <w:rFonts w:hint="default" w:ascii="Times New Roman" w:hAnsi="Times New Roman" w:cs="Times New Roman"/>
                <w:sz w:val="24"/>
              </w:rPr>
              <w:t>等18种；列入中澳候鸟保护协定的有家燕</w:t>
            </w:r>
            <w:r>
              <w:rPr>
                <w:rFonts w:hint="default" w:ascii="Times New Roman" w:hAnsi="Times New Roman" w:cs="Times New Roman"/>
                <w:i/>
                <w:sz w:val="24"/>
              </w:rPr>
              <w:t>Hirundo rustica</w:t>
            </w:r>
            <w:r>
              <w:rPr>
                <w:rFonts w:hint="default" w:ascii="Times New Roman" w:hAnsi="Times New Roman" w:cs="Times New Roman"/>
                <w:sz w:val="24"/>
              </w:rPr>
              <w:t>等3种；列入贸易公约附录Ⅱ的有燕隼等4种，附录</w:t>
            </w:r>
            <w:r>
              <w:rPr>
                <w:rFonts w:hint="default" w:ascii="Times New Roman" w:hAnsi="Times New Roman" w:cs="Times New Roman"/>
                <w:b/>
                <w:bCs/>
                <w:sz w:val="24"/>
              </w:rPr>
              <w:t>Ⅲ</w:t>
            </w:r>
            <w:r>
              <w:rPr>
                <w:rFonts w:hint="default" w:ascii="Times New Roman" w:hAnsi="Times New Roman" w:cs="Times New Roman"/>
                <w:sz w:val="24"/>
              </w:rPr>
              <w:t>有画眉</w:t>
            </w:r>
            <w:r>
              <w:rPr>
                <w:rFonts w:hint="default" w:ascii="Times New Roman" w:hAnsi="Times New Roman" w:cs="Times New Roman"/>
                <w:i/>
                <w:iCs/>
                <w:sz w:val="24"/>
              </w:rPr>
              <w:t>Garrulax. canirus canirus</w:t>
            </w:r>
            <w:r>
              <w:rPr>
                <w:rFonts w:hint="default" w:ascii="Times New Roman" w:hAnsi="Times New Roman" w:cs="Times New Roman"/>
                <w:sz w:val="24"/>
              </w:rPr>
              <w:t>1种。湖南省地方保护物种51种。</w:t>
            </w:r>
          </w:p>
          <w:p w14:paraId="4E4BF9EA">
            <w:pPr>
              <w:pStyle w:val="62"/>
              <w:ind w:firstLine="480"/>
              <w:rPr>
                <w:rFonts w:cs="Times New Roman"/>
                <w:u w:val="none"/>
              </w:rPr>
            </w:pPr>
            <w:r>
              <w:rPr>
                <w:rFonts w:hint="eastAsia" w:cs="Times New Roman"/>
                <w:u w:val="none"/>
                <w:lang w:eastAsia="zh-CN"/>
              </w:rPr>
              <w:t>（</w:t>
            </w:r>
            <w:r>
              <w:rPr>
                <w:rFonts w:hint="eastAsia" w:cs="Times New Roman"/>
                <w:u w:val="none"/>
                <w:lang w:val="en-US" w:eastAsia="zh-CN"/>
              </w:rPr>
              <w:t>2</w:t>
            </w:r>
            <w:r>
              <w:rPr>
                <w:rFonts w:hint="eastAsia" w:cs="Times New Roman"/>
                <w:u w:val="none"/>
                <w:lang w:eastAsia="zh-CN"/>
              </w:rPr>
              <w:t>）</w:t>
            </w:r>
            <w:r>
              <w:rPr>
                <w:rFonts w:hint="eastAsia" w:cs="Times New Roman"/>
                <w:u w:val="none"/>
              </w:rPr>
              <w:t>居留型和群落类型</w:t>
            </w:r>
          </w:p>
          <w:p w14:paraId="48EFB17D">
            <w:pPr>
              <w:pStyle w:val="62"/>
              <w:ind w:firstLine="480"/>
              <w:rPr>
                <w:rFonts w:hint="eastAsia" w:eastAsia="宋体" w:cs="Times New Roman"/>
                <w:u w:val="none"/>
                <w:lang w:eastAsia="zh-CN"/>
              </w:rPr>
            </w:pPr>
            <w:r>
              <w:rPr>
                <w:rFonts w:hAnsi="宋体"/>
                <w:sz w:val="24"/>
              </w:rPr>
              <w:t>本次调查中记录的</w:t>
            </w:r>
            <w:r>
              <w:rPr>
                <w:sz w:val="24"/>
              </w:rPr>
              <w:t>73</w:t>
            </w:r>
            <w:r>
              <w:rPr>
                <w:rFonts w:hAnsi="宋体"/>
                <w:sz w:val="24"/>
              </w:rPr>
              <w:t>个鸟类</w:t>
            </w:r>
            <w:r>
              <w:rPr>
                <w:rFonts w:hint="eastAsia" w:hAnsi="宋体"/>
                <w:sz w:val="24"/>
              </w:rPr>
              <w:t>物种</w:t>
            </w:r>
            <w:r>
              <w:rPr>
                <w:rFonts w:hAnsi="宋体"/>
                <w:sz w:val="24"/>
              </w:rPr>
              <w:t>中，以留鸟居多，计</w:t>
            </w:r>
            <w:r>
              <w:rPr>
                <w:sz w:val="24"/>
              </w:rPr>
              <w:t>46</w:t>
            </w:r>
            <w:r>
              <w:rPr>
                <w:rFonts w:hAnsi="宋体"/>
                <w:sz w:val="24"/>
              </w:rPr>
              <w:t>种</w:t>
            </w:r>
            <w:r>
              <w:rPr>
                <w:rFonts w:hint="eastAsia" w:hAnsi="宋体"/>
                <w:sz w:val="24"/>
              </w:rPr>
              <w:t>，</w:t>
            </w:r>
            <w:bookmarkStart w:id="294" w:name="_Hlk492388537"/>
            <w:r>
              <w:rPr>
                <w:rFonts w:hint="eastAsia" w:hAnsi="宋体"/>
                <w:sz w:val="24"/>
              </w:rPr>
              <w:t>占</w:t>
            </w:r>
            <w:r>
              <w:rPr>
                <w:rFonts w:hAnsi="宋体"/>
                <w:sz w:val="24"/>
              </w:rPr>
              <w:t>63</w:t>
            </w:r>
            <w:r>
              <w:rPr>
                <w:rFonts w:hint="eastAsia" w:hAnsi="宋体"/>
                <w:sz w:val="24"/>
              </w:rPr>
              <w:t>.</w:t>
            </w:r>
            <w:r>
              <w:rPr>
                <w:rFonts w:hAnsi="宋体"/>
                <w:sz w:val="24"/>
              </w:rPr>
              <w:t>01%</w:t>
            </w:r>
            <w:bookmarkEnd w:id="294"/>
            <w:r>
              <w:rPr>
                <w:rFonts w:hint="eastAsia" w:hAnsi="宋体"/>
                <w:sz w:val="24"/>
              </w:rPr>
              <w:t>，处较大</w:t>
            </w:r>
            <w:r>
              <w:rPr>
                <w:rFonts w:hAnsi="宋体"/>
                <w:sz w:val="24"/>
              </w:rPr>
              <w:t>优势；夏候鸟</w:t>
            </w:r>
            <w:r>
              <w:rPr>
                <w:sz w:val="24"/>
              </w:rPr>
              <w:t>21</w:t>
            </w:r>
            <w:r>
              <w:rPr>
                <w:rFonts w:hAnsi="宋体"/>
                <w:sz w:val="24"/>
              </w:rPr>
              <w:t>种，</w:t>
            </w:r>
            <w:r>
              <w:rPr>
                <w:rFonts w:hint="eastAsia" w:hAnsi="宋体"/>
                <w:sz w:val="24"/>
              </w:rPr>
              <w:t>占</w:t>
            </w:r>
            <w:r>
              <w:rPr>
                <w:rFonts w:hAnsi="宋体"/>
                <w:sz w:val="24"/>
              </w:rPr>
              <w:t>28.76%</w:t>
            </w:r>
            <w:r>
              <w:rPr>
                <w:rFonts w:hint="eastAsia" w:hAnsi="宋体"/>
                <w:sz w:val="24"/>
              </w:rPr>
              <w:t>；</w:t>
            </w:r>
            <w:r>
              <w:rPr>
                <w:rFonts w:hAnsi="宋体"/>
                <w:sz w:val="24"/>
              </w:rPr>
              <w:t>冬候鸟</w:t>
            </w:r>
            <w:r>
              <w:rPr>
                <w:rFonts w:hint="eastAsia" w:hAnsi="宋体"/>
                <w:sz w:val="24"/>
              </w:rPr>
              <w:t>有</w:t>
            </w:r>
            <w:r>
              <w:rPr>
                <w:sz w:val="24"/>
              </w:rPr>
              <w:t>6</w:t>
            </w:r>
            <w:r>
              <w:rPr>
                <w:rFonts w:hAnsi="宋体"/>
                <w:sz w:val="24"/>
              </w:rPr>
              <w:t>种</w:t>
            </w:r>
            <w:r>
              <w:rPr>
                <w:rFonts w:hint="eastAsia" w:hAnsi="宋体"/>
                <w:sz w:val="24"/>
              </w:rPr>
              <w:t>，占</w:t>
            </w:r>
            <w:r>
              <w:rPr>
                <w:rFonts w:hAnsi="宋体"/>
                <w:sz w:val="24"/>
              </w:rPr>
              <w:t>8.23%</w:t>
            </w:r>
            <w:r>
              <w:rPr>
                <w:rFonts w:hint="eastAsia" w:hAnsi="宋体"/>
                <w:sz w:val="24"/>
              </w:rPr>
              <w:t>；无旅鸟组分。</w:t>
            </w:r>
            <w:r>
              <w:rPr>
                <w:rFonts w:hAnsi="宋体"/>
                <w:sz w:val="24"/>
              </w:rPr>
              <w:t>46</w:t>
            </w:r>
            <w:r>
              <w:rPr>
                <w:rFonts w:hint="eastAsia" w:hAnsi="宋体"/>
                <w:sz w:val="24"/>
              </w:rPr>
              <w:t>种</w:t>
            </w:r>
            <w:r>
              <w:rPr>
                <w:rFonts w:hAnsi="宋体"/>
                <w:sz w:val="24"/>
              </w:rPr>
              <w:t>留鸟</w:t>
            </w:r>
            <w:r>
              <w:rPr>
                <w:rFonts w:hint="eastAsia" w:hAnsi="宋体"/>
                <w:sz w:val="24"/>
              </w:rPr>
              <w:t>和</w:t>
            </w:r>
            <w:r>
              <w:rPr>
                <w:rFonts w:hAnsi="宋体"/>
                <w:sz w:val="24"/>
              </w:rPr>
              <w:t>21</w:t>
            </w:r>
            <w:r>
              <w:rPr>
                <w:rFonts w:hint="eastAsia" w:hAnsi="宋体"/>
                <w:sz w:val="24"/>
              </w:rPr>
              <w:t>种</w:t>
            </w:r>
            <w:r>
              <w:rPr>
                <w:rFonts w:hAnsi="宋体"/>
                <w:sz w:val="24"/>
              </w:rPr>
              <w:t>夏候鸟</w:t>
            </w:r>
            <w:r>
              <w:rPr>
                <w:rFonts w:hint="eastAsia" w:hAnsi="宋体"/>
                <w:sz w:val="24"/>
              </w:rPr>
              <w:t>计</w:t>
            </w:r>
            <w:r>
              <w:rPr>
                <w:rFonts w:hAnsi="宋体"/>
                <w:sz w:val="24"/>
              </w:rPr>
              <w:t>67</w:t>
            </w:r>
            <w:r>
              <w:rPr>
                <w:rFonts w:hint="eastAsia" w:hAnsi="宋体"/>
                <w:sz w:val="24"/>
              </w:rPr>
              <w:t>种构成了夏季</w:t>
            </w:r>
            <w:r>
              <w:rPr>
                <w:rFonts w:hAnsi="宋体"/>
                <w:sz w:val="24"/>
              </w:rPr>
              <w:t>繁殖</w:t>
            </w:r>
            <w:r>
              <w:rPr>
                <w:rFonts w:hint="eastAsia" w:hAnsi="宋体"/>
                <w:sz w:val="24"/>
              </w:rPr>
              <w:t>季节的</w:t>
            </w:r>
            <w:r>
              <w:rPr>
                <w:rFonts w:hAnsi="宋体"/>
                <w:sz w:val="24"/>
              </w:rPr>
              <w:t>鸟类</w:t>
            </w:r>
            <w:r>
              <w:rPr>
                <w:rFonts w:hint="eastAsia" w:hAnsi="宋体"/>
                <w:sz w:val="24"/>
              </w:rPr>
              <w:t>群落，而</w:t>
            </w:r>
            <w:r>
              <w:rPr>
                <w:rFonts w:hAnsi="宋体"/>
                <w:sz w:val="24"/>
              </w:rPr>
              <w:t>留鸟</w:t>
            </w:r>
            <w:r>
              <w:rPr>
                <w:rFonts w:hint="eastAsia" w:hAnsi="宋体"/>
                <w:sz w:val="24"/>
              </w:rPr>
              <w:t>和</w:t>
            </w:r>
            <w:r>
              <w:rPr>
                <w:rFonts w:hAnsi="宋体"/>
                <w:sz w:val="24"/>
              </w:rPr>
              <w:t>6</w:t>
            </w:r>
            <w:r>
              <w:rPr>
                <w:rFonts w:hint="eastAsia" w:hAnsi="宋体"/>
                <w:sz w:val="24"/>
              </w:rPr>
              <w:t>种冬</w:t>
            </w:r>
            <w:r>
              <w:rPr>
                <w:rFonts w:hAnsi="宋体"/>
                <w:sz w:val="24"/>
              </w:rPr>
              <w:t>候鸟</w:t>
            </w:r>
            <w:r>
              <w:rPr>
                <w:rFonts w:hint="eastAsia" w:hAnsi="宋体"/>
                <w:sz w:val="24"/>
              </w:rPr>
              <w:t>构成的</w:t>
            </w:r>
            <w:r>
              <w:rPr>
                <w:rFonts w:hAnsi="宋体"/>
                <w:sz w:val="24"/>
              </w:rPr>
              <w:t>52</w:t>
            </w:r>
            <w:r>
              <w:rPr>
                <w:rFonts w:hint="eastAsia" w:hAnsi="宋体"/>
                <w:sz w:val="24"/>
              </w:rPr>
              <w:t>种则构成了越冬季节的鸟类群落。表明调查区生态</w:t>
            </w:r>
            <w:r>
              <w:rPr>
                <w:rFonts w:hAnsi="宋体"/>
                <w:sz w:val="24"/>
              </w:rPr>
              <w:t>系统</w:t>
            </w:r>
            <w:r>
              <w:rPr>
                <w:rFonts w:hint="eastAsia" w:hAnsi="宋体"/>
                <w:sz w:val="24"/>
              </w:rPr>
              <w:t>有一定承载动物生物多样性的能力，同时以鸟类为重要组分的野生动物群体</w:t>
            </w:r>
            <w:r>
              <w:rPr>
                <w:rFonts w:hAnsi="宋体"/>
                <w:sz w:val="24"/>
              </w:rPr>
              <w:t>有效的维系</w:t>
            </w:r>
            <w:r>
              <w:rPr>
                <w:rFonts w:hint="eastAsia" w:hAnsi="宋体"/>
                <w:sz w:val="24"/>
              </w:rPr>
              <w:t>其</w:t>
            </w:r>
            <w:r>
              <w:rPr>
                <w:rFonts w:hAnsi="宋体"/>
                <w:sz w:val="24"/>
              </w:rPr>
              <w:t>的生态平衡和森林景观</w:t>
            </w:r>
            <w:r>
              <w:rPr>
                <w:rFonts w:hint="eastAsia" w:hAnsi="宋体"/>
                <w:sz w:val="24"/>
              </w:rPr>
              <w:t>健康</w:t>
            </w:r>
            <w:r>
              <w:rPr>
                <w:rFonts w:hAnsi="宋体"/>
                <w:sz w:val="24"/>
              </w:rPr>
              <w:t>。</w:t>
            </w:r>
            <w:r>
              <w:rPr>
                <w:rFonts w:hint="eastAsia" w:hAnsi="宋体"/>
                <w:sz w:val="24"/>
              </w:rPr>
              <w:t>因调查区</w:t>
            </w:r>
            <w:r>
              <w:rPr>
                <w:rFonts w:hint="eastAsia" w:ascii="宋体" w:hAnsi="宋体"/>
                <w:sz w:val="24"/>
              </w:rPr>
              <w:t>多</w:t>
            </w:r>
            <w:r>
              <w:rPr>
                <w:rFonts w:hint="eastAsia"/>
                <w:sz w:val="24"/>
              </w:rPr>
              <w:t>处于</w:t>
            </w:r>
            <w:r>
              <w:rPr>
                <w:rFonts w:hint="eastAsia"/>
                <w:sz w:val="24"/>
                <w:lang w:val="en-US" w:eastAsia="zh-CN"/>
              </w:rPr>
              <w:t>45</w:t>
            </w:r>
            <w:r>
              <w:rPr>
                <w:rFonts w:hint="eastAsia"/>
                <w:sz w:val="24"/>
              </w:rPr>
              <w:t>0</w:t>
            </w:r>
            <w:r>
              <w:rPr>
                <w:sz w:val="24"/>
              </w:rPr>
              <w:t>-</w:t>
            </w:r>
            <w:r>
              <w:rPr>
                <w:rFonts w:hint="eastAsia"/>
                <w:sz w:val="24"/>
                <w:lang w:val="en-US" w:eastAsia="zh-CN"/>
              </w:rPr>
              <w:t>65</w:t>
            </w:r>
            <w:r>
              <w:rPr>
                <w:sz w:val="24"/>
              </w:rPr>
              <w:t>0</w:t>
            </w:r>
            <w:r>
              <w:rPr>
                <w:rFonts w:hint="eastAsia"/>
                <w:sz w:val="24"/>
                <w:lang w:val="en-US" w:eastAsia="zh-CN"/>
              </w:rPr>
              <w:t>米</w:t>
            </w:r>
            <w:r>
              <w:rPr>
                <w:rFonts w:hint="eastAsia" w:ascii="宋体" w:hAnsi="宋体"/>
                <w:sz w:val="24"/>
              </w:rPr>
              <w:t>低中山</w:t>
            </w:r>
            <w:r>
              <w:rPr>
                <w:rFonts w:ascii="宋体" w:hAnsi="宋体"/>
                <w:sz w:val="24"/>
              </w:rPr>
              <w:t>地貌，</w:t>
            </w:r>
            <w:r>
              <w:rPr>
                <w:rFonts w:hint="eastAsia" w:ascii="宋体" w:hAnsi="宋体"/>
                <w:sz w:val="24"/>
              </w:rPr>
              <w:t>多为</w:t>
            </w:r>
            <w:r>
              <w:rPr>
                <w:rFonts w:ascii="宋体" w:hAnsi="宋体"/>
                <w:sz w:val="24"/>
              </w:rPr>
              <w:t>森林灌丛，农田</w:t>
            </w:r>
            <w:r>
              <w:rPr>
                <w:rFonts w:hint="eastAsia" w:ascii="宋体" w:hAnsi="宋体"/>
                <w:sz w:val="24"/>
              </w:rPr>
              <w:t>水域组分不高</w:t>
            </w:r>
            <w:r>
              <w:rPr>
                <w:rFonts w:ascii="宋体" w:hAnsi="宋体"/>
                <w:sz w:val="24"/>
              </w:rPr>
              <w:t>，河流又位于调查</w:t>
            </w:r>
            <w:r>
              <w:rPr>
                <w:rFonts w:hAnsi="宋体"/>
                <w:sz w:val="24"/>
              </w:rPr>
              <w:t>区外</w:t>
            </w:r>
            <w:r>
              <w:rPr>
                <w:rFonts w:hint="eastAsia" w:hAnsi="宋体"/>
                <w:sz w:val="24"/>
              </w:rPr>
              <w:t>，因此</w:t>
            </w:r>
            <w:r>
              <w:rPr>
                <w:rFonts w:hAnsi="宋体"/>
                <w:sz w:val="24"/>
              </w:rPr>
              <w:t>鸟类</w:t>
            </w:r>
            <w:r>
              <w:rPr>
                <w:rFonts w:hint="eastAsia" w:hAnsi="宋体"/>
                <w:sz w:val="24"/>
              </w:rPr>
              <w:t>各居留类型里水鸟组分均很低，以</w:t>
            </w:r>
            <w:r>
              <w:rPr>
                <w:rFonts w:hAnsi="宋体"/>
                <w:sz w:val="24"/>
              </w:rPr>
              <w:t>林栖</w:t>
            </w:r>
            <w:r>
              <w:rPr>
                <w:rFonts w:hint="eastAsia" w:hAnsi="宋体"/>
                <w:sz w:val="24"/>
              </w:rPr>
              <w:t>性</w:t>
            </w:r>
            <w:r>
              <w:rPr>
                <w:rFonts w:hAnsi="宋体"/>
                <w:sz w:val="24"/>
              </w:rPr>
              <w:t>或村落鸟类为主</w:t>
            </w:r>
            <w:r>
              <w:rPr>
                <w:rFonts w:hint="eastAsia" w:hAnsi="宋体"/>
                <w:sz w:val="24"/>
                <w:lang w:eastAsia="zh-CN"/>
              </w:rPr>
              <w:t>。</w:t>
            </w:r>
          </w:p>
          <w:p w14:paraId="3DD4ED13">
            <w:pPr>
              <w:pStyle w:val="62"/>
              <w:ind w:firstLine="480"/>
              <w:rPr>
                <w:rFonts w:cs="Times New Roman"/>
                <w:u w:val="none"/>
              </w:rPr>
            </w:pPr>
            <w:r>
              <w:rPr>
                <w:rFonts w:hint="eastAsia" w:cs="Times New Roman"/>
                <w:u w:val="none"/>
                <w:lang w:eastAsia="zh-CN"/>
              </w:rPr>
              <w:t>（</w:t>
            </w:r>
            <w:r>
              <w:rPr>
                <w:rFonts w:hint="eastAsia" w:cs="Times New Roman"/>
                <w:u w:val="none"/>
                <w:lang w:val="en-US" w:eastAsia="zh-CN"/>
              </w:rPr>
              <w:t>3</w:t>
            </w:r>
            <w:r>
              <w:rPr>
                <w:rFonts w:hint="eastAsia" w:cs="Times New Roman"/>
                <w:u w:val="none"/>
                <w:lang w:eastAsia="zh-CN"/>
              </w:rPr>
              <w:t>）</w:t>
            </w:r>
            <w:r>
              <w:rPr>
                <w:rFonts w:hint="eastAsia" w:cs="Times New Roman"/>
                <w:u w:val="none"/>
              </w:rPr>
              <w:t>评价区域鸟类迁徙现状</w:t>
            </w:r>
          </w:p>
          <w:p w14:paraId="5AC74738">
            <w:pPr>
              <w:spacing w:line="360" w:lineRule="auto"/>
              <w:ind w:firstLine="480" w:firstLineChars="200"/>
              <w:rPr>
                <w:rFonts w:hint="default" w:ascii="Times New Roman" w:hAnsi="Times New Roman" w:eastAsia="宋体" w:cs="Times New Roman"/>
                <w:color w:val="FF0000"/>
                <w:sz w:val="24"/>
              </w:rPr>
            </w:pPr>
            <w:r>
              <w:rPr>
                <w:rFonts w:hint="eastAsia" w:hAnsi="宋体"/>
                <w:color w:val="FF0000"/>
                <w:sz w:val="24"/>
                <w:lang w:val="en-US" w:eastAsia="zh-CN"/>
              </w:rPr>
              <w:t>项目区域与湖南省主要候鸟迁徙通道（炎陵县牛头坳候鸟迁徙通道、桂东县白沙坳候鸟迁徙通道、桂东县南风坳候鸟迁徙通道、桂东县寒口坳候鸟迁徙通道、槎溪-罗洪候鸟迁徙通道、隆回县屏风界候鸟迁徙通道、茶园-羊古坳候鸟迁徙通道、蓝山县南风坳候鸟迁徙通道、蓝山县四海坪候鸟迁徙通道、蓝山县军田候鸟迁徙通道、城步县大竹山候鸟迁徙通道、新宁县黄沙塘候鸟迁徙通道）均距离较远，</w:t>
            </w:r>
            <w:r>
              <w:rPr>
                <w:rFonts w:hint="eastAsia" w:ascii="Times New Roman" w:hAnsi="Times New Roman" w:eastAsia="宋体" w:cs="Times New Roman"/>
                <w:color w:val="FF0000"/>
                <w:sz w:val="24"/>
              </w:rPr>
              <w:t>不属</w:t>
            </w:r>
            <w:r>
              <w:rPr>
                <w:rFonts w:hint="default" w:ascii="Times New Roman" w:hAnsi="Times New Roman" w:eastAsia="宋体" w:cs="Times New Roman"/>
                <w:color w:val="FF0000"/>
                <w:sz w:val="24"/>
              </w:rPr>
              <w:t>候鸟宽幅通道</w:t>
            </w:r>
            <w:r>
              <w:rPr>
                <w:rFonts w:hint="eastAsia" w:ascii="Times New Roman" w:hAnsi="Times New Roman" w:eastAsia="宋体" w:cs="Times New Roman"/>
                <w:color w:val="FF0000"/>
                <w:sz w:val="24"/>
              </w:rPr>
              <w:t>范围</w:t>
            </w:r>
            <w:r>
              <w:rPr>
                <w:rFonts w:hint="default" w:ascii="Times New Roman" w:hAnsi="Times New Roman" w:eastAsia="宋体" w:cs="Times New Roman"/>
                <w:color w:val="FF0000"/>
                <w:sz w:val="24"/>
              </w:rPr>
              <w:t>。</w:t>
            </w:r>
          </w:p>
          <w:p w14:paraId="244B8ED5">
            <w:pPr>
              <w:spacing w:line="360" w:lineRule="auto"/>
              <w:ind w:firstLine="480" w:firstLineChars="200"/>
              <w:rPr>
                <w:rFonts w:hint="eastAsia" w:cs="Times New Roman"/>
                <w:color w:val="FF0000"/>
                <w:u w:val="none"/>
              </w:rPr>
            </w:pPr>
            <w:r>
              <w:rPr>
                <w:rFonts w:hint="eastAsia" w:ascii="Times New Roman" w:hAnsi="Times New Roman" w:eastAsia="宋体" w:cs="Times New Roman"/>
                <w:color w:val="FF0000"/>
                <w:sz w:val="24"/>
              </w:rPr>
              <w:t>从</w:t>
            </w:r>
            <w:r>
              <w:rPr>
                <w:rFonts w:hint="default" w:ascii="Times New Roman" w:hAnsi="Times New Roman" w:eastAsia="宋体" w:cs="Times New Roman"/>
                <w:color w:val="FF0000"/>
                <w:sz w:val="24"/>
              </w:rPr>
              <w:t>局部看，调查区的</w:t>
            </w:r>
            <w:r>
              <w:rPr>
                <w:rFonts w:hint="eastAsia" w:ascii="Times New Roman" w:hAnsi="Times New Roman" w:eastAsia="宋体" w:cs="Times New Roman"/>
                <w:color w:val="FF0000"/>
                <w:sz w:val="24"/>
              </w:rPr>
              <w:t>西</w:t>
            </w:r>
            <w:r>
              <w:rPr>
                <w:rFonts w:hint="default" w:ascii="Times New Roman" w:hAnsi="Times New Roman" w:eastAsia="宋体" w:cs="Times New Roman"/>
                <w:color w:val="FF0000"/>
                <w:sz w:val="24"/>
              </w:rPr>
              <w:t>部有</w:t>
            </w:r>
            <w:r>
              <w:rPr>
                <w:rFonts w:hint="eastAsia" w:ascii="Times New Roman" w:hAnsi="Times New Roman" w:eastAsia="宋体" w:cs="Times New Roman"/>
                <w:color w:val="FF0000"/>
                <w:sz w:val="24"/>
              </w:rPr>
              <w:t>湘江、</w:t>
            </w:r>
            <w:r>
              <w:rPr>
                <w:rFonts w:hint="default" w:ascii="Times New Roman" w:hAnsi="Times New Roman" w:eastAsia="宋体" w:cs="Times New Roman"/>
                <w:color w:val="FF0000"/>
                <w:sz w:val="24"/>
              </w:rPr>
              <w:t>东部有耒水</w:t>
            </w:r>
            <w:r>
              <w:rPr>
                <w:rFonts w:hint="eastAsia" w:ascii="Times New Roman" w:hAnsi="Times New Roman" w:eastAsia="宋体" w:cs="Times New Roman"/>
                <w:color w:val="FF0000"/>
                <w:sz w:val="24"/>
              </w:rPr>
              <w:t>（湘江</w:t>
            </w:r>
            <w:r>
              <w:rPr>
                <w:rFonts w:hint="default" w:ascii="Times New Roman" w:hAnsi="Times New Roman" w:eastAsia="宋体" w:cs="Times New Roman"/>
                <w:color w:val="FF0000"/>
                <w:sz w:val="24"/>
              </w:rPr>
              <w:t>一级支流</w:t>
            </w:r>
            <w:r>
              <w:rPr>
                <w:rFonts w:hint="eastAsia" w:ascii="Times New Roman" w:hAnsi="Times New Roman" w:eastAsia="宋体" w:cs="Times New Roman"/>
                <w:color w:val="FF0000"/>
                <w:sz w:val="24"/>
              </w:rPr>
              <w:t>，附近</w:t>
            </w:r>
            <w:r>
              <w:rPr>
                <w:rFonts w:hint="default" w:ascii="Times New Roman" w:hAnsi="Times New Roman" w:eastAsia="宋体" w:cs="Times New Roman"/>
                <w:color w:val="FF0000"/>
                <w:sz w:val="24"/>
              </w:rPr>
              <w:t>河段</w:t>
            </w:r>
            <w:r>
              <w:rPr>
                <w:rFonts w:hint="eastAsia" w:ascii="Times New Roman" w:hAnsi="Times New Roman" w:eastAsia="宋体" w:cs="Times New Roman"/>
                <w:color w:val="FF0000"/>
                <w:sz w:val="24"/>
              </w:rPr>
              <w:t>属</w:t>
            </w:r>
            <w:r>
              <w:rPr>
                <w:rFonts w:hint="default" w:ascii="Times New Roman" w:hAnsi="Times New Roman" w:eastAsia="宋体" w:cs="Times New Roman"/>
                <w:color w:val="FF0000"/>
                <w:sz w:val="24"/>
              </w:rPr>
              <w:t>耒水国家湿地公园范围</w:t>
            </w:r>
            <w:r>
              <w:rPr>
                <w:rFonts w:hint="eastAsia" w:ascii="Times New Roman" w:hAnsi="Times New Roman" w:eastAsia="宋体" w:cs="Times New Roman"/>
                <w:color w:val="FF0000"/>
                <w:sz w:val="24"/>
              </w:rPr>
              <w:t>）通过，</w:t>
            </w:r>
            <w:r>
              <w:rPr>
                <w:rFonts w:hint="default" w:ascii="Times New Roman" w:hAnsi="Times New Roman" w:eastAsia="宋体" w:cs="Times New Roman"/>
                <w:color w:val="FF0000"/>
                <w:sz w:val="24"/>
              </w:rPr>
              <w:t>其地带标志作用和</w:t>
            </w:r>
            <w:r>
              <w:rPr>
                <w:rFonts w:hint="eastAsia" w:ascii="Times New Roman" w:hAnsi="Times New Roman" w:eastAsia="宋体" w:cs="Times New Roman"/>
                <w:color w:val="FF0000"/>
                <w:sz w:val="24"/>
              </w:rPr>
              <w:t>优越</w:t>
            </w:r>
            <w:r>
              <w:rPr>
                <w:rFonts w:hint="default" w:ascii="Times New Roman" w:hAnsi="Times New Roman" w:eastAsia="宋体" w:cs="Times New Roman"/>
                <w:color w:val="FF0000"/>
                <w:sz w:val="24"/>
              </w:rPr>
              <w:t>的环境</w:t>
            </w:r>
            <w:r>
              <w:rPr>
                <w:rFonts w:hint="eastAsia" w:ascii="Times New Roman" w:hAnsi="Times New Roman" w:eastAsia="宋体" w:cs="Times New Roman"/>
                <w:color w:val="FF0000"/>
                <w:sz w:val="24"/>
              </w:rPr>
              <w:t>条件供</w:t>
            </w:r>
            <w:r>
              <w:rPr>
                <w:rFonts w:hint="default" w:ascii="Times New Roman" w:hAnsi="Times New Roman" w:eastAsia="宋体" w:cs="Times New Roman"/>
                <w:color w:val="FF0000"/>
                <w:sz w:val="24"/>
              </w:rPr>
              <w:t>小群候鸟停歇和过境，</w:t>
            </w:r>
            <w:r>
              <w:rPr>
                <w:rFonts w:hint="eastAsia" w:ascii="Times New Roman" w:hAnsi="Times New Roman" w:eastAsia="宋体" w:cs="Times New Roman"/>
                <w:color w:val="FF0000"/>
                <w:sz w:val="24"/>
              </w:rPr>
              <w:t>构成</w:t>
            </w:r>
            <w:r>
              <w:rPr>
                <w:rFonts w:hint="default" w:ascii="Times New Roman" w:hAnsi="Times New Roman" w:eastAsia="宋体" w:cs="Times New Roman"/>
                <w:color w:val="FF0000"/>
                <w:sz w:val="24"/>
              </w:rPr>
              <w:t>了鸟类通道。</w:t>
            </w:r>
            <w:r>
              <w:rPr>
                <w:rFonts w:hint="eastAsia" w:ascii="Times New Roman" w:hAnsi="Times New Roman" w:eastAsia="宋体" w:cs="Times New Roman"/>
                <w:color w:val="FF0000"/>
                <w:sz w:val="24"/>
              </w:rPr>
              <w:t>调查区</w:t>
            </w:r>
            <w:r>
              <w:rPr>
                <w:rFonts w:hint="default" w:ascii="Times New Roman" w:hAnsi="Times New Roman" w:eastAsia="宋体" w:cs="Times New Roman"/>
                <w:color w:val="FF0000"/>
                <w:sz w:val="24"/>
              </w:rPr>
              <w:t>与</w:t>
            </w:r>
            <w:r>
              <w:rPr>
                <w:rFonts w:hint="eastAsia" w:ascii="Times New Roman" w:hAnsi="Times New Roman" w:eastAsia="宋体" w:cs="Times New Roman"/>
                <w:color w:val="FF0000"/>
                <w:sz w:val="24"/>
              </w:rPr>
              <w:t>湘江超过</w:t>
            </w:r>
            <w:r>
              <w:rPr>
                <w:rFonts w:hint="eastAsia" w:ascii="Times New Roman" w:hAnsi="Times New Roman" w:eastAsia="宋体" w:cs="Times New Roman"/>
                <w:color w:val="FF0000"/>
                <w:sz w:val="24"/>
                <w:lang w:val="en-US" w:eastAsia="zh-CN"/>
              </w:rPr>
              <w:t>40km</w:t>
            </w:r>
            <w:r>
              <w:rPr>
                <w:rFonts w:hint="eastAsia" w:ascii="Times New Roman" w:hAnsi="Times New Roman" w:eastAsia="宋体" w:cs="Times New Roman"/>
                <w:color w:val="FF0000"/>
                <w:sz w:val="24"/>
              </w:rPr>
              <w:t>，没有</w:t>
            </w:r>
            <w:r>
              <w:rPr>
                <w:rFonts w:hint="default" w:ascii="Times New Roman" w:hAnsi="Times New Roman" w:eastAsia="宋体" w:cs="Times New Roman"/>
                <w:color w:val="FF0000"/>
                <w:sz w:val="24"/>
              </w:rPr>
              <w:t>关联</w:t>
            </w:r>
            <w:r>
              <w:rPr>
                <w:rFonts w:hint="eastAsia" w:ascii="Times New Roman" w:hAnsi="Times New Roman" w:eastAsia="宋体" w:cs="Times New Roman"/>
                <w:color w:val="FF0000"/>
                <w:sz w:val="24"/>
              </w:rPr>
              <w:t>；与</w:t>
            </w:r>
            <w:r>
              <w:rPr>
                <w:rFonts w:hint="default" w:ascii="Times New Roman" w:hAnsi="Times New Roman" w:eastAsia="宋体" w:cs="Times New Roman"/>
                <w:color w:val="FF0000"/>
                <w:sz w:val="24"/>
              </w:rPr>
              <w:t>耒水有</w:t>
            </w:r>
            <w:r>
              <w:rPr>
                <w:rFonts w:hint="eastAsia" w:ascii="Times New Roman" w:hAnsi="Times New Roman" w:eastAsia="宋体" w:cs="Times New Roman"/>
                <w:color w:val="FF0000"/>
                <w:sz w:val="24"/>
                <w:lang w:val="en-US" w:eastAsia="zh-CN"/>
              </w:rPr>
              <w:t>16km</w:t>
            </w:r>
            <w:r>
              <w:rPr>
                <w:rFonts w:hint="eastAsia" w:ascii="Times New Roman" w:hAnsi="Times New Roman" w:eastAsia="宋体" w:cs="Times New Roman"/>
                <w:color w:val="FF0000"/>
                <w:sz w:val="24"/>
              </w:rPr>
              <w:t>，与</w:t>
            </w:r>
            <w:r>
              <w:rPr>
                <w:rFonts w:hint="default" w:ascii="Times New Roman" w:hAnsi="Times New Roman" w:eastAsia="宋体" w:cs="Times New Roman"/>
                <w:color w:val="FF0000"/>
                <w:sz w:val="24"/>
              </w:rPr>
              <w:t>调查区基本</w:t>
            </w:r>
            <w:r>
              <w:rPr>
                <w:rFonts w:hint="eastAsia" w:ascii="Times New Roman" w:hAnsi="Times New Roman" w:eastAsia="宋体" w:cs="Times New Roman"/>
                <w:color w:val="FF0000"/>
                <w:sz w:val="24"/>
              </w:rPr>
              <w:t>没有</w:t>
            </w:r>
            <w:r>
              <w:rPr>
                <w:rFonts w:hint="default" w:ascii="Times New Roman" w:hAnsi="Times New Roman" w:eastAsia="宋体" w:cs="Times New Roman"/>
                <w:color w:val="FF0000"/>
                <w:sz w:val="24"/>
              </w:rPr>
              <w:t>关联。</w:t>
            </w:r>
            <w:r>
              <w:rPr>
                <w:rFonts w:hint="eastAsia" w:ascii="Times New Roman" w:hAnsi="Times New Roman" w:eastAsia="宋体" w:cs="Times New Roman"/>
                <w:color w:val="FF0000"/>
                <w:sz w:val="24"/>
              </w:rPr>
              <w:t>同时</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rPr>
              <w:t>项目区</w:t>
            </w:r>
            <w:r>
              <w:rPr>
                <w:rFonts w:hint="default" w:ascii="Times New Roman" w:hAnsi="Times New Roman" w:eastAsia="宋体" w:cs="Times New Roman"/>
                <w:color w:val="FF0000"/>
                <w:sz w:val="24"/>
              </w:rPr>
              <w:t>附近有凉水</w:t>
            </w:r>
            <w:r>
              <w:rPr>
                <w:rFonts w:hint="eastAsia" w:cs="Times New Roman"/>
                <w:color w:val="FF0000"/>
                <w:sz w:val="24"/>
                <w:lang w:val="en-US" w:eastAsia="zh-CN"/>
              </w:rPr>
              <w:t>冲水</w:t>
            </w:r>
            <w:r>
              <w:rPr>
                <w:rFonts w:hint="default" w:ascii="Times New Roman" w:hAnsi="Times New Roman" w:eastAsia="宋体" w:cs="Times New Roman"/>
                <w:color w:val="FF0000"/>
                <w:sz w:val="24"/>
              </w:rPr>
              <w:t>库，最近</w:t>
            </w:r>
            <w:r>
              <w:rPr>
                <w:rFonts w:hint="eastAsia" w:ascii="Times New Roman" w:hAnsi="Times New Roman" w:eastAsia="宋体" w:cs="Times New Roman"/>
                <w:color w:val="FF0000"/>
                <w:sz w:val="24"/>
              </w:rPr>
              <w:t>距离D</w:t>
            </w:r>
            <w:r>
              <w:rPr>
                <w:rFonts w:hint="default" w:ascii="Times New Roman" w:hAnsi="Times New Roman" w:eastAsia="宋体" w:cs="Times New Roman"/>
                <w:color w:val="FF0000"/>
                <w:sz w:val="24"/>
              </w:rPr>
              <w:t>Z17</w:t>
            </w:r>
            <w:r>
              <w:rPr>
                <w:rFonts w:hint="eastAsia" w:ascii="Times New Roman" w:hAnsi="Times New Roman" w:eastAsia="宋体" w:cs="Times New Roman"/>
                <w:color w:val="FF0000"/>
                <w:sz w:val="24"/>
              </w:rPr>
              <w:t>机位</w:t>
            </w:r>
            <w:r>
              <w:rPr>
                <w:rFonts w:hint="default" w:ascii="Times New Roman" w:hAnsi="Times New Roman" w:eastAsia="宋体" w:cs="Times New Roman"/>
                <w:color w:val="FF0000"/>
                <w:sz w:val="24"/>
              </w:rPr>
              <w:t>770</w:t>
            </w:r>
            <w:r>
              <w:rPr>
                <w:rFonts w:hint="eastAsia" w:ascii="Times New Roman" w:hAnsi="Times New Roman" w:eastAsia="宋体" w:cs="Times New Roman"/>
                <w:color w:val="FF0000"/>
                <w:sz w:val="24"/>
              </w:rPr>
              <w:t>米</w:t>
            </w:r>
            <w:r>
              <w:rPr>
                <w:rFonts w:hint="default" w:ascii="Times New Roman" w:hAnsi="Times New Roman" w:eastAsia="宋体" w:cs="Times New Roman"/>
                <w:color w:val="FF0000"/>
                <w:sz w:val="24"/>
              </w:rPr>
              <w:t>，但因水库体量小，不能供群体候鸟停歇，基本无生境关联</w:t>
            </w:r>
            <w:r>
              <w:rPr>
                <w:rFonts w:hint="eastAsia" w:ascii="Times New Roman" w:hAnsi="Times New Roman" w:eastAsia="宋体" w:cs="Times New Roman"/>
                <w:color w:val="FF0000"/>
                <w:sz w:val="24"/>
              </w:rPr>
              <w:t>。当</w:t>
            </w:r>
            <w:r>
              <w:rPr>
                <w:rFonts w:hint="default" w:ascii="Times New Roman" w:hAnsi="Times New Roman" w:eastAsia="宋体" w:cs="Times New Roman"/>
                <w:color w:val="FF0000"/>
                <w:sz w:val="24"/>
              </w:rPr>
              <w:t>散体或小群的</w:t>
            </w:r>
            <w:r>
              <w:rPr>
                <w:rFonts w:hint="eastAsia" w:ascii="Times New Roman" w:hAnsi="Times New Roman" w:eastAsia="宋体" w:cs="Times New Roman"/>
                <w:color w:val="FF0000"/>
                <w:sz w:val="24"/>
              </w:rPr>
              <w:t>候鸟</w:t>
            </w:r>
            <w:r>
              <w:rPr>
                <w:rFonts w:hint="default" w:ascii="Times New Roman" w:hAnsi="Times New Roman" w:eastAsia="宋体" w:cs="Times New Roman"/>
                <w:color w:val="FF0000"/>
                <w:sz w:val="24"/>
              </w:rPr>
              <w:t>途经项目趋</w:t>
            </w:r>
            <w:r>
              <w:rPr>
                <w:rFonts w:hint="eastAsia" w:ascii="Times New Roman" w:hAnsi="Times New Roman" w:eastAsia="宋体" w:cs="Times New Roman"/>
                <w:color w:val="FF0000"/>
                <w:sz w:val="24"/>
              </w:rPr>
              <w:t>区</w:t>
            </w:r>
            <w:r>
              <w:rPr>
                <w:rFonts w:hint="default" w:ascii="Times New Roman" w:hAnsi="Times New Roman" w:eastAsia="宋体" w:cs="Times New Roman"/>
                <w:color w:val="FF0000"/>
                <w:sz w:val="24"/>
              </w:rPr>
              <w:t>时，会出现两种情形：</w:t>
            </w:r>
            <w:r>
              <w:rPr>
                <w:rFonts w:hint="eastAsia" w:ascii="Times New Roman" w:hAnsi="Times New Roman" w:eastAsia="宋体" w:cs="Times New Roman"/>
                <w:color w:val="FF0000"/>
                <w:sz w:val="24"/>
              </w:rPr>
              <w:t>1</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rPr>
              <w:t>中</w:t>
            </w:r>
            <w:r>
              <w:rPr>
                <w:rFonts w:hint="default" w:ascii="Times New Roman" w:hAnsi="Times New Roman" w:eastAsia="宋体" w:cs="Times New Roman"/>
                <w:color w:val="FF0000"/>
                <w:sz w:val="24"/>
              </w:rPr>
              <w:t>大型水鸟飞</w:t>
            </w:r>
            <w:r>
              <w:rPr>
                <w:rFonts w:hint="eastAsia" w:ascii="Times New Roman" w:hAnsi="Times New Roman" w:eastAsia="宋体" w:cs="Times New Roman"/>
                <w:color w:val="FF0000"/>
                <w:sz w:val="24"/>
              </w:rPr>
              <w:t>越</w:t>
            </w:r>
            <w:r>
              <w:rPr>
                <w:rFonts w:hint="default" w:ascii="Times New Roman" w:hAnsi="Times New Roman" w:eastAsia="宋体" w:cs="Times New Roman"/>
                <w:color w:val="FF0000"/>
                <w:sz w:val="24"/>
              </w:rPr>
              <w:t>项目区上空，巡航高度</w:t>
            </w:r>
            <w:r>
              <w:rPr>
                <w:rFonts w:hint="eastAsia" w:ascii="Times New Roman" w:hAnsi="Times New Roman" w:eastAsia="宋体" w:cs="Times New Roman"/>
                <w:color w:val="FF0000"/>
                <w:sz w:val="24"/>
              </w:rPr>
              <w:t>1500</w:t>
            </w:r>
            <w:r>
              <w:rPr>
                <w:rFonts w:hint="eastAsia" w:cs="Times New Roman"/>
                <w:color w:val="FF0000"/>
                <w:sz w:val="24"/>
                <w:lang w:val="en-US" w:eastAsia="zh-CN"/>
              </w:rPr>
              <w:t>~</w:t>
            </w:r>
            <w:r>
              <w:rPr>
                <w:rFonts w:hint="default" w:ascii="Times New Roman" w:hAnsi="Times New Roman" w:eastAsia="宋体" w:cs="Times New Roman"/>
                <w:color w:val="FF0000"/>
                <w:sz w:val="24"/>
              </w:rPr>
              <w:t>2000</w:t>
            </w:r>
            <w:r>
              <w:rPr>
                <w:rFonts w:hint="eastAsia" w:ascii="Times New Roman" w:hAnsi="Times New Roman" w:eastAsia="宋体" w:cs="Times New Roman"/>
                <w:color w:val="FF0000"/>
                <w:sz w:val="24"/>
              </w:rPr>
              <w:t>米</w:t>
            </w:r>
            <w:r>
              <w:rPr>
                <w:rFonts w:hint="default" w:ascii="Times New Roman" w:hAnsi="Times New Roman" w:eastAsia="宋体" w:cs="Times New Roman"/>
                <w:color w:val="FF0000"/>
                <w:sz w:val="24"/>
              </w:rPr>
              <w:t>以上，与</w:t>
            </w:r>
            <w:r>
              <w:rPr>
                <w:rFonts w:hint="eastAsia" w:ascii="Times New Roman" w:hAnsi="Times New Roman" w:eastAsia="宋体" w:cs="Times New Roman"/>
                <w:color w:val="FF0000"/>
                <w:sz w:val="24"/>
              </w:rPr>
              <w:t>各</w:t>
            </w:r>
            <w:r>
              <w:rPr>
                <w:rFonts w:hint="default" w:ascii="Times New Roman" w:hAnsi="Times New Roman" w:eastAsia="宋体" w:cs="Times New Roman"/>
                <w:color w:val="FF0000"/>
                <w:sz w:val="24"/>
              </w:rPr>
              <w:t>机位</w:t>
            </w:r>
            <w:r>
              <w:rPr>
                <w:rFonts w:hint="eastAsia" w:ascii="Times New Roman" w:hAnsi="Times New Roman" w:eastAsia="宋体" w:cs="Times New Roman"/>
                <w:color w:val="FF0000"/>
                <w:sz w:val="24"/>
              </w:rPr>
              <w:t>的</w:t>
            </w:r>
            <w:r>
              <w:rPr>
                <w:rFonts w:hint="default" w:ascii="Times New Roman" w:hAnsi="Times New Roman" w:eastAsia="宋体" w:cs="Times New Roman"/>
                <w:color w:val="FF0000"/>
                <w:sz w:val="24"/>
              </w:rPr>
              <w:t>山体（</w:t>
            </w:r>
            <w:r>
              <w:rPr>
                <w:rFonts w:hint="eastAsia" w:ascii="Times New Roman" w:hAnsi="Times New Roman" w:eastAsia="宋体" w:cs="Times New Roman"/>
                <w:color w:val="FF0000"/>
                <w:sz w:val="24"/>
              </w:rPr>
              <w:t>最高500米</w:t>
            </w:r>
            <w:r>
              <w:rPr>
                <w:rFonts w:hint="default" w:ascii="Times New Roman" w:hAnsi="Times New Roman" w:eastAsia="宋体" w:cs="Times New Roman"/>
                <w:color w:val="FF0000"/>
                <w:sz w:val="24"/>
              </w:rPr>
              <w:t>）</w:t>
            </w:r>
            <w:r>
              <w:rPr>
                <w:rFonts w:hint="eastAsia" w:ascii="Times New Roman" w:hAnsi="Times New Roman" w:eastAsia="宋体" w:cs="Times New Roman"/>
                <w:color w:val="FF0000"/>
                <w:sz w:val="24"/>
              </w:rPr>
              <w:t>空域</w:t>
            </w:r>
            <w:r>
              <w:rPr>
                <w:rFonts w:hint="default" w:ascii="Times New Roman" w:hAnsi="Times New Roman" w:eastAsia="宋体" w:cs="Times New Roman"/>
                <w:color w:val="FF0000"/>
                <w:sz w:val="24"/>
              </w:rPr>
              <w:t>隔离，</w:t>
            </w:r>
            <w:r>
              <w:rPr>
                <w:rFonts w:hint="eastAsia" w:ascii="Times New Roman" w:hAnsi="Times New Roman" w:eastAsia="宋体" w:cs="Times New Roman"/>
                <w:color w:val="FF0000"/>
                <w:sz w:val="24"/>
              </w:rPr>
              <w:t>可</w:t>
            </w:r>
            <w:r>
              <w:rPr>
                <w:rFonts w:hint="default" w:ascii="Times New Roman" w:hAnsi="Times New Roman" w:eastAsia="宋体" w:cs="Times New Roman"/>
                <w:color w:val="FF0000"/>
                <w:sz w:val="24"/>
              </w:rPr>
              <w:t>安全通过；</w:t>
            </w:r>
            <w:r>
              <w:rPr>
                <w:rFonts w:hint="eastAsia" w:ascii="Times New Roman" w:hAnsi="Times New Roman" w:eastAsia="宋体" w:cs="Times New Roman"/>
                <w:color w:val="FF0000"/>
                <w:sz w:val="24"/>
              </w:rPr>
              <w:t>2）杜鹃类</w:t>
            </w:r>
            <w:r>
              <w:rPr>
                <w:rFonts w:hint="default" w:ascii="Times New Roman" w:hAnsi="Times New Roman" w:eastAsia="宋体" w:cs="Times New Roman"/>
                <w:color w:val="FF0000"/>
                <w:sz w:val="24"/>
              </w:rPr>
              <w:t>、猛禽和</w:t>
            </w:r>
            <w:r>
              <w:rPr>
                <w:rFonts w:hint="eastAsia" w:ascii="Times New Roman" w:hAnsi="Times New Roman" w:eastAsia="宋体" w:cs="Times New Roman"/>
                <w:color w:val="FF0000"/>
                <w:sz w:val="24"/>
              </w:rPr>
              <w:t>小型</w:t>
            </w:r>
            <w:r>
              <w:rPr>
                <w:rFonts w:hint="default" w:ascii="Times New Roman" w:hAnsi="Times New Roman" w:eastAsia="宋体" w:cs="Times New Roman"/>
                <w:color w:val="FF0000"/>
                <w:sz w:val="24"/>
              </w:rPr>
              <w:t>雀类，</w:t>
            </w:r>
            <w:r>
              <w:rPr>
                <w:rFonts w:hint="eastAsia" w:ascii="Times New Roman" w:hAnsi="Times New Roman" w:eastAsia="宋体" w:cs="Times New Roman"/>
                <w:color w:val="FF0000"/>
                <w:sz w:val="24"/>
              </w:rPr>
              <w:t>与</w:t>
            </w:r>
            <w:r>
              <w:rPr>
                <w:rFonts w:hint="default" w:ascii="Times New Roman" w:hAnsi="Times New Roman" w:eastAsia="宋体" w:cs="Times New Roman"/>
                <w:color w:val="FF0000"/>
                <w:sz w:val="24"/>
              </w:rPr>
              <w:t>机位空域不冲突。</w:t>
            </w:r>
            <w:r>
              <w:rPr>
                <w:rFonts w:hint="eastAsia" w:ascii="Times New Roman" w:hAnsi="Times New Roman" w:eastAsia="宋体" w:cs="Times New Roman"/>
                <w:color w:val="FF0000"/>
                <w:sz w:val="24"/>
              </w:rPr>
              <w:t>从</w:t>
            </w:r>
            <w:r>
              <w:rPr>
                <w:rFonts w:hint="default" w:ascii="Times New Roman" w:hAnsi="Times New Roman" w:eastAsia="宋体" w:cs="Times New Roman"/>
                <w:color w:val="FF0000"/>
                <w:sz w:val="24"/>
              </w:rPr>
              <w:t>项目区与候鸟的关联性分析，所有机位均对候鸟不构成威胁，可按</w:t>
            </w:r>
            <w:r>
              <w:rPr>
                <w:rFonts w:hint="eastAsia" w:ascii="Times New Roman" w:hAnsi="Times New Roman" w:eastAsia="宋体" w:cs="Times New Roman"/>
                <w:color w:val="FF0000"/>
                <w:sz w:val="24"/>
              </w:rPr>
              <w:t>设计</w:t>
            </w:r>
            <w:r>
              <w:rPr>
                <w:rFonts w:hint="default" w:ascii="Times New Roman" w:hAnsi="Times New Roman" w:eastAsia="宋体" w:cs="Times New Roman"/>
                <w:color w:val="FF0000"/>
                <w:sz w:val="24"/>
              </w:rPr>
              <w:t>方案进行机位布设。</w:t>
            </w:r>
            <w:r>
              <w:rPr>
                <w:rFonts w:hint="eastAsia" w:ascii="Times New Roman" w:hAnsi="Times New Roman" w:eastAsia="宋体" w:cs="Times New Roman"/>
                <w:color w:val="FF0000"/>
                <w:sz w:val="24"/>
                <w:lang w:val="en-US" w:eastAsia="zh-CN"/>
              </w:rPr>
              <w:t>此外</w:t>
            </w:r>
            <w:r>
              <w:rPr>
                <w:rFonts w:hint="eastAsia" w:ascii="Times New Roman" w:hAnsi="Times New Roman" w:eastAsia="宋体" w:cs="Times New Roman"/>
                <w:color w:val="FF0000"/>
                <w:sz w:val="24"/>
              </w:rPr>
              <w:t>根据</w:t>
            </w:r>
            <w:r>
              <w:rPr>
                <w:rFonts w:hint="eastAsia" w:ascii="Times New Roman" w:hAnsi="Times New Roman" w:eastAsia="宋体" w:cs="Times New Roman"/>
                <w:color w:val="FF0000"/>
                <w:sz w:val="24"/>
                <w:lang w:eastAsia="zh-CN"/>
              </w:rPr>
              <w:t>耒阳市</w:t>
            </w:r>
            <w:r>
              <w:rPr>
                <w:rFonts w:hint="eastAsia" w:ascii="Times New Roman" w:hAnsi="Times New Roman" w:eastAsia="宋体" w:cs="Times New Roman"/>
                <w:color w:val="FF0000"/>
                <w:sz w:val="24"/>
              </w:rPr>
              <w:t>林业局关于本项目选址的审查意见，项目选址不涉及国家公园、自然保护区、森林公园、湿地公园等生态敏感区，不涉及自然保护地及天然林。</w:t>
            </w:r>
          </w:p>
          <w:p w14:paraId="5811E0E4">
            <w:pPr>
              <w:spacing w:line="360" w:lineRule="auto"/>
              <w:jc w:val="left"/>
              <w:rPr>
                <w:b/>
                <w:bCs/>
                <w:sz w:val="24"/>
                <w:u w:val="none"/>
              </w:rPr>
            </w:pPr>
            <w:r>
              <w:rPr>
                <w:rFonts w:hint="eastAsia"/>
                <w:b/>
                <w:bCs/>
                <w:sz w:val="24"/>
                <w:u w:val="none"/>
              </w:rPr>
              <w:t>3.</w:t>
            </w:r>
            <w:r>
              <w:rPr>
                <w:b/>
                <w:bCs/>
                <w:sz w:val="24"/>
                <w:u w:val="none"/>
              </w:rPr>
              <w:t>2.</w:t>
            </w:r>
            <w:r>
              <w:rPr>
                <w:rFonts w:hint="eastAsia"/>
                <w:b/>
                <w:bCs/>
                <w:sz w:val="24"/>
                <w:u w:val="none"/>
              </w:rPr>
              <w:t>5生态敏感区</w:t>
            </w:r>
          </w:p>
          <w:p w14:paraId="765379A0">
            <w:pPr>
              <w:spacing w:line="360" w:lineRule="auto"/>
              <w:ind w:firstLine="480" w:firstLineChars="200"/>
              <w:jc w:val="left"/>
              <w:rPr>
                <w:sz w:val="24"/>
                <w:u w:val="none"/>
              </w:rPr>
            </w:pPr>
            <w:r>
              <w:rPr>
                <w:rFonts w:hint="eastAsia"/>
                <w:sz w:val="24"/>
                <w:u w:val="none"/>
              </w:rPr>
              <w:t>生态敏感区包括特殊生态敏感区和重要生态敏感区。特殊生态敏感区是指具有极重要的生态服务功能，生态系统极为脆弱或已有较为严重的生态问题，如遭到占用、损失或破坏后所造成的生态影响后果严重且难以预防、生态功能难以恢复和替代的区域，包括自然保护区和世界文化和自然遗产地等。</w:t>
            </w:r>
          </w:p>
          <w:p w14:paraId="09819AD1">
            <w:pPr>
              <w:spacing w:line="360" w:lineRule="auto"/>
              <w:ind w:firstLine="480" w:firstLineChars="200"/>
              <w:jc w:val="left"/>
              <w:rPr>
                <w:sz w:val="24"/>
                <w:u w:val="none"/>
              </w:rPr>
            </w:pPr>
            <w:r>
              <w:rPr>
                <w:rFonts w:hint="eastAsia"/>
                <w:sz w:val="24"/>
                <w:u w:val="none"/>
              </w:rPr>
              <w:t>重要生态敏感区指具有相对重要的生态服务功能或生态系统较为脆弱，如遭占用、损失或破坏后所造成的生态影响后果较严重，但可以通过一定措施加以预防、恢复和替代的区域，包括风景名胜区、森林公园、地质公园、重要湿地、原始天然林、珍稀濒危野生动植物天然集中分布区、重要水生生物的自然产卵场及索饵场、越冬场和洄游通道、天然渔场等。</w:t>
            </w:r>
          </w:p>
          <w:p w14:paraId="2078F417">
            <w:pPr>
              <w:spacing w:line="360" w:lineRule="auto"/>
              <w:ind w:firstLine="480" w:firstLineChars="200"/>
              <w:jc w:val="left"/>
              <w:rPr>
                <w:u w:val="none"/>
              </w:rPr>
            </w:pPr>
            <w:r>
              <w:rPr>
                <w:rFonts w:hint="eastAsia"/>
                <w:sz w:val="24"/>
                <w:u w:val="none"/>
              </w:rPr>
              <w:t>通过对本工程所在区域周边各类型生态敏感区进行逐一排查，本风电工程周边</w:t>
            </w:r>
            <w:r>
              <w:rPr>
                <w:rFonts w:hint="eastAsia"/>
                <w:sz w:val="24"/>
                <w:u w:val="none"/>
                <w:lang w:val="en-US" w:eastAsia="zh-CN"/>
              </w:rPr>
              <w:t>无</w:t>
            </w:r>
            <w:r>
              <w:rPr>
                <w:rFonts w:hint="eastAsia"/>
                <w:sz w:val="24"/>
                <w:u w:val="none"/>
              </w:rPr>
              <w:t>重要生态敏感区。</w:t>
            </w:r>
          </w:p>
          <w:p w14:paraId="116F265D">
            <w:pPr>
              <w:spacing w:line="360" w:lineRule="auto"/>
              <w:jc w:val="left"/>
              <w:rPr>
                <w:b/>
                <w:sz w:val="28"/>
                <w:szCs w:val="28"/>
                <w:u w:val="none"/>
              </w:rPr>
            </w:pPr>
            <w:r>
              <w:rPr>
                <w:b/>
                <w:bCs/>
                <w:sz w:val="24"/>
                <w:u w:val="none"/>
              </w:rPr>
              <w:t>3.3环境空气质量现状</w:t>
            </w:r>
          </w:p>
          <w:p w14:paraId="3B1C652A">
            <w:pPr>
              <w:adjustRightInd w:val="0"/>
              <w:snapToGrid w:val="0"/>
              <w:spacing w:line="360" w:lineRule="auto"/>
              <w:ind w:firstLine="480" w:firstLineChars="200"/>
              <w:jc w:val="left"/>
              <w:rPr>
                <w:sz w:val="24"/>
                <w:u w:val="none"/>
              </w:rPr>
            </w:pPr>
            <w:r>
              <w:rPr>
                <w:rFonts w:hint="eastAsia"/>
                <w:sz w:val="24"/>
                <w:u w:val="none"/>
              </w:rPr>
              <w:t>根据《环境影响评价导则 大气环境》（HJ2.2-2018），判定项目所在区域达标情况，优先采用国家或地方生态环境主管部门发布的近3年中相对完整的1个日历年环境质量公告或环境质量报告中的数据或结论。</w:t>
            </w:r>
          </w:p>
          <w:p w14:paraId="48803C1A">
            <w:pPr>
              <w:autoSpaceDE w:val="0"/>
              <w:autoSpaceDN w:val="0"/>
              <w:spacing w:line="360" w:lineRule="auto"/>
              <w:ind w:firstLine="480" w:firstLineChars="200"/>
              <w:rPr>
                <w:rFonts w:hint="default" w:eastAsia="宋体"/>
                <w:kern w:val="0"/>
                <w:sz w:val="24"/>
                <w:lang w:val="en-US" w:eastAsia="zh-CN"/>
              </w:rPr>
            </w:pPr>
            <w:r>
              <w:rPr>
                <w:rFonts w:hint="eastAsia"/>
                <w:kern w:val="0"/>
                <w:sz w:val="24"/>
                <w:lang w:val="en-US" w:eastAsia="zh-CN"/>
              </w:rPr>
              <w:t>根据衡阳市生态环境局发布的《关于2023年12月及1-12月全市环境质量状况的通报》，2023年1-12月，按照环境空气质量综合指数评价，衡阳市8个县市所在城镇环境空气质量从好到差依次为：南岳区、祁东县、衡东县、衡阳县、常宁市、耒阳市、横山县、衡南县。其中耒阳市空气质量综合指数为3.20，优良天数为346天，优良天数比例为94.8%，六项主要污染物的浓度情况见表3-6。</w:t>
            </w:r>
          </w:p>
          <w:p w14:paraId="2877E33B">
            <w:pPr>
              <w:pStyle w:val="62"/>
              <w:spacing w:line="240" w:lineRule="auto"/>
              <w:ind w:firstLine="0" w:firstLineChars="0"/>
              <w:jc w:val="center"/>
              <w:rPr>
                <w:rFonts w:hint="default" w:ascii="Times New Roman" w:hAnsi="Times New Roman" w:cs="Times New Roman"/>
                <w:b/>
                <w:bCs/>
                <w:color w:val="FF0000"/>
                <w:sz w:val="21"/>
                <w:szCs w:val="21"/>
                <w:lang w:val="en-US" w:eastAsia="zh-CN"/>
              </w:rPr>
            </w:pPr>
            <w:r>
              <w:rPr>
                <w:rFonts w:hint="eastAsia" w:ascii="Times New Roman" w:hAnsi="Times New Roman" w:cs="Times New Roman"/>
                <w:b/>
                <w:bCs/>
                <w:color w:val="FF0000"/>
                <w:sz w:val="21"/>
                <w:szCs w:val="21"/>
                <w:lang w:val="en-US" w:eastAsia="zh-CN"/>
              </w:rPr>
              <w:t>表</w:t>
            </w:r>
            <w:r>
              <w:rPr>
                <w:rFonts w:hint="eastAsia" w:cs="Times New Roman"/>
                <w:b/>
                <w:bCs/>
                <w:color w:val="FF0000"/>
                <w:sz w:val="21"/>
                <w:szCs w:val="21"/>
                <w:lang w:val="en-US" w:eastAsia="zh-CN"/>
              </w:rPr>
              <w:t>3-6</w:t>
            </w:r>
            <w:r>
              <w:rPr>
                <w:rFonts w:hint="eastAsia" w:ascii="Times New Roman" w:hAnsi="Times New Roman" w:cs="Times New Roman"/>
                <w:b/>
                <w:bCs/>
                <w:color w:val="FF0000"/>
                <w:sz w:val="21"/>
                <w:szCs w:val="21"/>
                <w:lang w:val="en-US" w:eastAsia="zh-CN"/>
              </w:rPr>
              <w:t xml:space="preserve">  2023年1-12月耒阳市环境空气污染物浓度情况  单位：ug/m</w:t>
            </w:r>
            <w:r>
              <w:rPr>
                <w:rFonts w:hint="eastAsia" w:ascii="Times New Roman" w:hAnsi="Times New Roman" w:cs="Times New Roman"/>
                <w:b/>
                <w:bCs/>
                <w:color w:val="FF0000"/>
                <w:sz w:val="21"/>
                <w:szCs w:val="21"/>
                <w:vertAlign w:val="superscript"/>
                <w:lang w:val="en-US" w:eastAsia="zh-CN"/>
              </w:rPr>
              <w:t>3</w:t>
            </w:r>
          </w:p>
          <w:tbl>
            <w:tblPr>
              <w:tblStyle w:val="3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150"/>
              <w:gridCol w:w="1150"/>
              <w:gridCol w:w="1150"/>
              <w:gridCol w:w="1150"/>
              <w:gridCol w:w="1150"/>
              <w:gridCol w:w="1150"/>
            </w:tblGrid>
            <w:tr w14:paraId="49339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1150" w:type="dxa"/>
                  <w:tcBorders>
                    <w:top w:val="single" w:color="auto" w:sz="12" w:space="0"/>
                    <w:left w:val="nil"/>
                  </w:tcBorders>
                  <w:vAlign w:val="center"/>
                </w:tcPr>
                <w:p w14:paraId="40F0FC1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县市名称</w:t>
                  </w:r>
                </w:p>
              </w:tc>
              <w:tc>
                <w:tcPr>
                  <w:tcW w:w="1150" w:type="dxa"/>
                  <w:tcBorders>
                    <w:top w:val="single" w:color="auto" w:sz="12" w:space="0"/>
                  </w:tcBorders>
                  <w:vAlign w:val="center"/>
                </w:tcPr>
                <w:p w14:paraId="0A2E38C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2.5</w:t>
                  </w:r>
                </w:p>
              </w:tc>
              <w:tc>
                <w:tcPr>
                  <w:tcW w:w="1150" w:type="dxa"/>
                  <w:tcBorders>
                    <w:top w:val="single" w:color="auto" w:sz="12" w:space="0"/>
                  </w:tcBorders>
                  <w:vAlign w:val="center"/>
                </w:tcPr>
                <w:p w14:paraId="73D06B5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PM</w:t>
                  </w:r>
                  <w:r>
                    <w:rPr>
                      <w:rFonts w:hint="eastAsia"/>
                      <w:kern w:val="0"/>
                      <w:sz w:val="18"/>
                      <w:szCs w:val="18"/>
                      <w:vertAlign w:val="subscript"/>
                      <w:lang w:val="en-US" w:eastAsia="zh-CN"/>
                    </w:rPr>
                    <w:t>10</w:t>
                  </w:r>
                </w:p>
              </w:tc>
              <w:tc>
                <w:tcPr>
                  <w:tcW w:w="1150" w:type="dxa"/>
                  <w:tcBorders>
                    <w:top w:val="single" w:color="auto" w:sz="12" w:space="0"/>
                  </w:tcBorders>
                  <w:vAlign w:val="center"/>
                </w:tcPr>
                <w:p w14:paraId="7745BAC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O</w:t>
                  </w:r>
                  <w:r>
                    <w:rPr>
                      <w:rFonts w:hint="eastAsia"/>
                      <w:kern w:val="0"/>
                      <w:sz w:val="18"/>
                      <w:szCs w:val="18"/>
                      <w:vertAlign w:val="subscript"/>
                      <w:lang w:val="en-US" w:eastAsia="zh-CN"/>
                    </w:rPr>
                    <w:t>3</w:t>
                  </w:r>
                </w:p>
              </w:tc>
              <w:tc>
                <w:tcPr>
                  <w:tcW w:w="1150" w:type="dxa"/>
                  <w:tcBorders>
                    <w:top w:val="single" w:color="auto" w:sz="12" w:space="0"/>
                  </w:tcBorders>
                  <w:vAlign w:val="center"/>
                </w:tcPr>
                <w:p w14:paraId="76B65B8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SO</w:t>
                  </w:r>
                  <w:r>
                    <w:rPr>
                      <w:rFonts w:hint="eastAsia"/>
                      <w:kern w:val="0"/>
                      <w:sz w:val="18"/>
                      <w:szCs w:val="18"/>
                      <w:vertAlign w:val="subscript"/>
                      <w:lang w:val="en-US" w:eastAsia="zh-CN"/>
                    </w:rPr>
                    <w:t>2</w:t>
                  </w:r>
                </w:p>
              </w:tc>
              <w:tc>
                <w:tcPr>
                  <w:tcW w:w="1150" w:type="dxa"/>
                  <w:tcBorders>
                    <w:top w:val="single" w:color="auto" w:sz="12" w:space="0"/>
                  </w:tcBorders>
                  <w:vAlign w:val="center"/>
                </w:tcPr>
                <w:p w14:paraId="29A222C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NO</w:t>
                  </w:r>
                  <w:r>
                    <w:rPr>
                      <w:rFonts w:hint="eastAsia"/>
                      <w:kern w:val="0"/>
                      <w:sz w:val="18"/>
                      <w:szCs w:val="18"/>
                      <w:vertAlign w:val="subscript"/>
                      <w:lang w:val="en-US" w:eastAsia="zh-CN"/>
                    </w:rPr>
                    <w:t>2</w:t>
                  </w:r>
                </w:p>
              </w:tc>
              <w:tc>
                <w:tcPr>
                  <w:tcW w:w="1150" w:type="dxa"/>
                  <w:tcBorders>
                    <w:top w:val="single" w:color="auto" w:sz="12" w:space="0"/>
                    <w:right w:val="nil"/>
                  </w:tcBorders>
                  <w:vAlign w:val="center"/>
                </w:tcPr>
                <w:p w14:paraId="5DFD8B5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CO</w:t>
                  </w:r>
                </w:p>
              </w:tc>
            </w:tr>
            <w:tr w14:paraId="453FA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50" w:type="dxa"/>
                  <w:tcBorders>
                    <w:left w:val="nil"/>
                  </w:tcBorders>
                  <w:vAlign w:val="center"/>
                </w:tcPr>
                <w:p w14:paraId="21DBA77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耒阳市</w:t>
                  </w:r>
                </w:p>
              </w:tc>
              <w:tc>
                <w:tcPr>
                  <w:tcW w:w="1150" w:type="dxa"/>
                  <w:vAlign w:val="center"/>
                </w:tcPr>
                <w:p w14:paraId="44AC0E9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32</w:t>
                  </w:r>
                </w:p>
              </w:tc>
              <w:tc>
                <w:tcPr>
                  <w:tcW w:w="1150" w:type="dxa"/>
                  <w:vAlign w:val="center"/>
                </w:tcPr>
                <w:p w14:paraId="1D2271F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51</w:t>
                  </w:r>
                </w:p>
              </w:tc>
              <w:tc>
                <w:tcPr>
                  <w:tcW w:w="1150" w:type="dxa"/>
                  <w:vAlign w:val="center"/>
                </w:tcPr>
                <w:p w14:paraId="1DC79AC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122</w:t>
                  </w:r>
                </w:p>
              </w:tc>
              <w:tc>
                <w:tcPr>
                  <w:tcW w:w="1150" w:type="dxa"/>
                  <w:vAlign w:val="center"/>
                </w:tcPr>
                <w:p w14:paraId="2D4BF76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kern w:val="0"/>
                      <w:sz w:val="18"/>
                      <w:szCs w:val="18"/>
                      <w:vertAlign w:val="baseline"/>
                      <w:lang w:val="en-US" w:eastAsia="zh-CN"/>
                    </w:rPr>
                  </w:pPr>
                  <w:r>
                    <w:rPr>
                      <w:rFonts w:hint="eastAsia"/>
                      <w:kern w:val="0"/>
                      <w:sz w:val="18"/>
                      <w:szCs w:val="18"/>
                      <w:vertAlign w:val="baseline"/>
                      <w:lang w:val="en-US" w:eastAsia="zh-CN"/>
                    </w:rPr>
                    <w:t>9</w:t>
                  </w:r>
                </w:p>
              </w:tc>
              <w:tc>
                <w:tcPr>
                  <w:tcW w:w="1150" w:type="dxa"/>
                  <w:vAlign w:val="center"/>
                </w:tcPr>
                <w:p w14:paraId="72D965A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16</w:t>
                  </w:r>
                </w:p>
              </w:tc>
              <w:tc>
                <w:tcPr>
                  <w:tcW w:w="1150" w:type="dxa"/>
                  <w:tcBorders>
                    <w:right w:val="nil"/>
                  </w:tcBorders>
                  <w:vAlign w:val="center"/>
                </w:tcPr>
                <w:p w14:paraId="125BC93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kern w:val="0"/>
                      <w:sz w:val="18"/>
                      <w:szCs w:val="18"/>
                      <w:vertAlign w:val="baseline"/>
                      <w:lang w:val="en-US" w:eastAsia="zh-CN"/>
                    </w:rPr>
                  </w:pPr>
                  <w:r>
                    <w:rPr>
                      <w:rFonts w:hint="eastAsia"/>
                      <w:kern w:val="0"/>
                      <w:sz w:val="18"/>
                      <w:szCs w:val="18"/>
                      <w:vertAlign w:val="baseline"/>
                      <w:lang w:val="en-US" w:eastAsia="zh-CN"/>
                    </w:rPr>
                    <w:t>1.0</w:t>
                  </w:r>
                </w:p>
              </w:tc>
            </w:tr>
            <w:tr w14:paraId="64D8D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50" w:type="dxa"/>
                  <w:tcBorders>
                    <w:left w:val="nil"/>
                    <w:bottom w:val="single" w:color="auto" w:sz="12" w:space="0"/>
                  </w:tcBorders>
                  <w:vAlign w:val="center"/>
                </w:tcPr>
                <w:p w14:paraId="6F5B423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GB3095-2012的二级标准年均值</w:t>
                  </w:r>
                </w:p>
              </w:tc>
              <w:tc>
                <w:tcPr>
                  <w:tcW w:w="1150" w:type="dxa"/>
                  <w:tcBorders>
                    <w:bottom w:val="single" w:color="auto" w:sz="12" w:space="0"/>
                  </w:tcBorders>
                  <w:vAlign w:val="center"/>
                </w:tcPr>
                <w:p w14:paraId="7CA5525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35</w:t>
                  </w:r>
                </w:p>
              </w:tc>
              <w:tc>
                <w:tcPr>
                  <w:tcW w:w="1150" w:type="dxa"/>
                  <w:tcBorders>
                    <w:bottom w:val="single" w:color="auto" w:sz="12" w:space="0"/>
                  </w:tcBorders>
                  <w:vAlign w:val="center"/>
                </w:tcPr>
                <w:p w14:paraId="0D0D7A6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70</w:t>
                  </w:r>
                </w:p>
              </w:tc>
              <w:tc>
                <w:tcPr>
                  <w:tcW w:w="1150" w:type="dxa"/>
                  <w:tcBorders>
                    <w:bottom w:val="single" w:color="auto" w:sz="12" w:space="0"/>
                  </w:tcBorders>
                  <w:vAlign w:val="center"/>
                </w:tcPr>
                <w:p w14:paraId="65FB7B1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160（8小时值）</w:t>
                  </w:r>
                </w:p>
              </w:tc>
              <w:tc>
                <w:tcPr>
                  <w:tcW w:w="1150" w:type="dxa"/>
                  <w:tcBorders>
                    <w:bottom w:val="single" w:color="auto" w:sz="12" w:space="0"/>
                  </w:tcBorders>
                  <w:vAlign w:val="center"/>
                </w:tcPr>
                <w:p w14:paraId="0939FCC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60</w:t>
                  </w:r>
                </w:p>
              </w:tc>
              <w:tc>
                <w:tcPr>
                  <w:tcW w:w="1150" w:type="dxa"/>
                  <w:tcBorders>
                    <w:bottom w:val="single" w:color="auto" w:sz="12" w:space="0"/>
                  </w:tcBorders>
                  <w:vAlign w:val="center"/>
                </w:tcPr>
                <w:p w14:paraId="57521C3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40</w:t>
                  </w:r>
                </w:p>
              </w:tc>
              <w:tc>
                <w:tcPr>
                  <w:tcW w:w="1150" w:type="dxa"/>
                  <w:tcBorders>
                    <w:bottom w:val="single" w:color="auto" w:sz="12" w:space="0"/>
                    <w:right w:val="nil"/>
                  </w:tcBorders>
                  <w:vAlign w:val="center"/>
                </w:tcPr>
                <w:p w14:paraId="58AE141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kern w:val="0"/>
                      <w:sz w:val="18"/>
                      <w:szCs w:val="18"/>
                      <w:vertAlign w:val="baseline"/>
                      <w:lang w:val="en-US" w:eastAsia="zh-CN"/>
                    </w:rPr>
                  </w:pPr>
                  <w:r>
                    <w:rPr>
                      <w:rFonts w:hint="eastAsia"/>
                      <w:kern w:val="0"/>
                      <w:sz w:val="18"/>
                      <w:szCs w:val="18"/>
                      <w:vertAlign w:val="baseline"/>
                      <w:lang w:val="en-US" w:eastAsia="zh-CN"/>
                    </w:rPr>
                    <w:t>4000（日均值）</w:t>
                  </w:r>
                </w:p>
              </w:tc>
            </w:tr>
          </w:tbl>
          <w:p w14:paraId="08CB1ECA">
            <w:pPr>
              <w:adjustRightInd w:val="0"/>
              <w:snapToGrid w:val="0"/>
              <w:spacing w:line="360" w:lineRule="auto"/>
              <w:ind w:firstLine="480" w:firstLineChars="200"/>
              <w:jc w:val="left"/>
              <w:rPr>
                <w:sz w:val="24"/>
                <w:u w:val="none"/>
              </w:rPr>
            </w:pPr>
            <w:r>
              <w:rPr>
                <w:rFonts w:hint="eastAsia"/>
                <w:kern w:val="0"/>
                <w:sz w:val="24"/>
                <w:lang w:val="en-US" w:eastAsia="zh-CN"/>
              </w:rPr>
              <w:t>可以看出，项目区域属于环境空气达标区。</w:t>
            </w:r>
          </w:p>
          <w:p w14:paraId="2BED8CD0">
            <w:pPr>
              <w:spacing w:line="360" w:lineRule="auto"/>
              <w:jc w:val="left"/>
              <w:rPr>
                <w:szCs w:val="21"/>
                <w:u w:val="none"/>
              </w:rPr>
            </w:pPr>
            <w:r>
              <w:rPr>
                <w:rFonts w:hint="eastAsia"/>
                <w:b/>
                <w:bCs/>
                <w:sz w:val="24"/>
                <w:u w:val="none"/>
              </w:rPr>
              <w:t>3</w:t>
            </w:r>
            <w:r>
              <w:rPr>
                <w:b/>
                <w:bCs/>
                <w:sz w:val="24"/>
                <w:u w:val="none"/>
              </w:rPr>
              <w:t>.4</w:t>
            </w:r>
            <w:r>
              <w:rPr>
                <w:rFonts w:hint="eastAsia"/>
                <w:b/>
                <w:bCs/>
                <w:sz w:val="24"/>
                <w:u w:val="none"/>
              </w:rPr>
              <w:t>地表水环境质量现状</w:t>
            </w:r>
          </w:p>
          <w:p w14:paraId="1B37DD89">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（1）水源保护区</w:t>
            </w:r>
          </w:p>
          <w:p w14:paraId="51A8E3A8">
            <w:pPr>
              <w:spacing w:line="360" w:lineRule="auto"/>
              <w:ind w:firstLine="480" w:firstLineChars="200"/>
              <w:rPr>
                <w:rFonts w:hint="eastAsia"/>
                <w:color w:val="FF0000"/>
                <w:sz w:val="24"/>
                <w:u w:val="none"/>
                <w:lang w:val="en-US" w:eastAsia="zh-CN"/>
              </w:rPr>
            </w:pPr>
            <w:r>
              <w:rPr>
                <w:rFonts w:hint="eastAsia"/>
                <w:color w:val="FF0000"/>
                <w:sz w:val="24"/>
                <w:u w:val="none"/>
                <w:lang w:val="en-US" w:eastAsia="zh-CN"/>
              </w:rPr>
              <w:t>项目区域附近的水源地主要为耒阳市三都镇地下水饮用水水源保护区，位于凉水冲水库的库尾，该水源地的划定批复为湘环函[2019]231号，水源地编号为FH1415430481104R0009。耒阳市人民政府于2020年设立水源地标识标牌。划分批复和水源地标示标牌见图3-2。</w:t>
            </w:r>
          </w:p>
          <w:tbl>
            <w:tblPr>
              <w:tblStyle w:val="33"/>
              <w:tblW w:w="80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4"/>
              <w:gridCol w:w="4034"/>
            </w:tblGrid>
            <w:tr w14:paraId="542CC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Merge w:val="restart"/>
                  <w:vAlign w:val="center"/>
                </w:tcPr>
                <w:p w14:paraId="7755C2B8">
                  <w:pPr>
                    <w:spacing w:line="360" w:lineRule="auto"/>
                    <w:jc w:val="center"/>
                    <w:rPr>
                      <w:rFonts w:hint="eastAsia"/>
                      <w:color w:val="FF0000"/>
                      <w:sz w:val="24"/>
                      <w:u w:val="none"/>
                      <w:vertAlign w:val="baseline"/>
                      <w:lang w:val="en-US" w:eastAsia="zh-CN"/>
                    </w:rPr>
                  </w:pPr>
                  <w:r>
                    <w:rPr>
                      <w:rFonts w:hint="eastAsia"/>
                      <w:color w:val="FF0000"/>
                      <w:sz w:val="24"/>
                      <w:u w:val="none"/>
                      <w:lang w:val="en-US" w:eastAsia="zh-CN"/>
                    </w:rPr>
                    <w:drawing>
                      <wp:inline distT="0" distB="0" distL="114300" distR="114300">
                        <wp:extent cx="2526665" cy="3599815"/>
                        <wp:effectExtent l="0" t="0" r="6985" b="635"/>
                        <wp:docPr id="56" name="图片 56" descr="0eb1f6f7adafb230e8b33472efbe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eb1f6f7adafb230e8b33472efbe426"/>
                                <pic:cNvPicPr>
                                  <a:picLocks noChangeAspect="1"/>
                                </pic:cNvPicPr>
                              </pic:nvPicPr>
                              <pic:blipFill>
                                <a:blip r:embed="rId25"/>
                                <a:stretch>
                                  <a:fillRect/>
                                </a:stretch>
                              </pic:blipFill>
                              <pic:spPr>
                                <a:xfrm>
                                  <a:off x="0" y="0"/>
                                  <a:ext cx="2526665" cy="3599815"/>
                                </a:xfrm>
                                <a:prstGeom prst="rect">
                                  <a:avLst/>
                                </a:prstGeom>
                              </pic:spPr>
                            </pic:pic>
                          </a:graphicData>
                        </a:graphic>
                      </wp:inline>
                    </w:drawing>
                  </w:r>
                </w:p>
              </w:tc>
              <w:tc>
                <w:tcPr>
                  <w:tcW w:w="4034" w:type="dxa"/>
                  <w:vAlign w:val="center"/>
                </w:tcPr>
                <w:p w14:paraId="040D70BC">
                  <w:pPr>
                    <w:spacing w:line="360" w:lineRule="auto"/>
                    <w:jc w:val="center"/>
                    <w:rPr>
                      <w:rFonts w:hint="eastAsia"/>
                      <w:color w:val="FF0000"/>
                      <w:sz w:val="24"/>
                      <w:u w:val="none"/>
                      <w:vertAlign w:val="baseline"/>
                      <w:lang w:val="en-US" w:eastAsia="zh-CN"/>
                    </w:rPr>
                  </w:pPr>
                  <w:r>
                    <w:rPr>
                      <w:rFonts w:hint="eastAsia"/>
                      <w:color w:val="FF0000"/>
                      <w:sz w:val="24"/>
                      <w:u w:val="none"/>
                      <w:lang w:val="en-US" w:eastAsia="zh-CN"/>
                    </w:rPr>
                    <w:drawing>
                      <wp:inline distT="0" distB="0" distL="114300" distR="114300">
                        <wp:extent cx="2401570" cy="1800225"/>
                        <wp:effectExtent l="0" t="0" r="17780" b="9525"/>
                        <wp:docPr id="58" name="图片 58" descr="d4374bc52d34a0c3f8f9b9365be6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4374bc52d34a0c3f8f9b9365be6f50"/>
                                <pic:cNvPicPr>
                                  <a:picLocks noChangeAspect="1"/>
                                </pic:cNvPicPr>
                              </pic:nvPicPr>
                              <pic:blipFill>
                                <a:blip r:embed="rId26"/>
                                <a:stretch>
                                  <a:fillRect/>
                                </a:stretch>
                              </pic:blipFill>
                              <pic:spPr>
                                <a:xfrm>
                                  <a:off x="0" y="0"/>
                                  <a:ext cx="2401570" cy="1800225"/>
                                </a:xfrm>
                                <a:prstGeom prst="rect">
                                  <a:avLst/>
                                </a:prstGeom>
                              </pic:spPr>
                            </pic:pic>
                          </a:graphicData>
                        </a:graphic>
                      </wp:inline>
                    </w:drawing>
                  </w:r>
                </w:p>
              </w:tc>
            </w:tr>
            <w:tr w14:paraId="430B2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Merge w:val="continue"/>
                  <w:vAlign w:val="center"/>
                </w:tcPr>
                <w:p w14:paraId="2C900A0B">
                  <w:pPr>
                    <w:spacing w:line="360" w:lineRule="auto"/>
                    <w:jc w:val="center"/>
                    <w:rPr>
                      <w:rFonts w:hint="eastAsia"/>
                      <w:color w:val="FF0000"/>
                      <w:sz w:val="24"/>
                      <w:u w:val="none"/>
                      <w:vertAlign w:val="baseline"/>
                      <w:lang w:val="en-US" w:eastAsia="zh-CN"/>
                    </w:rPr>
                  </w:pPr>
                </w:p>
              </w:tc>
              <w:tc>
                <w:tcPr>
                  <w:tcW w:w="4034" w:type="dxa"/>
                  <w:vAlign w:val="center"/>
                </w:tcPr>
                <w:p w14:paraId="4EF54E74">
                  <w:pPr>
                    <w:spacing w:line="360" w:lineRule="auto"/>
                    <w:jc w:val="center"/>
                    <w:rPr>
                      <w:rFonts w:hint="eastAsia"/>
                      <w:color w:val="FF0000"/>
                      <w:sz w:val="24"/>
                      <w:u w:val="none"/>
                      <w:vertAlign w:val="baseline"/>
                      <w:lang w:val="en-US" w:eastAsia="zh-CN"/>
                    </w:rPr>
                  </w:pPr>
                  <w:r>
                    <w:rPr>
                      <w:rFonts w:hint="eastAsia"/>
                      <w:color w:val="FF0000"/>
                      <w:sz w:val="24"/>
                      <w:u w:val="none"/>
                      <w:lang w:val="en-US" w:eastAsia="zh-CN"/>
                    </w:rPr>
                    <w:drawing>
                      <wp:inline distT="0" distB="0" distL="114300" distR="114300">
                        <wp:extent cx="2400935" cy="1800225"/>
                        <wp:effectExtent l="0" t="0" r="18415" b="9525"/>
                        <wp:docPr id="57" name="图片 57" descr="3abc7448346a85761f9d16a23de5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abc7448346a85761f9d16a23de522c"/>
                                <pic:cNvPicPr>
                                  <a:picLocks noChangeAspect="1"/>
                                </pic:cNvPicPr>
                              </pic:nvPicPr>
                              <pic:blipFill>
                                <a:blip r:embed="rId27"/>
                                <a:stretch>
                                  <a:fillRect/>
                                </a:stretch>
                              </pic:blipFill>
                              <pic:spPr>
                                <a:xfrm>
                                  <a:off x="0" y="0"/>
                                  <a:ext cx="2400935" cy="1800225"/>
                                </a:xfrm>
                                <a:prstGeom prst="rect">
                                  <a:avLst/>
                                </a:prstGeom>
                              </pic:spPr>
                            </pic:pic>
                          </a:graphicData>
                        </a:graphic>
                      </wp:inline>
                    </w:drawing>
                  </w:r>
                </w:p>
              </w:tc>
            </w:tr>
          </w:tbl>
          <w:p w14:paraId="1C07A862">
            <w:pPr>
              <w:spacing w:line="360" w:lineRule="auto"/>
              <w:jc w:val="center"/>
              <w:rPr>
                <w:rFonts w:hint="default"/>
                <w:b/>
                <w:bCs/>
                <w:color w:val="FF0000"/>
                <w:sz w:val="24"/>
                <w:u w:val="none"/>
                <w:lang w:val="en-US" w:eastAsia="zh-CN"/>
              </w:rPr>
            </w:pPr>
            <w:r>
              <w:rPr>
                <w:rFonts w:hint="eastAsia"/>
                <w:b/>
                <w:bCs/>
                <w:color w:val="FF0000"/>
                <w:sz w:val="24"/>
                <w:u w:val="none"/>
                <w:lang w:val="en-US" w:eastAsia="zh-CN"/>
              </w:rPr>
              <w:t>图3-2  水源地划分批复和水源地标识标牌</w:t>
            </w:r>
          </w:p>
          <w:p w14:paraId="01B1B034">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项目DZ17风机点位位于耒阳市三都镇地下水饮用水水源保护区的西侧830米，区域水流为北向南汇入凉水冲水库，不会汇入耒阳市三都镇地下水饮用水水源保护区。同时根据现场调查，耒阳市三都镇地下水饮用水水源保护区的取水口海拔约为186米，相比水库库尾178米高出约8米。因此DZ17与耒阳市三都镇地下水饮用水水源保护区不存在水力联系。</w:t>
            </w:r>
          </w:p>
          <w:p w14:paraId="268B73CC">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（2）项目区域水系及水库调查</w:t>
            </w:r>
          </w:p>
          <w:p w14:paraId="47ED626D">
            <w:pPr>
              <w:spacing w:line="360" w:lineRule="auto"/>
              <w:ind w:firstLine="480" w:firstLineChars="200"/>
              <w:rPr>
                <w:rFonts w:hint="eastAsia"/>
                <w:color w:val="FF0000"/>
                <w:sz w:val="24"/>
                <w:u w:val="none"/>
                <w:lang w:val="en-US" w:eastAsia="zh-CN"/>
              </w:rPr>
            </w:pPr>
            <w:r>
              <w:rPr>
                <w:rFonts w:hint="eastAsia"/>
                <w:color w:val="FF0000"/>
                <w:sz w:val="24"/>
                <w:u w:val="none"/>
                <w:lang w:val="en-US" w:eastAsia="zh-CN"/>
              </w:rPr>
              <w:t>项目区域属于耒水水系，其中项目区域北侧雨水向北汇入熬山河，再自东向西汇入耒水，项目区域南侧雨水向南汇入淝江，再自东向西汇入耒水。</w:t>
            </w:r>
          </w:p>
          <w:p w14:paraId="4CC84AAD">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项目区域的水库主要为芷江水库、杨梅岭水库、龙塘里水库以及东山冲水库，主要功能均为灌溉，无饮用水水源的功能。</w:t>
            </w:r>
          </w:p>
          <w:tbl>
            <w:tblPr>
              <w:tblStyle w:val="33"/>
              <w:tblW w:w="80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34"/>
              <w:gridCol w:w="4034"/>
            </w:tblGrid>
            <w:tr w14:paraId="2E5B1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34" w:type="dxa"/>
                  <w:vAlign w:val="center"/>
                </w:tcPr>
                <w:p w14:paraId="090653D1">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59" name="图片 59" descr="4f031fd29ce1cec50881faf863da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f031fd29ce1cec50881faf863dad29"/>
                                <pic:cNvPicPr>
                                  <a:picLocks noChangeAspect="1"/>
                                </pic:cNvPicPr>
                              </pic:nvPicPr>
                              <pic:blipFill>
                                <a:blip r:embed="rId28"/>
                                <a:stretch>
                                  <a:fillRect/>
                                </a:stretch>
                              </pic:blipFill>
                              <pic:spPr>
                                <a:xfrm>
                                  <a:off x="0" y="0"/>
                                  <a:ext cx="2421255" cy="1815465"/>
                                </a:xfrm>
                                <a:prstGeom prst="rect">
                                  <a:avLst/>
                                </a:prstGeom>
                              </pic:spPr>
                            </pic:pic>
                          </a:graphicData>
                        </a:graphic>
                      </wp:inline>
                    </w:drawing>
                  </w:r>
                </w:p>
              </w:tc>
              <w:tc>
                <w:tcPr>
                  <w:tcW w:w="4034" w:type="dxa"/>
                  <w:vAlign w:val="center"/>
                </w:tcPr>
                <w:p w14:paraId="355AD1C7">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0" name="图片 60" descr="acb5fda9313267f56e6fb44d1dfc4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acb5fda9313267f56e6fb44d1dfc4e5"/>
                                <pic:cNvPicPr>
                                  <a:picLocks noChangeAspect="1"/>
                                </pic:cNvPicPr>
                              </pic:nvPicPr>
                              <pic:blipFill>
                                <a:blip r:embed="rId29"/>
                                <a:stretch>
                                  <a:fillRect/>
                                </a:stretch>
                              </pic:blipFill>
                              <pic:spPr>
                                <a:xfrm>
                                  <a:off x="0" y="0"/>
                                  <a:ext cx="2421255" cy="1815465"/>
                                </a:xfrm>
                                <a:prstGeom prst="rect">
                                  <a:avLst/>
                                </a:prstGeom>
                              </pic:spPr>
                            </pic:pic>
                          </a:graphicData>
                        </a:graphic>
                      </wp:inline>
                    </w:drawing>
                  </w:r>
                </w:p>
              </w:tc>
            </w:tr>
            <w:tr w14:paraId="7809D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6D99A79F">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t>杨梅岭水库现状及公示牌</w:t>
                  </w:r>
                </w:p>
              </w:tc>
            </w:tr>
            <w:tr w14:paraId="68EBD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Align w:val="center"/>
                </w:tcPr>
                <w:p w14:paraId="173936D0">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2" name="图片 62" descr="977f48a751d3d863bb1c5b9feb7b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977f48a751d3d863bb1c5b9feb7bb2a"/>
                                <pic:cNvPicPr>
                                  <a:picLocks noChangeAspect="1"/>
                                </pic:cNvPicPr>
                              </pic:nvPicPr>
                              <pic:blipFill>
                                <a:blip r:embed="rId30"/>
                                <a:stretch>
                                  <a:fillRect/>
                                </a:stretch>
                              </pic:blipFill>
                              <pic:spPr>
                                <a:xfrm>
                                  <a:off x="0" y="0"/>
                                  <a:ext cx="2421255" cy="1815465"/>
                                </a:xfrm>
                                <a:prstGeom prst="rect">
                                  <a:avLst/>
                                </a:prstGeom>
                              </pic:spPr>
                            </pic:pic>
                          </a:graphicData>
                        </a:graphic>
                      </wp:inline>
                    </w:drawing>
                  </w:r>
                </w:p>
              </w:tc>
              <w:tc>
                <w:tcPr>
                  <w:tcW w:w="4034" w:type="dxa"/>
                  <w:vAlign w:val="center"/>
                </w:tcPr>
                <w:p w14:paraId="4CCD22C0">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1" name="图片 61" descr="3d014c983d5871d4d16e78f4b5a1a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d014c983d5871d4d16e78f4b5a1acf"/>
                                <pic:cNvPicPr>
                                  <a:picLocks noChangeAspect="1"/>
                                </pic:cNvPicPr>
                              </pic:nvPicPr>
                              <pic:blipFill>
                                <a:blip r:embed="rId31"/>
                                <a:stretch>
                                  <a:fillRect/>
                                </a:stretch>
                              </pic:blipFill>
                              <pic:spPr>
                                <a:xfrm>
                                  <a:off x="0" y="0"/>
                                  <a:ext cx="2421255" cy="1815465"/>
                                </a:xfrm>
                                <a:prstGeom prst="rect">
                                  <a:avLst/>
                                </a:prstGeom>
                              </pic:spPr>
                            </pic:pic>
                          </a:graphicData>
                        </a:graphic>
                      </wp:inline>
                    </w:drawing>
                  </w:r>
                </w:p>
              </w:tc>
            </w:tr>
            <w:tr w14:paraId="2D650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1058CA90">
                  <w:pPr>
                    <w:spacing w:line="360" w:lineRule="auto"/>
                    <w:jc w:val="center"/>
                    <w:rPr>
                      <w:rFonts w:hint="default"/>
                      <w:color w:val="FF0000"/>
                      <w:sz w:val="24"/>
                      <w:u w:val="none"/>
                      <w:vertAlign w:val="baseline"/>
                      <w:lang w:val="en-US" w:eastAsia="zh-CN"/>
                    </w:rPr>
                  </w:pPr>
                  <w:r>
                    <w:rPr>
                      <w:rFonts w:hint="eastAsia"/>
                      <w:color w:val="FF0000"/>
                      <w:sz w:val="24"/>
                      <w:u w:val="none"/>
                      <w:vertAlign w:val="baseline"/>
                      <w:lang w:val="en-US" w:eastAsia="zh-CN"/>
                    </w:rPr>
                    <w:t>龙塘里水库现状及公示牌</w:t>
                  </w:r>
                </w:p>
              </w:tc>
            </w:tr>
            <w:tr w14:paraId="2A420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Align w:val="center"/>
                </w:tcPr>
                <w:p w14:paraId="36F55002">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4" name="图片 64" descr="55f4563553d11aeba83bee8931fd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5f4563553d11aeba83bee8931fd937"/>
                                <pic:cNvPicPr>
                                  <a:picLocks noChangeAspect="1"/>
                                </pic:cNvPicPr>
                              </pic:nvPicPr>
                              <pic:blipFill>
                                <a:blip r:embed="rId32"/>
                                <a:stretch>
                                  <a:fillRect/>
                                </a:stretch>
                              </pic:blipFill>
                              <pic:spPr>
                                <a:xfrm>
                                  <a:off x="0" y="0"/>
                                  <a:ext cx="2421255" cy="1815465"/>
                                </a:xfrm>
                                <a:prstGeom prst="rect">
                                  <a:avLst/>
                                </a:prstGeom>
                              </pic:spPr>
                            </pic:pic>
                          </a:graphicData>
                        </a:graphic>
                      </wp:inline>
                    </w:drawing>
                  </w:r>
                </w:p>
              </w:tc>
              <w:tc>
                <w:tcPr>
                  <w:tcW w:w="4034" w:type="dxa"/>
                  <w:vAlign w:val="center"/>
                </w:tcPr>
                <w:p w14:paraId="6E063A83">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3" name="图片 63" descr="d3508c537ddcf8eabcf27ce3d7f70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3508c537ddcf8eabcf27ce3d7f70cd"/>
                                <pic:cNvPicPr>
                                  <a:picLocks noChangeAspect="1"/>
                                </pic:cNvPicPr>
                              </pic:nvPicPr>
                              <pic:blipFill>
                                <a:blip r:embed="rId33"/>
                                <a:stretch>
                                  <a:fillRect/>
                                </a:stretch>
                              </pic:blipFill>
                              <pic:spPr>
                                <a:xfrm>
                                  <a:off x="0" y="0"/>
                                  <a:ext cx="2421255" cy="1815465"/>
                                </a:xfrm>
                                <a:prstGeom prst="rect">
                                  <a:avLst/>
                                </a:prstGeom>
                              </pic:spPr>
                            </pic:pic>
                          </a:graphicData>
                        </a:graphic>
                      </wp:inline>
                    </w:drawing>
                  </w:r>
                </w:p>
              </w:tc>
            </w:tr>
            <w:tr w14:paraId="0023B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33B62948">
                  <w:pPr>
                    <w:spacing w:line="360" w:lineRule="auto"/>
                    <w:jc w:val="center"/>
                    <w:rPr>
                      <w:rFonts w:hint="default"/>
                      <w:color w:val="FF0000"/>
                      <w:sz w:val="24"/>
                      <w:u w:val="none"/>
                      <w:vertAlign w:val="baseline"/>
                      <w:lang w:val="en-US" w:eastAsia="zh-CN"/>
                    </w:rPr>
                  </w:pPr>
                  <w:r>
                    <w:rPr>
                      <w:rFonts w:hint="eastAsia"/>
                      <w:color w:val="FF0000"/>
                      <w:sz w:val="24"/>
                      <w:u w:val="none"/>
                      <w:vertAlign w:val="baseline"/>
                      <w:lang w:val="en-US" w:eastAsia="zh-CN"/>
                    </w:rPr>
                    <w:t>芷江水库现状及公示牌</w:t>
                  </w:r>
                </w:p>
              </w:tc>
            </w:tr>
            <w:tr w14:paraId="2FBDD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4" w:type="dxa"/>
                  <w:vAlign w:val="center"/>
                </w:tcPr>
                <w:p w14:paraId="33AA71E6">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5" name="图片 65" descr="be9aebb7cb305dea414232a205e8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e9aebb7cb305dea414232a205e81bb"/>
                                <pic:cNvPicPr>
                                  <a:picLocks noChangeAspect="1"/>
                                </pic:cNvPicPr>
                              </pic:nvPicPr>
                              <pic:blipFill>
                                <a:blip r:embed="rId34"/>
                                <a:stretch>
                                  <a:fillRect/>
                                </a:stretch>
                              </pic:blipFill>
                              <pic:spPr>
                                <a:xfrm>
                                  <a:off x="0" y="0"/>
                                  <a:ext cx="2421255" cy="1815465"/>
                                </a:xfrm>
                                <a:prstGeom prst="rect">
                                  <a:avLst/>
                                </a:prstGeom>
                              </pic:spPr>
                            </pic:pic>
                          </a:graphicData>
                        </a:graphic>
                      </wp:inline>
                    </w:drawing>
                  </w:r>
                </w:p>
              </w:tc>
              <w:tc>
                <w:tcPr>
                  <w:tcW w:w="4034" w:type="dxa"/>
                  <w:vAlign w:val="center"/>
                </w:tcPr>
                <w:p w14:paraId="0CF3EAC3">
                  <w:pPr>
                    <w:spacing w:line="360" w:lineRule="auto"/>
                    <w:jc w:val="center"/>
                    <w:rPr>
                      <w:rFonts w:hint="eastAsia"/>
                      <w:color w:val="FF0000"/>
                      <w:sz w:val="24"/>
                      <w:u w:val="none"/>
                      <w:vertAlign w:val="baseline"/>
                      <w:lang w:val="en-US" w:eastAsia="zh-CN"/>
                    </w:rPr>
                  </w:pPr>
                  <w:r>
                    <w:rPr>
                      <w:rFonts w:hint="eastAsia"/>
                      <w:color w:val="FF0000"/>
                      <w:sz w:val="24"/>
                      <w:u w:val="none"/>
                      <w:vertAlign w:val="baseline"/>
                      <w:lang w:val="en-US" w:eastAsia="zh-CN"/>
                    </w:rPr>
                    <w:drawing>
                      <wp:inline distT="0" distB="0" distL="114300" distR="114300">
                        <wp:extent cx="2421255" cy="1815465"/>
                        <wp:effectExtent l="0" t="0" r="17145" b="13335"/>
                        <wp:docPr id="66" name="图片 66" descr="facd845e32a93e6aa05646fef8ec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acd845e32a93e6aa05646fef8ec805"/>
                                <pic:cNvPicPr>
                                  <a:picLocks noChangeAspect="1"/>
                                </pic:cNvPicPr>
                              </pic:nvPicPr>
                              <pic:blipFill>
                                <a:blip r:embed="rId35"/>
                                <a:stretch>
                                  <a:fillRect/>
                                </a:stretch>
                              </pic:blipFill>
                              <pic:spPr>
                                <a:xfrm>
                                  <a:off x="0" y="0"/>
                                  <a:ext cx="2421255" cy="1815465"/>
                                </a:xfrm>
                                <a:prstGeom prst="rect">
                                  <a:avLst/>
                                </a:prstGeom>
                              </pic:spPr>
                            </pic:pic>
                          </a:graphicData>
                        </a:graphic>
                      </wp:inline>
                    </w:drawing>
                  </w:r>
                </w:p>
              </w:tc>
            </w:tr>
            <w:tr w14:paraId="55220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8" w:type="dxa"/>
                  <w:gridSpan w:val="2"/>
                  <w:vAlign w:val="center"/>
                </w:tcPr>
                <w:p w14:paraId="2DCCF4FB">
                  <w:pPr>
                    <w:spacing w:line="360" w:lineRule="auto"/>
                    <w:jc w:val="center"/>
                    <w:rPr>
                      <w:rFonts w:hint="default"/>
                      <w:color w:val="FF0000"/>
                      <w:sz w:val="24"/>
                      <w:u w:val="none"/>
                      <w:vertAlign w:val="baseline"/>
                      <w:lang w:val="en-US" w:eastAsia="zh-CN"/>
                    </w:rPr>
                  </w:pPr>
                  <w:r>
                    <w:rPr>
                      <w:rFonts w:hint="eastAsia"/>
                      <w:color w:val="FF0000"/>
                      <w:sz w:val="24"/>
                      <w:u w:val="none"/>
                      <w:vertAlign w:val="baseline"/>
                      <w:lang w:val="en-US" w:eastAsia="zh-CN"/>
                    </w:rPr>
                    <w:t>东山冲水库现状</w:t>
                  </w:r>
                </w:p>
              </w:tc>
            </w:tr>
          </w:tbl>
          <w:p w14:paraId="73EF6CD7">
            <w:pPr>
              <w:spacing w:line="360" w:lineRule="auto"/>
              <w:jc w:val="center"/>
              <w:rPr>
                <w:rFonts w:hint="default"/>
                <w:b/>
                <w:bCs/>
                <w:color w:val="FF0000"/>
                <w:sz w:val="24"/>
                <w:u w:val="none"/>
                <w:lang w:val="en-US" w:eastAsia="zh-CN"/>
              </w:rPr>
            </w:pPr>
            <w:r>
              <w:rPr>
                <w:rFonts w:hint="eastAsia"/>
                <w:b/>
                <w:bCs/>
                <w:color w:val="FF0000"/>
                <w:sz w:val="24"/>
                <w:u w:val="none"/>
                <w:lang w:val="en-US" w:eastAsia="zh-CN"/>
              </w:rPr>
              <w:t>图3-3  项目区域水库现状</w:t>
            </w:r>
          </w:p>
          <w:p w14:paraId="716E2058">
            <w:pPr>
              <w:spacing w:line="360" w:lineRule="auto"/>
              <w:ind w:firstLine="480" w:firstLineChars="200"/>
              <w:rPr>
                <w:rFonts w:hint="default"/>
                <w:color w:val="FF0000"/>
                <w:sz w:val="24"/>
                <w:u w:val="none"/>
                <w:lang w:val="en-US" w:eastAsia="zh-CN"/>
              </w:rPr>
            </w:pPr>
            <w:r>
              <w:rPr>
                <w:rFonts w:hint="eastAsia"/>
                <w:color w:val="FF0000"/>
                <w:sz w:val="24"/>
                <w:u w:val="none"/>
                <w:lang w:val="en-US" w:eastAsia="zh-CN"/>
              </w:rPr>
              <w:t>（3）地表水环境质量现状</w:t>
            </w:r>
          </w:p>
          <w:p w14:paraId="0A391FC4">
            <w:pPr>
              <w:spacing w:line="360" w:lineRule="auto"/>
              <w:ind w:firstLine="480" w:firstLineChars="200"/>
              <w:rPr>
                <w:rFonts w:hint="default" w:eastAsia="宋体"/>
                <w:color w:val="FF0000"/>
                <w:sz w:val="24"/>
                <w:u w:val="none"/>
                <w:lang w:val="en-US" w:eastAsia="zh-CN"/>
              </w:rPr>
            </w:pPr>
            <w:r>
              <w:rPr>
                <w:rFonts w:hint="eastAsia"/>
                <w:color w:val="FF0000"/>
                <w:sz w:val="24"/>
                <w:u w:val="none"/>
                <w:lang w:val="en-US" w:eastAsia="zh-CN"/>
              </w:rPr>
              <w:t>经</w:t>
            </w:r>
            <w:r>
              <w:rPr>
                <w:color w:val="FF0000"/>
                <w:sz w:val="24"/>
                <w:u w:val="none"/>
              </w:rPr>
              <w:t>收集了衡阳市生态环境局网站公开发布的《</w:t>
            </w:r>
            <w:r>
              <w:rPr>
                <w:rFonts w:hint="eastAsia"/>
                <w:color w:val="FF0000"/>
                <w:sz w:val="24"/>
                <w:u w:val="none"/>
              </w:rPr>
              <w:t>关于</w:t>
            </w:r>
            <w:r>
              <w:rPr>
                <w:color w:val="FF0000"/>
                <w:sz w:val="24"/>
                <w:u w:val="none"/>
              </w:rPr>
              <w:t>202</w:t>
            </w:r>
            <w:r>
              <w:rPr>
                <w:rFonts w:hint="eastAsia"/>
                <w:color w:val="FF0000"/>
                <w:sz w:val="24"/>
                <w:u w:val="none"/>
                <w:lang w:val="en-US" w:eastAsia="zh-CN"/>
              </w:rPr>
              <w:t>3</w:t>
            </w:r>
            <w:r>
              <w:rPr>
                <w:rFonts w:hint="eastAsia"/>
                <w:color w:val="FF0000"/>
                <w:sz w:val="24"/>
                <w:u w:val="none"/>
              </w:rPr>
              <w:t>年1</w:t>
            </w:r>
            <w:r>
              <w:rPr>
                <w:color w:val="FF0000"/>
                <w:sz w:val="24"/>
                <w:u w:val="none"/>
              </w:rPr>
              <w:t>2</w:t>
            </w:r>
            <w:r>
              <w:rPr>
                <w:rFonts w:hint="eastAsia"/>
                <w:color w:val="FF0000"/>
                <w:sz w:val="24"/>
                <w:u w:val="none"/>
              </w:rPr>
              <w:t>月及1</w:t>
            </w:r>
            <w:r>
              <w:rPr>
                <w:color w:val="FF0000"/>
                <w:sz w:val="24"/>
                <w:u w:val="none"/>
              </w:rPr>
              <w:t>-12</w:t>
            </w:r>
            <w:r>
              <w:rPr>
                <w:rFonts w:hint="eastAsia"/>
                <w:color w:val="FF0000"/>
                <w:sz w:val="24"/>
                <w:u w:val="none"/>
              </w:rPr>
              <w:t>月</w:t>
            </w:r>
            <w:r>
              <w:rPr>
                <w:color w:val="FF0000"/>
                <w:sz w:val="24"/>
                <w:u w:val="none"/>
              </w:rPr>
              <w:t>全市环境质量状况的通报》</w:t>
            </w:r>
            <w:r>
              <w:rPr>
                <w:rFonts w:hint="eastAsia"/>
                <w:color w:val="FF0000"/>
                <w:sz w:val="24"/>
                <w:u w:val="none"/>
                <w:lang w:eastAsia="zh-CN"/>
              </w:rPr>
              <w:t>，</w:t>
            </w:r>
            <w:r>
              <w:rPr>
                <w:rFonts w:hint="eastAsia"/>
                <w:color w:val="FF0000"/>
                <w:sz w:val="24"/>
                <w:u w:val="none"/>
                <w:lang w:val="en-US" w:eastAsia="zh-CN"/>
              </w:rPr>
              <w:t>2023年1-12月，耒阳市纳入考核的水质断面共4个，分别为耒阳市水厂、内州、公坪村和淝江入耒水口，均达到II类水质标准。因此项目区域地表水环境质量状况较好。</w:t>
            </w:r>
          </w:p>
          <w:p w14:paraId="280E8CDE">
            <w:pPr>
              <w:spacing w:line="360" w:lineRule="auto"/>
              <w:jc w:val="left"/>
              <w:rPr>
                <w:b/>
                <w:bCs/>
                <w:sz w:val="28"/>
                <w:szCs w:val="28"/>
                <w:u w:val="none"/>
              </w:rPr>
            </w:pPr>
            <w:r>
              <w:rPr>
                <w:rFonts w:hint="eastAsia"/>
                <w:b/>
                <w:bCs/>
                <w:sz w:val="24"/>
                <w:u w:val="none"/>
              </w:rPr>
              <w:t>3</w:t>
            </w:r>
            <w:r>
              <w:rPr>
                <w:b/>
                <w:bCs/>
                <w:sz w:val="24"/>
                <w:u w:val="none"/>
              </w:rPr>
              <w:t>.5</w:t>
            </w:r>
            <w:r>
              <w:rPr>
                <w:rFonts w:hint="eastAsia"/>
                <w:b/>
                <w:bCs/>
                <w:sz w:val="24"/>
                <w:u w:val="none"/>
              </w:rPr>
              <w:t>声环境质量现状</w:t>
            </w:r>
          </w:p>
          <w:p w14:paraId="1193905E">
            <w:pPr>
              <w:pStyle w:val="57"/>
              <w:keepNext w:val="0"/>
              <w:keepLines w:val="0"/>
              <w:pageBreakBefore w:val="0"/>
              <w:widowControl w:val="0"/>
              <w:kinsoku/>
              <w:wordWrap/>
              <w:overflowPunct/>
              <w:topLinePunct w:val="0"/>
              <w:autoSpaceDE/>
              <w:autoSpaceDN/>
              <w:bidi w:val="0"/>
              <w:ind w:left="0" w:leftChars="0" w:right="42" w:firstLine="480"/>
              <w:textAlignment w:val="auto"/>
              <w:rPr>
                <w:rFonts w:hint="eastAsia" w:eastAsia="宋体"/>
                <w:b/>
                <w:bCs/>
                <w:sz w:val="28"/>
                <w:szCs w:val="28"/>
                <w:u w:val="none"/>
                <w:lang w:val="en-US" w:eastAsia="zh-CN"/>
              </w:rPr>
            </w:pPr>
            <w:r>
              <w:rPr>
                <w:rFonts w:hint="eastAsia"/>
                <w:u w:val="none"/>
              </w:rPr>
              <w:t>本项目施工期和运营期均有噪声产生。</w:t>
            </w:r>
            <w:r>
              <w:rPr>
                <w:rFonts w:hint="eastAsia"/>
                <w:u w:val="none"/>
                <w:lang w:val="en-US" w:eastAsia="zh-CN"/>
              </w:rPr>
              <w:t>本次环评</w:t>
            </w:r>
            <w:r>
              <w:rPr>
                <w:rFonts w:hint="eastAsia"/>
                <w:u w:val="none"/>
              </w:rPr>
              <w:t>委托</w:t>
            </w:r>
            <w:r>
              <w:rPr>
                <w:rFonts w:hint="eastAsia"/>
                <w:u w:val="none"/>
                <w:lang w:val="en-US" w:eastAsia="zh-CN"/>
              </w:rPr>
              <w:t>宇昂检测技术有限公司于2023年9月15日~9月16日对</w:t>
            </w:r>
            <w:r>
              <w:rPr>
                <w:rFonts w:hint="eastAsia"/>
                <w:u w:val="none"/>
              </w:rPr>
              <w:t>项目</w:t>
            </w:r>
            <w:r>
              <w:rPr>
                <w:rFonts w:hint="eastAsia"/>
                <w:u w:val="none"/>
                <w:lang w:val="en-US" w:eastAsia="zh-CN"/>
              </w:rPr>
              <w:t>各风机点位以及</w:t>
            </w:r>
            <w:r>
              <w:rPr>
                <w:rFonts w:hint="eastAsia"/>
                <w:u w:val="none"/>
              </w:rPr>
              <w:t>周边</w:t>
            </w:r>
            <w:r>
              <w:rPr>
                <w:rFonts w:hint="eastAsia"/>
                <w:u w:val="none"/>
                <w:lang w:val="en-US" w:eastAsia="zh-CN"/>
              </w:rPr>
              <w:t>居民的</w:t>
            </w:r>
            <w:r>
              <w:rPr>
                <w:rFonts w:hint="eastAsia"/>
                <w:u w:val="none"/>
              </w:rPr>
              <w:t>声环境</w:t>
            </w:r>
            <w:r>
              <w:rPr>
                <w:rFonts w:hint="eastAsia"/>
                <w:u w:val="none"/>
                <w:lang w:val="en-US"/>
              </w:rPr>
              <w:t>质量现状</w:t>
            </w:r>
            <w:r>
              <w:rPr>
                <w:rFonts w:hint="eastAsia"/>
                <w:u w:val="none"/>
              </w:rPr>
              <w:t>进行了监测</w:t>
            </w:r>
            <w:r>
              <w:rPr>
                <w:rFonts w:hint="eastAsia"/>
                <w:color w:val="FF0000"/>
                <w:u w:val="none"/>
                <w:lang w:eastAsia="zh-CN"/>
              </w:rPr>
              <w:t>（</w:t>
            </w:r>
            <w:r>
              <w:rPr>
                <w:rFonts w:hint="eastAsia"/>
                <w:color w:val="FF0000"/>
                <w:u w:val="none"/>
                <w:lang w:val="en-US" w:eastAsia="zh-CN"/>
              </w:rPr>
              <w:t>DZ4、DZ9、DZ10、DZ16、DZ19等5个风机点位在后续优化过程中已删除，考虑到其监测结果仍可反映区域声环境质量现状，本次环评统计时仍予以保留</w:t>
            </w:r>
            <w:r>
              <w:rPr>
                <w:rFonts w:hint="eastAsia"/>
                <w:color w:val="FF0000"/>
                <w:u w:val="none"/>
                <w:lang w:eastAsia="zh-CN"/>
              </w:rPr>
              <w:t>）</w:t>
            </w:r>
            <w:r>
              <w:rPr>
                <w:rFonts w:hint="eastAsia"/>
                <w:u w:val="none"/>
                <w:lang w:eastAsia="zh-CN"/>
              </w:rPr>
              <w:t>。</w:t>
            </w:r>
          </w:p>
          <w:p w14:paraId="446B204B">
            <w:pPr>
              <w:keepNext w:val="0"/>
              <w:keepLines w:val="0"/>
              <w:pageBreakBefore w:val="0"/>
              <w:widowControl w:val="0"/>
              <w:numPr>
                <w:ilvl w:val="0"/>
                <w:numId w:val="5"/>
              </w:numPr>
              <w:kinsoku/>
              <w:wordWrap/>
              <w:overflowPunct/>
              <w:topLinePunct w:val="0"/>
              <w:autoSpaceDE/>
              <w:autoSpaceDN/>
              <w:bidi w:val="0"/>
              <w:spacing w:line="360" w:lineRule="auto"/>
              <w:ind w:firstLine="480" w:firstLineChars="200"/>
              <w:textAlignment w:val="auto"/>
              <w:rPr>
                <w:rFonts w:hint="eastAsia"/>
                <w:sz w:val="24"/>
                <w:u w:val="none"/>
              </w:rPr>
            </w:pPr>
            <w:r>
              <w:rPr>
                <w:rFonts w:hint="eastAsia"/>
                <w:sz w:val="24"/>
                <w:u w:val="none"/>
              </w:rPr>
              <w:t>监测内容</w:t>
            </w:r>
          </w:p>
          <w:p w14:paraId="45E1BCAF">
            <w:pPr>
              <w:keepNext w:val="0"/>
              <w:keepLines w:val="0"/>
              <w:pageBreakBefore w:val="0"/>
              <w:widowControl w:val="0"/>
              <w:numPr>
                <w:ilvl w:val="0"/>
                <w:numId w:val="0"/>
              </w:numPr>
              <w:kinsoku/>
              <w:wordWrap/>
              <w:overflowPunct/>
              <w:topLinePunct w:val="0"/>
              <w:autoSpaceDE/>
              <w:autoSpaceDN/>
              <w:bidi w:val="0"/>
              <w:spacing w:line="360" w:lineRule="auto"/>
              <w:textAlignment w:val="auto"/>
              <w:rPr>
                <w:rFonts w:hint="eastAsia"/>
                <w:sz w:val="24"/>
                <w:u w:val="none"/>
              </w:rPr>
            </w:pPr>
          </w:p>
          <w:p w14:paraId="49E19996">
            <w:pPr>
              <w:keepNext/>
              <w:spacing w:line="240" w:lineRule="auto"/>
              <w:jc w:val="center"/>
              <w:rPr>
                <w:color w:val="FF0000"/>
                <w:sz w:val="24"/>
                <w:u w:val="none"/>
              </w:rPr>
            </w:pPr>
            <w:r>
              <w:rPr>
                <w:b/>
                <w:color w:val="FF0000"/>
                <w:szCs w:val="21"/>
                <w:u w:val="none"/>
              </w:rPr>
              <w:t>表3</w:t>
            </w:r>
            <w:r>
              <w:rPr>
                <w:rFonts w:hint="eastAsia"/>
                <w:b/>
                <w:color w:val="FF0000"/>
                <w:szCs w:val="21"/>
                <w:u w:val="none"/>
                <w:lang w:val="en-US" w:eastAsia="zh-CN"/>
              </w:rPr>
              <w:t xml:space="preserve">-7 </w:t>
            </w:r>
            <w:r>
              <w:rPr>
                <w:b/>
                <w:color w:val="FF0000"/>
                <w:szCs w:val="21"/>
                <w:u w:val="none"/>
              </w:rPr>
              <w:t xml:space="preserve"> </w:t>
            </w:r>
            <w:r>
              <w:rPr>
                <w:rFonts w:hint="eastAsia"/>
                <w:b/>
                <w:color w:val="FF0000"/>
                <w:szCs w:val="21"/>
                <w:u w:val="none"/>
              </w:rPr>
              <w:t>声环境质量现状监测内容</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775"/>
              <w:gridCol w:w="2334"/>
              <w:gridCol w:w="1998"/>
              <w:gridCol w:w="1998"/>
              <w:gridCol w:w="964"/>
            </w:tblGrid>
            <w:tr w14:paraId="4C38EC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229DE21D">
                  <w:pPr>
                    <w:jc w:val="center"/>
                    <w:rPr>
                      <w:b w:val="0"/>
                      <w:bCs w:val="0"/>
                      <w:sz w:val="21"/>
                      <w:szCs w:val="21"/>
                      <w:u w:val="none"/>
                    </w:rPr>
                  </w:pPr>
                  <w:r>
                    <w:rPr>
                      <w:b w:val="0"/>
                      <w:bCs w:val="0"/>
                      <w:sz w:val="21"/>
                      <w:szCs w:val="21"/>
                      <w:u w:val="none"/>
                    </w:rPr>
                    <w:t>编号</w:t>
                  </w:r>
                </w:p>
              </w:tc>
              <w:tc>
                <w:tcPr>
                  <w:tcW w:w="1446" w:type="pct"/>
                  <w:tcBorders>
                    <w:tl2br w:val="nil"/>
                    <w:tr2bl w:val="nil"/>
                  </w:tcBorders>
                  <w:vAlign w:val="center"/>
                </w:tcPr>
                <w:p w14:paraId="366E7354">
                  <w:pPr>
                    <w:jc w:val="center"/>
                    <w:rPr>
                      <w:b w:val="0"/>
                      <w:bCs w:val="0"/>
                      <w:sz w:val="21"/>
                      <w:szCs w:val="21"/>
                      <w:u w:val="none"/>
                    </w:rPr>
                  </w:pPr>
                  <w:r>
                    <w:rPr>
                      <w:b w:val="0"/>
                      <w:bCs w:val="0"/>
                      <w:sz w:val="21"/>
                      <w:szCs w:val="21"/>
                      <w:u w:val="none"/>
                    </w:rPr>
                    <w:t>监测点位名称</w:t>
                  </w:r>
                </w:p>
              </w:tc>
              <w:tc>
                <w:tcPr>
                  <w:tcW w:w="2476" w:type="pct"/>
                  <w:gridSpan w:val="2"/>
                  <w:tcBorders>
                    <w:tl2br w:val="nil"/>
                    <w:tr2bl w:val="nil"/>
                  </w:tcBorders>
                  <w:vAlign w:val="center"/>
                </w:tcPr>
                <w:p w14:paraId="5753AF82">
                  <w:pPr>
                    <w:jc w:val="center"/>
                    <w:rPr>
                      <w:b w:val="0"/>
                      <w:bCs w:val="0"/>
                      <w:sz w:val="21"/>
                      <w:szCs w:val="21"/>
                      <w:u w:val="none"/>
                    </w:rPr>
                  </w:pPr>
                  <w:r>
                    <w:rPr>
                      <w:b w:val="0"/>
                      <w:bCs w:val="0"/>
                      <w:sz w:val="21"/>
                      <w:szCs w:val="21"/>
                      <w:u w:val="none"/>
                    </w:rPr>
                    <w:t>坐标</w:t>
                  </w:r>
                </w:p>
              </w:tc>
              <w:tc>
                <w:tcPr>
                  <w:tcW w:w="597" w:type="pct"/>
                  <w:tcBorders>
                    <w:tl2br w:val="nil"/>
                    <w:tr2bl w:val="nil"/>
                  </w:tcBorders>
                  <w:vAlign w:val="center"/>
                </w:tcPr>
                <w:p w14:paraId="10F50429">
                  <w:pPr>
                    <w:jc w:val="center"/>
                    <w:rPr>
                      <w:b w:val="0"/>
                      <w:bCs w:val="0"/>
                      <w:sz w:val="21"/>
                      <w:szCs w:val="21"/>
                      <w:u w:val="none"/>
                    </w:rPr>
                  </w:pPr>
                  <w:r>
                    <w:rPr>
                      <w:b w:val="0"/>
                      <w:bCs w:val="0"/>
                      <w:sz w:val="21"/>
                      <w:szCs w:val="21"/>
                      <w:u w:val="none"/>
                    </w:rPr>
                    <w:t>监测内容</w:t>
                  </w:r>
                </w:p>
              </w:tc>
            </w:tr>
            <w:tr w14:paraId="116066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548BA0E2">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N1</w:t>
                  </w:r>
                </w:p>
              </w:tc>
              <w:tc>
                <w:tcPr>
                  <w:tcW w:w="1446" w:type="pct"/>
                  <w:tcBorders>
                    <w:tl2br w:val="nil"/>
                    <w:tr2bl w:val="nil"/>
                  </w:tcBorders>
                  <w:vAlign w:val="center"/>
                </w:tcPr>
                <w:p w14:paraId="6F5A7B1F">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DZ1#风机机组平台</w:t>
                  </w:r>
                </w:p>
              </w:tc>
              <w:tc>
                <w:tcPr>
                  <w:tcW w:w="1238" w:type="pct"/>
                  <w:tcBorders>
                    <w:tl2br w:val="nil"/>
                    <w:tr2bl w:val="nil"/>
                  </w:tcBorders>
                  <w:vAlign w:val="center"/>
                </w:tcPr>
                <w:p w14:paraId="1FF7C6CD">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E113°4′0.22368″</w:t>
                  </w:r>
                </w:p>
              </w:tc>
              <w:tc>
                <w:tcPr>
                  <w:tcW w:w="1238" w:type="pct"/>
                  <w:tcBorders>
                    <w:tl2br w:val="nil"/>
                    <w:tr2bl w:val="nil"/>
                  </w:tcBorders>
                  <w:vAlign w:val="center"/>
                </w:tcPr>
                <w:p w14:paraId="2294DE1D">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30</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56.47273</w:t>
                  </w:r>
                  <w:r>
                    <w:rPr>
                      <w:rFonts w:hint="default" w:ascii="Times New Roman" w:hAnsi="Times New Roman" w:eastAsia="宋体" w:cs="Times New Roman"/>
                      <w:b w:val="0"/>
                      <w:bCs w:val="0"/>
                      <w:color w:val="000000"/>
                      <w:sz w:val="21"/>
                      <w:szCs w:val="21"/>
                      <w:lang w:val="en-US" w:eastAsia="zh-CN"/>
                    </w:rPr>
                    <w:t>″</w:t>
                  </w:r>
                </w:p>
              </w:tc>
              <w:tc>
                <w:tcPr>
                  <w:tcW w:w="597" w:type="pct"/>
                  <w:vMerge w:val="restart"/>
                  <w:tcBorders>
                    <w:tl2br w:val="nil"/>
                    <w:tr2bl w:val="nil"/>
                  </w:tcBorders>
                  <w:vAlign w:val="center"/>
                </w:tcPr>
                <w:p w14:paraId="741AFBB8">
                  <w:pPr>
                    <w:jc w:val="center"/>
                    <w:rPr>
                      <w:b w:val="0"/>
                      <w:bCs w:val="0"/>
                      <w:sz w:val="21"/>
                      <w:szCs w:val="21"/>
                      <w:u w:val="none"/>
                    </w:rPr>
                  </w:pPr>
                  <w:r>
                    <w:rPr>
                      <w:b w:val="0"/>
                      <w:bCs w:val="0"/>
                      <w:sz w:val="21"/>
                      <w:szCs w:val="21"/>
                      <w:u w:val="none"/>
                    </w:rPr>
                    <w:t>LeqA</w:t>
                  </w:r>
                </w:p>
              </w:tc>
            </w:tr>
            <w:tr w14:paraId="789EB3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30E13C10">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N2</w:t>
                  </w:r>
                </w:p>
              </w:tc>
              <w:tc>
                <w:tcPr>
                  <w:tcW w:w="1446" w:type="pct"/>
                  <w:tcBorders>
                    <w:tl2br w:val="nil"/>
                    <w:tr2bl w:val="nil"/>
                  </w:tcBorders>
                  <w:vAlign w:val="center"/>
                </w:tcPr>
                <w:p w14:paraId="6DA32ADA">
                  <w:pPr>
                    <w:jc w:val="center"/>
                    <w:rPr>
                      <w:b w:val="0"/>
                      <w:bCs w:val="0"/>
                      <w:sz w:val="21"/>
                      <w:szCs w:val="21"/>
                      <w:u w:val="none"/>
                    </w:rPr>
                  </w:pPr>
                  <w:r>
                    <w:rPr>
                      <w:rFonts w:hint="eastAsia"/>
                      <w:b w:val="0"/>
                      <w:bCs w:val="0"/>
                      <w:sz w:val="21"/>
                      <w:szCs w:val="21"/>
                      <w:u w:val="none"/>
                      <w:lang w:val="en-US" w:eastAsia="zh-CN"/>
                    </w:rPr>
                    <w:t>DZ2#风机机组平台</w:t>
                  </w:r>
                </w:p>
              </w:tc>
              <w:tc>
                <w:tcPr>
                  <w:tcW w:w="1238" w:type="pct"/>
                  <w:tcBorders>
                    <w:tl2br w:val="nil"/>
                    <w:tr2bl w:val="nil"/>
                  </w:tcBorders>
                  <w:vAlign w:val="center"/>
                </w:tcPr>
                <w:p w14:paraId="60585516">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3</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53.21783</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3B29B312">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30</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4.65350</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3DE4E3E0">
                  <w:pPr>
                    <w:jc w:val="center"/>
                    <w:rPr>
                      <w:b w:val="0"/>
                      <w:bCs w:val="0"/>
                      <w:sz w:val="21"/>
                      <w:szCs w:val="21"/>
                      <w:u w:val="none"/>
                    </w:rPr>
                  </w:pPr>
                </w:p>
              </w:tc>
            </w:tr>
            <w:tr w14:paraId="452F09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tblHeader/>
                <w:jc w:val="center"/>
              </w:trPr>
              <w:tc>
                <w:tcPr>
                  <w:tcW w:w="480" w:type="pct"/>
                  <w:tcBorders>
                    <w:tl2br w:val="nil"/>
                    <w:tr2bl w:val="nil"/>
                  </w:tcBorders>
                  <w:vAlign w:val="center"/>
                </w:tcPr>
                <w:p w14:paraId="70E3E3CE">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N3</w:t>
                  </w:r>
                </w:p>
              </w:tc>
              <w:tc>
                <w:tcPr>
                  <w:tcW w:w="1446" w:type="pct"/>
                  <w:tcBorders>
                    <w:tl2br w:val="nil"/>
                    <w:tr2bl w:val="nil"/>
                  </w:tcBorders>
                  <w:vAlign w:val="center"/>
                </w:tcPr>
                <w:p w14:paraId="3FEBDFB0">
                  <w:pPr>
                    <w:jc w:val="center"/>
                    <w:rPr>
                      <w:b w:val="0"/>
                      <w:bCs w:val="0"/>
                      <w:sz w:val="21"/>
                      <w:szCs w:val="21"/>
                      <w:u w:val="none"/>
                    </w:rPr>
                  </w:pPr>
                  <w:r>
                    <w:rPr>
                      <w:rFonts w:hint="eastAsia"/>
                      <w:b w:val="0"/>
                      <w:bCs w:val="0"/>
                      <w:sz w:val="21"/>
                      <w:szCs w:val="21"/>
                      <w:u w:val="none"/>
                      <w:lang w:val="en-US" w:eastAsia="zh-CN"/>
                    </w:rPr>
                    <w:t>DZ3#风机机组平台</w:t>
                  </w:r>
                </w:p>
              </w:tc>
              <w:tc>
                <w:tcPr>
                  <w:tcW w:w="1238" w:type="pct"/>
                  <w:tcBorders>
                    <w:tl2br w:val="nil"/>
                    <w:tr2bl w:val="nil"/>
                  </w:tcBorders>
                  <w:vAlign w:val="center"/>
                </w:tcPr>
                <w:p w14:paraId="2007EC37">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3</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19.82671</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3198D84A">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29</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59.86194</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2E50051F">
                  <w:pPr>
                    <w:jc w:val="center"/>
                    <w:rPr>
                      <w:b w:val="0"/>
                      <w:bCs w:val="0"/>
                      <w:sz w:val="21"/>
                      <w:szCs w:val="21"/>
                      <w:u w:val="none"/>
                    </w:rPr>
                  </w:pPr>
                </w:p>
              </w:tc>
            </w:tr>
            <w:tr w14:paraId="69B28B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BEAB45C">
                  <w:pPr>
                    <w:jc w:val="center"/>
                    <w:rPr>
                      <w:rFonts w:hint="default" w:eastAsia="宋体"/>
                      <w:b w:val="0"/>
                      <w:bCs w:val="0"/>
                      <w:color w:val="FF0000"/>
                      <w:sz w:val="21"/>
                      <w:szCs w:val="21"/>
                      <w:u w:val="none"/>
                      <w:lang w:val="en-US" w:eastAsia="zh-CN"/>
                    </w:rPr>
                  </w:pPr>
                  <w:r>
                    <w:rPr>
                      <w:rFonts w:hint="eastAsia"/>
                      <w:b w:val="0"/>
                      <w:bCs w:val="0"/>
                      <w:color w:val="FF0000"/>
                      <w:sz w:val="21"/>
                      <w:szCs w:val="21"/>
                      <w:u w:val="none"/>
                      <w:lang w:val="en-US" w:eastAsia="zh-CN"/>
                    </w:rPr>
                    <w:t>N4</w:t>
                  </w:r>
                </w:p>
              </w:tc>
              <w:tc>
                <w:tcPr>
                  <w:tcW w:w="1446" w:type="pct"/>
                  <w:tcBorders>
                    <w:tl2br w:val="nil"/>
                    <w:tr2bl w:val="nil"/>
                  </w:tcBorders>
                  <w:vAlign w:val="center"/>
                </w:tcPr>
                <w:p w14:paraId="2C92C2F7">
                  <w:pPr>
                    <w:jc w:val="center"/>
                    <w:rPr>
                      <w:b w:val="0"/>
                      <w:bCs w:val="0"/>
                      <w:color w:val="FF0000"/>
                      <w:sz w:val="21"/>
                      <w:szCs w:val="21"/>
                      <w:u w:val="none"/>
                    </w:rPr>
                  </w:pPr>
                  <w:r>
                    <w:rPr>
                      <w:rFonts w:hint="eastAsia"/>
                      <w:b w:val="0"/>
                      <w:bCs w:val="0"/>
                      <w:color w:val="FF0000"/>
                      <w:sz w:val="21"/>
                      <w:szCs w:val="21"/>
                      <w:u w:val="none"/>
                      <w:lang w:val="en-US" w:eastAsia="zh-CN"/>
                    </w:rPr>
                    <w:t>DZ4#风机机组平台</w:t>
                  </w:r>
                </w:p>
              </w:tc>
              <w:tc>
                <w:tcPr>
                  <w:tcW w:w="1238" w:type="pct"/>
                  <w:tcBorders>
                    <w:tl2br w:val="nil"/>
                    <w:tr2bl w:val="nil"/>
                  </w:tcBorders>
                  <w:vAlign w:val="center"/>
                </w:tcPr>
                <w:p w14:paraId="21B56709">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3</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33.57266</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381706E6">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29</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28.54986</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49801DB3">
                  <w:pPr>
                    <w:jc w:val="center"/>
                    <w:rPr>
                      <w:b w:val="0"/>
                      <w:bCs w:val="0"/>
                      <w:sz w:val="21"/>
                      <w:szCs w:val="21"/>
                      <w:u w:val="none"/>
                    </w:rPr>
                  </w:pPr>
                </w:p>
              </w:tc>
            </w:tr>
            <w:tr w14:paraId="312D79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7CEB0DB">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N5</w:t>
                  </w:r>
                </w:p>
              </w:tc>
              <w:tc>
                <w:tcPr>
                  <w:tcW w:w="1446" w:type="pct"/>
                  <w:tcBorders>
                    <w:tl2br w:val="nil"/>
                    <w:tr2bl w:val="nil"/>
                  </w:tcBorders>
                  <w:vAlign w:val="center"/>
                </w:tcPr>
                <w:p w14:paraId="070A052C">
                  <w:pPr>
                    <w:jc w:val="center"/>
                    <w:rPr>
                      <w:b w:val="0"/>
                      <w:bCs w:val="0"/>
                      <w:sz w:val="21"/>
                      <w:szCs w:val="21"/>
                      <w:u w:val="none"/>
                    </w:rPr>
                  </w:pPr>
                  <w:r>
                    <w:rPr>
                      <w:rFonts w:hint="eastAsia"/>
                      <w:b w:val="0"/>
                      <w:bCs w:val="0"/>
                      <w:sz w:val="21"/>
                      <w:szCs w:val="21"/>
                      <w:u w:val="none"/>
                      <w:lang w:val="en-US" w:eastAsia="zh-CN"/>
                    </w:rPr>
                    <w:t>DZ5#风机机组平台</w:t>
                  </w:r>
                </w:p>
              </w:tc>
              <w:tc>
                <w:tcPr>
                  <w:tcW w:w="1238" w:type="pct"/>
                  <w:tcBorders>
                    <w:tl2br w:val="nil"/>
                    <w:tr2bl w:val="nil"/>
                  </w:tcBorders>
                  <w:vAlign w:val="center"/>
                </w:tcPr>
                <w:p w14:paraId="59AEB793">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4</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49.97330</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4129106C">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28</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42.74004</w:t>
                  </w:r>
                </w:p>
              </w:tc>
              <w:tc>
                <w:tcPr>
                  <w:tcW w:w="597" w:type="pct"/>
                  <w:vMerge w:val="continue"/>
                  <w:tcBorders>
                    <w:tl2br w:val="nil"/>
                    <w:tr2bl w:val="nil"/>
                  </w:tcBorders>
                  <w:vAlign w:val="center"/>
                </w:tcPr>
                <w:p w14:paraId="49D8931B">
                  <w:pPr>
                    <w:jc w:val="center"/>
                    <w:rPr>
                      <w:b w:val="0"/>
                      <w:bCs w:val="0"/>
                      <w:sz w:val="21"/>
                      <w:szCs w:val="21"/>
                      <w:u w:val="none"/>
                    </w:rPr>
                  </w:pPr>
                </w:p>
              </w:tc>
            </w:tr>
            <w:tr w14:paraId="2EF8C7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27278775">
                  <w:pPr>
                    <w:jc w:val="center"/>
                    <w:rPr>
                      <w:rFonts w:hint="default" w:eastAsia="宋体"/>
                      <w:b w:val="0"/>
                      <w:bCs w:val="0"/>
                      <w:sz w:val="21"/>
                      <w:szCs w:val="21"/>
                      <w:u w:val="none"/>
                      <w:lang w:val="en-US" w:eastAsia="zh-CN"/>
                    </w:rPr>
                  </w:pPr>
                  <w:r>
                    <w:rPr>
                      <w:rFonts w:hint="eastAsia"/>
                      <w:b w:val="0"/>
                      <w:bCs w:val="0"/>
                      <w:sz w:val="21"/>
                      <w:szCs w:val="21"/>
                      <w:u w:val="none"/>
                      <w:lang w:val="en-US" w:eastAsia="zh-CN"/>
                    </w:rPr>
                    <w:t>N6</w:t>
                  </w:r>
                </w:p>
              </w:tc>
              <w:tc>
                <w:tcPr>
                  <w:tcW w:w="1446" w:type="pct"/>
                  <w:tcBorders>
                    <w:tl2br w:val="nil"/>
                    <w:tr2bl w:val="nil"/>
                  </w:tcBorders>
                  <w:vAlign w:val="center"/>
                </w:tcPr>
                <w:p w14:paraId="78671666">
                  <w:pPr>
                    <w:jc w:val="center"/>
                    <w:rPr>
                      <w:b w:val="0"/>
                      <w:bCs w:val="0"/>
                      <w:sz w:val="21"/>
                      <w:szCs w:val="21"/>
                      <w:u w:val="none"/>
                    </w:rPr>
                  </w:pPr>
                  <w:r>
                    <w:rPr>
                      <w:rFonts w:hint="eastAsia"/>
                      <w:b w:val="0"/>
                      <w:bCs w:val="0"/>
                      <w:sz w:val="21"/>
                      <w:szCs w:val="21"/>
                      <w:u w:val="none"/>
                      <w:lang w:val="en-US" w:eastAsia="zh-CN"/>
                    </w:rPr>
                    <w:t>DZ6#风机机组平台</w:t>
                  </w:r>
                </w:p>
              </w:tc>
              <w:tc>
                <w:tcPr>
                  <w:tcW w:w="1238" w:type="pct"/>
                  <w:tcBorders>
                    <w:tl2br w:val="nil"/>
                    <w:tr2bl w:val="nil"/>
                  </w:tcBorders>
                  <w:vAlign w:val="center"/>
                </w:tcPr>
                <w:p w14:paraId="5376436F">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5</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48.65363</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5DCA9FBB">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3.15107</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0F255D80">
                  <w:pPr>
                    <w:jc w:val="center"/>
                    <w:rPr>
                      <w:b w:val="0"/>
                      <w:bCs w:val="0"/>
                      <w:sz w:val="21"/>
                      <w:szCs w:val="21"/>
                      <w:u w:val="none"/>
                    </w:rPr>
                  </w:pPr>
                </w:p>
              </w:tc>
            </w:tr>
            <w:tr w14:paraId="438B1E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64B9166">
                  <w:pPr>
                    <w:jc w:val="center"/>
                    <w:rPr>
                      <w:rFonts w:hint="default"/>
                      <w:b w:val="0"/>
                      <w:bCs w:val="0"/>
                      <w:sz w:val="21"/>
                      <w:szCs w:val="21"/>
                      <w:u w:val="none"/>
                      <w:lang w:val="en-US"/>
                    </w:rPr>
                  </w:pPr>
                  <w:r>
                    <w:rPr>
                      <w:rFonts w:hint="eastAsia"/>
                      <w:b w:val="0"/>
                      <w:bCs w:val="0"/>
                      <w:sz w:val="21"/>
                      <w:szCs w:val="21"/>
                      <w:u w:val="none"/>
                      <w:lang w:val="en-US" w:eastAsia="zh-CN"/>
                    </w:rPr>
                    <w:t>N7</w:t>
                  </w:r>
                </w:p>
              </w:tc>
              <w:tc>
                <w:tcPr>
                  <w:tcW w:w="1446" w:type="pct"/>
                  <w:tcBorders>
                    <w:tl2br w:val="nil"/>
                    <w:tr2bl w:val="nil"/>
                  </w:tcBorders>
                  <w:vAlign w:val="center"/>
                </w:tcPr>
                <w:p w14:paraId="0C59A564">
                  <w:pPr>
                    <w:jc w:val="center"/>
                    <w:rPr>
                      <w:b w:val="0"/>
                      <w:bCs w:val="0"/>
                      <w:sz w:val="21"/>
                      <w:szCs w:val="21"/>
                      <w:u w:val="none"/>
                    </w:rPr>
                  </w:pPr>
                  <w:r>
                    <w:rPr>
                      <w:rFonts w:hint="eastAsia"/>
                      <w:b w:val="0"/>
                      <w:bCs w:val="0"/>
                      <w:sz w:val="21"/>
                      <w:szCs w:val="21"/>
                      <w:u w:val="none"/>
                      <w:lang w:val="en-US" w:eastAsia="zh-CN"/>
                    </w:rPr>
                    <w:t>DZ7#风机机组平台</w:t>
                  </w:r>
                </w:p>
              </w:tc>
              <w:tc>
                <w:tcPr>
                  <w:tcW w:w="1238" w:type="pct"/>
                  <w:tcBorders>
                    <w:tl2br w:val="nil"/>
                    <w:tr2bl w:val="nil"/>
                  </w:tcBorders>
                  <w:vAlign w:val="center"/>
                </w:tcPr>
                <w:p w14:paraId="0705BC0B">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9.52391</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7033CEF9">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35.44764</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64476072">
                  <w:pPr>
                    <w:jc w:val="center"/>
                    <w:rPr>
                      <w:b w:val="0"/>
                      <w:bCs w:val="0"/>
                      <w:sz w:val="21"/>
                      <w:szCs w:val="21"/>
                      <w:u w:val="none"/>
                    </w:rPr>
                  </w:pPr>
                </w:p>
              </w:tc>
            </w:tr>
            <w:tr w14:paraId="0B2252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F9CE4D8">
                  <w:pPr>
                    <w:jc w:val="center"/>
                    <w:rPr>
                      <w:rFonts w:hint="default"/>
                      <w:b w:val="0"/>
                      <w:bCs w:val="0"/>
                      <w:sz w:val="21"/>
                      <w:szCs w:val="21"/>
                      <w:u w:val="none"/>
                      <w:lang w:val="en-US"/>
                    </w:rPr>
                  </w:pPr>
                  <w:r>
                    <w:rPr>
                      <w:rFonts w:hint="eastAsia"/>
                      <w:b w:val="0"/>
                      <w:bCs w:val="0"/>
                      <w:sz w:val="21"/>
                      <w:szCs w:val="21"/>
                      <w:u w:val="none"/>
                      <w:lang w:val="en-US" w:eastAsia="zh-CN"/>
                    </w:rPr>
                    <w:t>N8</w:t>
                  </w:r>
                </w:p>
              </w:tc>
              <w:tc>
                <w:tcPr>
                  <w:tcW w:w="1446" w:type="pct"/>
                  <w:tcBorders>
                    <w:tl2br w:val="nil"/>
                    <w:tr2bl w:val="nil"/>
                  </w:tcBorders>
                  <w:vAlign w:val="center"/>
                </w:tcPr>
                <w:p w14:paraId="4D908BE4">
                  <w:pPr>
                    <w:jc w:val="center"/>
                    <w:rPr>
                      <w:b w:val="0"/>
                      <w:bCs w:val="0"/>
                      <w:sz w:val="21"/>
                      <w:szCs w:val="21"/>
                      <w:u w:val="none"/>
                    </w:rPr>
                  </w:pPr>
                  <w:r>
                    <w:rPr>
                      <w:rFonts w:hint="eastAsia"/>
                      <w:b w:val="0"/>
                      <w:bCs w:val="0"/>
                      <w:sz w:val="21"/>
                      <w:szCs w:val="21"/>
                      <w:u w:val="none"/>
                      <w:lang w:val="en-US" w:eastAsia="zh-CN"/>
                    </w:rPr>
                    <w:t>DZ8#风机机组平台</w:t>
                  </w:r>
                </w:p>
              </w:tc>
              <w:tc>
                <w:tcPr>
                  <w:tcW w:w="1238" w:type="pct"/>
                  <w:tcBorders>
                    <w:tl2br w:val="nil"/>
                    <w:tr2bl w:val="nil"/>
                  </w:tcBorders>
                  <w:vAlign w:val="center"/>
                </w:tcPr>
                <w:p w14:paraId="11AF5C7D">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23.50674</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60885B38">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29</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33.29682</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3B6F7DE0">
                  <w:pPr>
                    <w:jc w:val="center"/>
                    <w:rPr>
                      <w:b w:val="0"/>
                      <w:bCs w:val="0"/>
                      <w:sz w:val="21"/>
                      <w:szCs w:val="21"/>
                      <w:u w:val="none"/>
                    </w:rPr>
                  </w:pPr>
                </w:p>
              </w:tc>
            </w:tr>
            <w:tr w14:paraId="0A4770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7813AFF5">
                  <w:pPr>
                    <w:jc w:val="center"/>
                    <w:rPr>
                      <w:rFonts w:hint="default"/>
                      <w:b w:val="0"/>
                      <w:bCs w:val="0"/>
                      <w:color w:val="FF0000"/>
                      <w:sz w:val="21"/>
                      <w:szCs w:val="21"/>
                      <w:u w:val="none"/>
                      <w:lang w:val="en-US"/>
                    </w:rPr>
                  </w:pPr>
                  <w:r>
                    <w:rPr>
                      <w:rFonts w:hint="eastAsia"/>
                      <w:b w:val="0"/>
                      <w:bCs w:val="0"/>
                      <w:color w:val="FF0000"/>
                      <w:sz w:val="21"/>
                      <w:szCs w:val="21"/>
                      <w:u w:val="none"/>
                      <w:lang w:val="en-US" w:eastAsia="zh-CN"/>
                    </w:rPr>
                    <w:t>N9</w:t>
                  </w:r>
                </w:p>
              </w:tc>
              <w:tc>
                <w:tcPr>
                  <w:tcW w:w="1446" w:type="pct"/>
                  <w:tcBorders>
                    <w:tl2br w:val="nil"/>
                    <w:tr2bl w:val="nil"/>
                  </w:tcBorders>
                  <w:vAlign w:val="center"/>
                </w:tcPr>
                <w:p w14:paraId="696A59BA">
                  <w:pPr>
                    <w:jc w:val="center"/>
                    <w:rPr>
                      <w:b w:val="0"/>
                      <w:bCs w:val="0"/>
                      <w:color w:val="FF0000"/>
                      <w:sz w:val="21"/>
                      <w:szCs w:val="21"/>
                      <w:u w:val="none"/>
                    </w:rPr>
                  </w:pPr>
                  <w:r>
                    <w:rPr>
                      <w:rFonts w:hint="eastAsia"/>
                      <w:b w:val="0"/>
                      <w:bCs w:val="0"/>
                      <w:color w:val="FF0000"/>
                      <w:sz w:val="21"/>
                      <w:szCs w:val="21"/>
                      <w:u w:val="none"/>
                      <w:lang w:val="en-US" w:eastAsia="zh-CN"/>
                    </w:rPr>
                    <w:t>DZ9#风机机组平台</w:t>
                  </w:r>
                </w:p>
              </w:tc>
              <w:tc>
                <w:tcPr>
                  <w:tcW w:w="1238" w:type="pct"/>
                  <w:tcBorders>
                    <w:tl2br w:val="nil"/>
                    <w:tr2bl w:val="nil"/>
                  </w:tcBorders>
                  <w:vAlign w:val="center"/>
                </w:tcPr>
                <w:p w14:paraId="71A0A6BD">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46.38856</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6A5FF016">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29</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44.60431</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74FA660A">
                  <w:pPr>
                    <w:jc w:val="center"/>
                    <w:rPr>
                      <w:b w:val="0"/>
                      <w:bCs w:val="0"/>
                      <w:sz w:val="21"/>
                      <w:szCs w:val="21"/>
                      <w:u w:val="none"/>
                    </w:rPr>
                  </w:pPr>
                </w:p>
              </w:tc>
            </w:tr>
            <w:tr w14:paraId="0E64D4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1851F42">
                  <w:pPr>
                    <w:jc w:val="center"/>
                    <w:rPr>
                      <w:rFonts w:hint="default"/>
                      <w:b w:val="0"/>
                      <w:bCs w:val="0"/>
                      <w:color w:val="FF0000"/>
                      <w:sz w:val="21"/>
                      <w:szCs w:val="21"/>
                      <w:u w:val="none"/>
                      <w:lang w:val="en-US" w:eastAsia="zh-CN"/>
                    </w:rPr>
                  </w:pPr>
                  <w:r>
                    <w:rPr>
                      <w:rFonts w:hint="eastAsia"/>
                      <w:b w:val="0"/>
                      <w:bCs w:val="0"/>
                      <w:color w:val="FF0000"/>
                      <w:sz w:val="21"/>
                      <w:szCs w:val="21"/>
                      <w:u w:val="none"/>
                      <w:lang w:val="en-US" w:eastAsia="zh-CN"/>
                    </w:rPr>
                    <w:t>N10</w:t>
                  </w:r>
                </w:p>
              </w:tc>
              <w:tc>
                <w:tcPr>
                  <w:tcW w:w="1446" w:type="pct"/>
                  <w:tcBorders>
                    <w:tl2br w:val="nil"/>
                    <w:tr2bl w:val="nil"/>
                  </w:tcBorders>
                  <w:vAlign w:val="center"/>
                </w:tcPr>
                <w:p w14:paraId="52E36EDD">
                  <w:pPr>
                    <w:jc w:val="center"/>
                    <w:rPr>
                      <w:b w:val="0"/>
                      <w:bCs w:val="0"/>
                      <w:color w:val="FF0000"/>
                      <w:sz w:val="21"/>
                      <w:szCs w:val="21"/>
                      <w:u w:val="none"/>
                    </w:rPr>
                  </w:pPr>
                  <w:r>
                    <w:rPr>
                      <w:rFonts w:hint="eastAsia"/>
                      <w:b w:val="0"/>
                      <w:bCs w:val="0"/>
                      <w:color w:val="FF0000"/>
                      <w:sz w:val="21"/>
                      <w:szCs w:val="21"/>
                      <w:u w:val="none"/>
                      <w:lang w:val="en-US" w:eastAsia="zh-CN"/>
                    </w:rPr>
                    <w:t>DZ10#风机机组平台</w:t>
                  </w:r>
                </w:p>
              </w:tc>
              <w:tc>
                <w:tcPr>
                  <w:tcW w:w="1238" w:type="pct"/>
                  <w:tcBorders>
                    <w:tl2br w:val="nil"/>
                    <w:tr2bl w:val="nil"/>
                  </w:tcBorders>
                  <w:vAlign w:val="center"/>
                </w:tcPr>
                <w:p w14:paraId="487AF237">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7</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6.32125</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17FFA1CA">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29</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39.94678</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3775C8EF">
                  <w:pPr>
                    <w:jc w:val="center"/>
                    <w:rPr>
                      <w:b w:val="0"/>
                      <w:bCs w:val="0"/>
                      <w:sz w:val="21"/>
                      <w:szCs w:val="21"/>
                      <w:u w:val="none"/>
                    </w:rPr>
                  </w:pPr>
                </w:p>
              </w:tc>
            </w:tr>
            <w:tr w14:paraId="3DCBFE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4B0E051">
                  <w:pPr>
                    <w:jc w:val="center"/>
                    <w:rPr>
                      <w:rFonts w:hint="default"/>
                      <w:b w:val="0"/>
                      <w:bCs w:val="0"/>
                      <w:sz w:val="21"/>
                      <w:szCs w:val="21"/>
                      <w:u w:val="none"/>
                      <w:lang w:val="en-US" w:eastAsia="zh-CN"/>
                    </w:rPr>
                  </w:pPr>
                  <w:r>
                    <w:rPr>
                      <w:rFonts w:hint="eastAsia"/>
                      <w:b w:val="0"/>
                      <w:bCs w:val="0"/>
                      <w:sz w:val="21"/>
                      <w:szCs w:val="21"/>
                      <w:u w:val="none"/>
                      <w:lang w:val="en-US" w:eastAsia="zh-CN"/>
                    </w:rPr>
                    <w:t>N11</w:t>
                  </w:r>
                </w:p>
              </w:tc>
              <w:tc>
                <w:tcPr>
                  <w:tcW w:w="1446" w:type="pct"/>
                  <w:tcBorders>
                    <w:tl2br w:val="nil"/>
                    <w:tr2bl w:val="nil"/>
                  </w:tcBorders>
                  <w:vAlign w:val="center"/>
                </w:tcPr>
                <w:p w14:paraId="37F795E7">
                  <w:pPr>
                    <w:jc w:val="center"/>
                    <w:rPr>
                      <w:b w:val="0"/>
                      <w:bCs w:val="0"/>
                      <w:sz w:val="21"/>
                      <w:szCs w:val="21"/>
                      <w:u w:val="none"/>
                    </w:rPr>
                  </w:pPr>
                  <w:r>
                    <w:rPr>
                      <w:rFonts w:hint="eastAsia"/>
                      <w:b w:val="0"/>
                      <w:bCs w:val="0"/>
                      <w:sz w:val="21"/>
                      <w:szCs w:val="21"/>
                      <w:u w:val="none"/>
                      <w:lang w:val="en-US" w:eastAsia="zh-CN"/>
                    </w:rPr>
                    <w:t>DZ11#风机机组平台</w:t>
                  </w:r>
                </w:p>
              </w:tc>
              <w:tc>
                <w:tcPr>
                  <w:tcW w:w="1238" w:type="pct"/>
                  <w:tcBorders>
                    <w:tl2br w:val="nil"/>
                    <w:tr2bl w:val="nil"/>
                  </w:tcBorders>
                  <w:vAlign w:val="center"/>
                </w:tcPr>
                <w:p w14:paraId="71673CC3">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35.42589</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1237B9E7">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19.40016</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630379B3">
                  <w:pPr>
                    <w:jc w:val="center"/>
                    <w:rPr>
                      <w:b w:val="0"/>
                      <w:bCs w:val="0"/>
                      <w:sz w:val="21"/>
                      <w:szCs w:val="21"/>
                      <w:u w:val="none"/>
                    </w:rPr>
                  </w:pPr>
                </w:p>
              </w:tc>
            </w:tr>
            <w:tr w14:paraId="2633A2F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2BCCA27">
                  <w:pPr>
                    <w:jc w:val="center"/>
                    <w:rPr>
                      <w:rFonts w:hint="default"/>
                      <w:b w:val="0"/>
                      <w:bCs w:val="0"/>
                      <w:sz w:val="21"/>
                      <w:szCs w:val="21"/>
                      <w:u w:val="none"/>
                      <w:lang w:val="en-US" w:eastAsia="zh-CN"/>
                    </w:rPr>
                  </w:pPr>
                  <w:r>
                    <w:rPr>
                      <w:rFonts w:hint="eastAsia"/>
                      <w:b w:val="0"/>
                      <w:bCs w:val="0"/>
                      <w:sz w:val="21"/>
                      <w:szCs w:val="21"/>
                      <w:u w:val="none"/>
                      <w:lang w:val="en-US" w:eastAsia="zh-CN"/>
                    </w:rPr>
                    <w:t>N12</w:t>
                  </w:r>
                </w:p>
              </w:tc>
              <w:tc>
                <w:tcPr>
                  <w:tcW w:w="1446" w:type="pct"/>
                  <w:tcBorders>
                    <w:tl2br w:val="nil"/>
                    <w:tr2bl w:val="nil"/>
                  </w:tcBorders>
                  <w:vAlign w:val="center"/>
                </w:tcPr>
                <w:p w14:paraId="55B9EB36">
                  <w:pPr>
                    <w:jc w:val="center"/>
                    <w:rPr>
                      <w:b w:val="0"/>
                      <w:bCs w:val="0"/>
                      <w:sz w:val="21"/>
                      <w:szCs w:val="21"/>
                      <w:u w:val="none"/>
                    </w:rPr>
                  </w:pPr>
                  <w:r>
                    <w:rPr>
                      <w:rFonts w:hint="eastAsia"/>
                      <w:b w:val="0"/>
                      <w:bCs w:val="0"/>
                      <w:sz w:val="21"/>
                      <w:szCs w:val="21"/>
                      <w:u w:val="none"/>
                      <w:lang w:val="en-US" w:eastAsia="zh-CN"/>
                    </w:rPr>
                    <w:t>DZ12#风机机组平台</w:t>
                  </w:r>
                </w:p>
              </w:tc>
              <w:tc>
                <w:tcPr>
                  <w:tcW w:w="1238" w:type="pct"/>
                  <w:tcBorders>
                    <w:tl2br w:val="nil"/>
                    <w:tr2bl w:val="nil"/>
                  </w:tcBorders>
                  <w:vAlign w:val="center"/>
                </w:tcPr>
                <w:p w14:paraId="0A815D65">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59.33963</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7D45F96D">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29</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14.36057</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356BC2B5">
                  <w:pPr>
                    <w:jc w:val="center"/>
                    <w:rPr>
                      <w:b w:val="0"/>
                      <w:bCs w:val="0"/>
                      <w:sz w:val="21"/>
                      <w:szCs w:val="21"/>
                      <w:u w:val="none"/>
                    </w:rPr>
                  </w:pPr>
                </w:p>
              </w:tc>
            </w:tr>
            <w:tr w14:paraId="382695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78C930F">
                  <w:pPr>
                    <w:jc w:val="center"/>
                    <w:rPr>
                      <w:rFonts w:hint="default"/>
                      <w:b w:val="0"/>
                      <w:bCs w:val="0"/>
                      <w:sz w:val="21"/>
                      <w:szCs w:val="21"/>
                      <w:u w:val="none"/>
                      <w:lang w:val="en-US" w:eastAsia="zh-CN"/>
                    </w:rPr>
                  </w:pPr>
                  <w:r>
                    <w:rPr>
                      <w:rFonts w:hint="eastAsia"/>
                      <w:b w:val="0"/>
                      <w:bCs w:val="0"/>
                      <w:sz w:val="21"/>
                      <w:szCs w:val="21"/>
                      <w:u w:val="none"/>
                      <w:lang w:val="en-US" w:eastAsia="zh-CN"/>
                    </w:rPr>
                    <w:t>N13</w:t>
                  </w:r>
                </w:p>
              </w:tc>
              <w:tc>
                <w:tcPr>
                  <w:tcW w:w="1446" w:type="pct"/>
                  <w:tcBorders>
                    <w:tl2br w:val="nil"/>
                    <w:tr2bl w:val="nil"/>
                  </w:tcBorders>
                  <w:vAlign w:val="center"/>
                </w:tcPr>
                <w:p w14:paraId="21E8401E">
                  <w:pPr>
                    <w:jc w:val="center"/>
                    <w:rPr>
                      <w:b w:val="0"/>
                      <w:bCs w:val="0"/>
                      <w:sz w:val="21"/>
                      <w:szCs w:val="21"/>
                      <w:u w:val="none"/>
                    </w:rPr>
                  </w:pPr>
                  <w:r>
                    <w:rPr>
                      <w:rFonts w:hint="eastAsia"/>
                      <w:b w:val="0"/>
                      <w:bCs w:val="0"/>
                      <w:sz w:val="21"/>
                      <w:szCs w:val="21"/>
                      <w:u w:val="none"/>
                      <w:lang w:val="en-US" w:eastAsia="zh-CN"/>
                    </w:rPr>
                    <w:t>DZ14#风机机组平台</w:t>
                  </w:r>
                </w:p>
              </w:tc>
              <w:tc>
                <w:tcPr>
                  <w:tcW w:w="1238" w:type="pct"/>
                  <w:tcBorders>
                    <w:tl2br w:val="nil"/>
                    <w:tr2bl w:val="nil"/>
                  </w:tcBorders>
                  <w:vAlign w:val="center"/>
                </w:tcPr>
                <w:p w14:paraId="58A54A15">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7</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42.86474</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3B1819FD">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27</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46.22822</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194E2055">
                  <w:pPr>
                    <w:jc w:val="center"/>
                    <w:rPr>
                      <w:b w:val="0"/>
                      <w:bCs w:val="0"/>
                      <w:sz w:val="21"/>
                      <w:szCs w:val="21"/>
                      <w:u w:val="none"/>
                    </w:rPr>
                  </w:pPr>
                </w:p>
              </w:tc>
            </w:tr>
            <w:tr w14:paraId="6A96A32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3A0D5A07">
                  <w:pPr>
                    <w:jc w:val="center"/>
                    <w:rPr>
                      <w:rFonts w:hint="default"/>
                      <w:b w:val="0"/>
                      <w:bCs w:val="0"/>
                      <w:sz w:val="21"/>
                      <w:szCs w:val="21"/>
                      <w:u w:val="none"/>
                      <w:lang w:val="en-US" w:eastAsia="zh-CN"/>
                    </w:rPr>
                  </w:pPr>
                  <w:r>
                    <w:rPr>
                      <w:rFonts w:hint="eastAsia"/>
                      <w:b w:val="0"/>
                      <w:bCs w:val="0"/>
                      <w:sz w:val="21"/>
                      <w:szCs w:val="21"/>
                      <w:u w:val="none"/>
                      <w:lang w:val="en-US" w:eastAsia="zh-CN"/>
                    </w:rPr>
                    <w:t>N14</w:t>
                  </w:r>
                </w:p>
              </w:tc>
              <w:tc>
                <w:tcPr>
                  <w:tcW w:w="1446" w:type="pct"/>
                  <w:tcBorders>
                    <w:tl2br w:val="nil"/>
                    <w:tr2bl w:val="nil"/>
                  </w:tcBorders>
                  <w:vAlign w:val="center"/>
                </w:tcPr>
                <w:p w14:paraId="3756B0F3">
                  <w:pPr>
                    <w:jc w:val="center"/>
                    <w:rPr>
                      <w:b w:val="0"/>
                      <w:bCs w:val="0"/>
                      <w:sz w:val="21"/>
                      <w:szCs w:val="21"/>
                      <w:u w:val="none"/>
                    </w:rPr>
                  </w:pPr>
                  <w:r>
                    <w:rPr>
                      <w:rFonts w:hint="eastAsia"/>
                      <w:b w:val="0"/>
                      <w:bCs w:val="0"/>
                      <w:sz w:val="21"/>
                      <w:szCs w:val="21"/>
                      <w:u w:val="none"/>
                      <w:lang w:val="en-US" w:eastAsia="zh-CN"/>
                    </w:rPr>
                    <w:t>DZ15#风机机组平台</w:t>
                  </w:r>
                </w:p>
              </w:tc>
              <w:tc>
                <w:tcPr>
                  <w:tcW w:w="1238" w:type="pct"/>
                  <w:tcBorders>
                    <w:tl2br w:val="nil"/>
                    <w:tr2bl w:val="nil"/>
                  </w:tcBorders>
                  <w:vAlign w:val="center"/>
                </w:tcPr>
                <w:p w14:paraId="39DDE9D9">
                  <w:pPr>
                    <w:jc w:val="center"/>
                    <w:rPr>
                      <w:b w:val="0"/>
                      <w:bCs w:val="0"/>
                      <w:sz w:val="21"/>
                      <w:szCs w:val="21"/>
                      <w:u w:val="none"/>
                    </w:rPr>
                  </w:pPr>
                  <w:r>
                    <w:rPr>
                      <w:rFonts w:hint="default" w:ascii="Times New Roman" w:hAnsi="Times New Roman" w:eastAsia="宋体" w:cs="Times New Roman"/>
                      <w:b w:val="0"/>
                      <w:bCs w:val="0"/>
                      <w:color w:val="000000"/>
                      <w:sz w:val="21"/>
                      <w:szCs w:val="21"/>
                      <w:lang w:val="en-US" w:eastAsia="zh-CN"/>
                    </w:rPr>
                    <w:t>E113°</w:t>
                  </w:r>
                  <w:r>
                    <w:rPr>
                      <w:rFonts w:hint="eastAsia" w:cs="Times New Roman"/>
                      <w:b w:val="0"/>
                      <w:bCs w:val="0"/>
                      <w:color w:val="000000"/>
                      <w:sz w:val="21"/>
                      <w:szCs w:val="21"/>
                      <w:lang w:val="en-US" w:eastAsia="zh-CN"/>
                    </w:rPr>
                    <w:t>7</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54.88982</w:t>
                  </w:r>
                  <w:r>
                    <w:rPr>
                      <w:rFonts w:hint="default" w:ascii="Times New Roman" w:hAnsi="Times New Roman" w:eastAsia="宋体" w:cs="Times New Roman"/>
                      <w:b w:val="0"/>
                      <w:bCs w:val="0"/>
                      <w:color w:val="000000"/>
                      <w:sz w:val="21"/>
                      <w:szCs w:val="21"/>
                      <w:lang w:val="en-US" w:eastAsia="zh-CN"/>
                    </w:rPr>
                    <w:t>″</w:t>
                  </w:r>
                </w:p>
              </w:tc>
              <w:tc>
                <w:tcPr>
                  <w:tcW w:w="1238" w:type="pct"/>
                  <w:tcBorders>
                    <w:tl2br w:val="nil"/>
                    <w:tr2bl w:val="nil"/>
                  </w:tcBorders>
                  <w:vAlign w:val="center"/>
                </w:tcPr>
                <w:p w14:paraId="02457655">
                  <w:pPr>
                    <w:jc w:val="center"/>
                    <w:rPr>
                      <w:b w:val="0"/>
                      <w:bCs w:val="0"/>
                      <w:sz w:val="21"/>
                      <w:szCs w:val="21"/>
                      <w:u w:val="none"/>
                    </w:rPr>
                  </w:pPr>
                  <w:r>
                    <w:rPr>
                      <w:rFonts w:hint="eastAsia" w:cs="Times New Roman"/>
                      <w:b w:val="0"/>
                      <w:bCs w:val="0"/>
                      <w:color w:val="000000"/>
                      <w:sz w:val="21"/>
                      <w:szCs w:val="21"/>
                      <w:lang w:val="en-US" w:eastAsia="zh-CN"/>
                    </w:rPr>
                    <w:t>N26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26</w:t>
                  </w:r>
                  <w:r>
                    <w:rPr>
                      <w:rFonts w:hint="default" w:ascii="Times New Roman" w:hAnsi="Times New Roman" w:eastAsia="宋体" w:cs="Times New Roman"/>
                      <w:b w:val="0"/>
                      <w:bCs w:val="0"/>
                      <w:color w:val="000000"/>
                      <w:sz w:val="21"/>
                      <w:szCs w:val="21"/>
                      <w:lang w:val="en-US" w:eastAsia="zh-CN"/>
                    </w:rPr>
                    <w:t>′</w:t>
                  </w:r>
                  <w:r>
                    <w:rPr>
                      <w:rFonts w:hint="eastAsia" w:cs="Times New Roman"/>
                      <w:b w:val="0"/>
                      <w:bCs w:val="0"/>
                      <w:color w:val="000000"/>
                      <w:sz w:val="21"/>
                      <w:szCs w:val="21"/>
                      <w:lang w:val="en-US" w:eastAsia="zh-CN"/>
                    </w:rPr>
                    <w:t>57.45664</w:t>
                  </w:r>
                  <w:r>
                    <w:rPr>
                      <w:rFonts w:hint="default" w:ascii="Times New Roman" w:hAnsi="Times New Roman" w:eastAsia="宋体" w:cs="Times New Roman"/>
                      <w:b w:val="0"/>
                      <w:bCs w:val="0"/>
                      <w:color w:val="000000"/>
                      <w:sz w:val="21"/>
                      <w:szCs w:val="21"/>
                      <w:lang w:val="en-US" w:eastAsia="zh-CN"/>
                    </w:rPr>
                    <w:t>″</w:t>
                  </w:r>
                </w:p>
              </w:tc>
              <w:tc>
                <w:tcPr>
                  <w:tcW w:w="597" w:type="pct"/>
                  <w:vMerge w:val="continue"/>
                  <w:tcBorders>
                    <w:tl2br w:val="nil"/>
                    <w:tr2bl w:val="nil"/>
                  </w:tcBorders>
                  <w:vAlign w:val="center"/>
                </w:tcPr>
                <w:p w14:paraId="37105079">
                  <w:pPr>
                    <w:jc w:val="center"/>
                    <w:rPr>
                      <w:b w:val="0"/>
                      <w:bCs w:val="0"/>
                      <w:sz w:val="21"/>
                      <w:szCs w:val="21"/>
                      <w:u w:val="none"/>
                    </w:rPr>
                  </w:pPr>
                </w:p>
              </w:tc>
            </w:tr>
            <w:tr w14:paraId="20BAD5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9878BC7">
                  <w:pPr>
                    <w:jc w:val="center"/>
                    <w:rPr>
                      <w:rFonts w:hint="default"/>
                      <w:b w:val="0"/>
                      <w:bCs w:val="0"/>
                      <w:color w:val="FF0000"/>
                      <w:sz w:val="21"/>
                      <w:szCs w:val="21"/>
                      <w:u w:val="none"/>
                      <w:lang w:val="en-US" w:eastAsia="zh-CN"/>
                    </w:rPr>
                  </w:pPr>
                  <w:r>
                    <w:rPr>
                      <w:rFonts w:hint="eastAsia"/>
                      <w:b w:val="0"/>
                      <w:bCs w:val="0"/>
                      <w:color w:val="FF0000"/>
                      <w:sz w:val="21"/>
                      <w:szCs w:val="21"/>
                      <w:u w:val="none"/>
                      <w:lang w:val="en-US" w:eastAsia="zh-CN"/>
                    </w:rPr>
                    <w:t>N15</w:t>
                  </w:r>
                </w:p>
              </w:tc>
              <w:tc>
                <w:tcPr>
                  <w:tcW w:w="1446" w:type="pct"/>
                  <w:tcBorders>
                    <w:tl2br w:val="nil"/>
                    <w:tr2bl w:val="nil"/>
                  </w:tcBorders>
                  <w:vAlign w:val="center"/>
                </w:tcPr>
                <w:p w14:paraId="2C6C6D8D">
                  <w:pPr>
                    <w:jc w:val="center"/>
                    <w:rPr>
                      <w:b w:val="0"/>
                      <w:bCs w:val="0"/>
                      <w:color w:val="FF0000"/>
                      <w:sz w:val="21"/>
                      <w:szCs w:val="21"/>
                      <w:u w:val="none"/>
                    </w:rPr>
                  </w:pPr>
                  <w:r>
                    <w:rPr>
                      <w:rFonts w:hint="eastAsia"/>
                      <w:b w:val="0"/>
                      <w:bCs w:val="0"/>
                      <w:color w:val="FF0000"/>
                      <w:sz w:val="21"/>
                      <w:szCs w:val="21"/>
                      <w:u w:val="none"/>
                      <w:lang w:val="en-US" w:eastAsia="zh-CN"/>
                    </w:rPr>
                    <w:t>DZ16#风机机组平台</w:t>
                  </w:r>
                </w:p>
              </w:tc>
              <w:tc>
                <w:tcPr>
                  <w:tcW w:w="1238" w:type="pct"/>
                  <w:tcBorders>
                    <w:tl2br w:val="nil"/>
                    <w:tr2bl w:val="nil"/>
                  </w:tcBorders>
                  <w:vAlign w:val="center"/>
                </w:tcPr>
                <w:p w14:paraId="69400EAB">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7</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16.05072</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50110EE7">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37.33199</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073E9D90">
                  <w:pPr>
                    <w:jc w:val="center"/>
                    <w:rPr>
                      <w:b w:val="0"/>
                      <w:bCs w:val="0"/>
                      <w:sz w:val="21"/>
                      <w:szCs w:val="21"/>
                      <w:u w:val="none"/>
                    </w:rPr>
                  </w:pPr>
                </w:p>
              </w:tc>
            </w:tr>
            <w:tr w14:paraId="3CF29D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EEB2384">
                  <w:pPr>
                    <w:jc w:val="center"/>
                    <w:rPr>
                      <w:rFonts w:hint="default"/>
                      <w:b w:val="0"/>
                      <w:bCs w:val="0"/>
                      <w:sz w:val="21"/>
                      <w:szCs w:val="21"/>
                      <w:u w:val="none"/>
                      <w:lang w:val="en-US" w:eastAsia="zh-CN"/>
                    </w:rPr>
                  </w:pPr>
                  <w:r>
                    <w:rPr>
                      <w:rFonts w:hint="eastAsia"/>
                      <w:b w:val="0"/>
                      <w:bCs w:val="0"/>
                      <w:sz w:val="21"/>
                      <w:szCs w:val="21"/>
                      <w:u w:val="none"/>
                      <w:lang w:val="en-US" w:eastAsia="zh-CN"/>
                    </w:rPr>
                    <w:t>N16</w:t>
                  </w:r>
                </w:p>
              </w:tc>
              <w:tc>
                <w:tcPr>
                  <w:tcW w:w="1446" w:type="pct"/>
                  <w:tcBorders>
                    <w:tl2br w:val="nil"/>
                    <w:tr2bl w:val="nil"/>
                  </w:tcBorders>
                  <w:vAlign w:val="center"/>
                </w:tcPr>
                <w:p w14:paraId="575DB51C">
                  <w:pPr>
                    <w:jc w:val="center"/>
                    <w:rPr>
                      <w:b w:val="0"/>
                      <w:bCs w:val="0"/>
                      <w:sz w:val="21"/>
                      <w:szCs w:val="21"/>
                      <w:u w:val="none"/>
                    </w:rPr>
                  </w:pPr>
                  <w:r>
                    <w:rPr>
                      <w:rFonts w:hint="eastAsia"/>
                      <w:b w:val="0"/>
                      <w:bCs w:val="0"/>
                      <w:sz w:val="21"/>
                      <w:szCs w:val="21"/>
                      <w:u w:val="none"/>
                      <w:lang w:val="en-US" w:eastAsia="zh-CN"/>
                    </w:rPr>
                    <w:t>DZ17#风机机组平台</w:t>
                  </w:r>
                </w:p>
              </w:tc>
              <w:tc>
                <w:tcPr>
                  <w:tcW w:w="1238" w:type="pct"/>
                  <w:tcBorders>
                    <w:tl2br w:val="nil"/>
                    <w:tr2bl w:val="nil"/>
                  </w:tcBorders>
                  <w:vAlign w:val="center"/>
                </w:tcPr>
                <w:p w14:paraId="5248D4DC">
                  <w:pPr>
                    <w:jc w:val="center"/>
                    <w:rPr>
                      <w:b w:val="0"/>
                      <w:bCs w:val="0"/>
                      <w:sz w:val="21"/>
                      <w:szCs w:val="21"/>
                      <w:u w:val="none"/>
                    </w:rPr>
                  </w:pPr>
                  <w:r>
                    <w:rPr>
                      <w:rFonts w:hint="default"/>
                      <w:b w:val="0"/>
                      <w:bCs w:val="0"/>
                      <w:color w:val="000000"/>
                      <w:sz w:val="21"/>
                      <w:szCs w:val="21"/>
                      <w:lang w:val="en-US" w:eastAsia="zh-CN"/>
                    </w:rPr>
                    <w:t>E113°</w:t>
                  </w:r>
                  <w:r>
                    <w:rPr>
                      <w:rFonts w:hint="eastAsia"/>
                      <w:b w:val="0"/>
                      <w:bCs w:val="0"/>
                      <w:color w:val="000000"/>
                      <w:sz w:val="21"/>
                      <w:szCs w:val="21"/>
                      <w:lang w:val="en-US" w:eastAsia="zh-CN"/>
                    </w:rPr>
                    <w:t>6</w:t>
                  </w:r>
                  <w:r>
                    <w:rPr>
                      <w:rFonts w:hint="default"/>
                      <w:b w:val="0"/>
                      <w:bCs w:val="0"/>
                      <w:color w:val="000000"/>
                      <w:sz w:val="21"/>
                      <w:szCs w:val="21"/>
                      <w:lang w:val="en-US" w:eastAsia="zh-CN"/>
                    </w:rPr>
                    <w:t>′</w:t>
                  </w:r>
                  <w:r>
                    <w:rPr>
                      <w:rFonts w:hint="eastAsia"/>
                      <w:b w:val="0"/>
                      <w:bCs w:val="0"/>
                      <w:color w:val="000000"/>
                      <w:sz w:val="21"/>
                      <w:szCs w:val="21"/>
                      <w:lang w:val="en-US" w:eastAsia="zh-CN"/>
                    </w:rPr>
                    <w:t>16.53246</w:t>
                  </w:r>
                  <w:r>
                    <w:rPr>
                      <w:rFonts w:hint="default"/>
                      <w:b w:val="0"/>
                      <w:bCs w:val="0"/>
                      <w:color w:val="000000"/>
                      <w:sz w:val="21"/>
                      <w:szCs w:val="21"/>
                      <w:lang w:val="en-US" w:eastAsia="zh-CN"/>
                    </w:rPr>
                    <w:t>″</w:t>
                  </w:r>
                </w:p>
              </w:tc>
              <w:tc>
                <w:tcPr>
                  <w:tcW w:w="1238" w:type="pct"/>
                  <w:tcBorders>
                    <w:tl2br w:val="nil"/>
                    <w:tr2bl w:val="nil"/>
                  </w:tcBorders>
                  <w:vAlign w:val="center"/>
                </w:tcPr>
                <w:p w14:paraId="14EADDFA">
                  <w:pPr>
                    <w:jc w:val="center"/>
                    <w:rPr>
                      <w:b w:val="0"/>
                      <w:bCs w:val="0"/>
                      <w:sz w:val="21"/>
                      <w:szCs w:val="21"/>
                      <w:u w:val="none"/>
                    </w:rPr>
                  </w:pPr>
                  <w:r>
                    <w:rPr>
                      <w:rFonts w:hint="eastAsia"/>
                      <w:b w:val="0"/>
                      <w:bCs w:val="0"/>
                      <w:color w:val="000000"/>
                      <w:sz w:val="21"/>
                      <w:szCs w:val="21"/>
                      <w:lang w:val="en-US" w:eastAsia="zh-CN"/>
                    </w:rPr>
                    <w:t>N26</w:t>
                  </w:r>
                  <w:r>
                    <w:rPr>
                      <w:rFonts w:hint="default"/>
                      <w:b w:val="0"/>
                      <w:bCs w:val="0"/>
                      <w:color w:val="000000"/>
                      <w:sz w:val="21"/>
                      <w:szCs w:val="21"/>
                      <w:lang w:val="en-US" w:eastAsia="zh-CN"/>
                    </w:rPr>
                    <w:t>°</w:t>
                  </w:r>
                  <w:r>
                    <w:rPr>
                      <w:rFonts w:hint="eastAsia"/>
                      <w:b w:val="0"/>
                      <w:bCs w:val="0"/>
                      <w:color w:val="000000"/>
                      <w:sz w:val="21"/>
                      <w:szCs w:val="21"/>
                      <w:lang w:val="en-US" w:eastAsia="zh-CN"/>
                    </w:rPr>
                    <w:t>26</w:t>
                  </w:r>
                  <w:r>
                    <w:rPr>
                      <w:rFonts w:hint="default"/>
                      <w:b w:val="0"/>
                      <w:bCs w:val="0"/>
                      <w:color w:val="000000"/>
                      <w:sz w:val="21"/>
                      <w:szCs w:val="21"/>
                      <w:lang w:val="en-US" w:eastAsia="zh-CN"/>
                    </w:rPr>
                    <w:t>′</w:t>
                  </w:r>
                  <w:r>
                    <w:rPr>
                      <w:rFonts w:hint="eastAsia"/>
                      <w:b w:val="0"/>
                      <w:bCs w:val="0"/>
                      <w:color w:val="000000"/>
                      <w:sz w:val="21"/>
                      <w:szCs w:val="21"/>
                      <w:lang w:val="en-US" w:eastAsia="zh-CN"/>
                    </w:rPr>
                    <w:t>47.52506</w:t>
                  </w:r>
                  <w:r>
                    <w:rPr>
                      <w:rFonts w:hint="default"/>
                      <w:b w:val="0"/>
                      <w:bCs w:val="0"/>
                      <w:color w:val="000000"/>
                      <w:sz w:val="21"/>
                      <w:szCs w:val="21"/>
                      <w:lang w:val="en-US" w:eastAsia="zh-CN"/>
                    </w:rPr>
                    <w:t>″</w:t>
                  </w:r>
                </w:p>
              </w:tc>
              <w:tc>
                <w:tcPr>
                  <w:tcW w:w="597" w:type="pct"/>
                  <w:vMerge w:val="continue"/>
                  <w:tcBorders>
                    <w:tl2br w:val="nil"/>
                    <w:tr2bl w:val="nil"/>
                  </w:tcBorders>
                  <w:vAlign w:val="center"/>
                </w:tcPr>
                <w:p w14:paraId="2EE180A3">
                  <w:pPr>
                    <w:jc w:val="center"/>
                    <w:rPr>
                      <w:b w:val="0"/>
                      <w:bCs w:val="0"/>
                      <w:sz w:val="21"/>
                      <w:szCs w:val="21"/>
                      <w:u w:val="none"/>
                    </w:rPr>
                  </w:pPr>
                </w:p>
              </w:tc>
            </w:tr>
            <w:tr w14:paraId="1393B8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285BD15">
                  <w:pPr>
                    <w:jc w:val="center"/>
                    <w:rPr>
                      <w:rFonts w:hint="default"/>
                      <w:b w:val="0"/>
                      <w:bCs w:val="0"/>
                      <w:sz w:val="21"/>
                      <w:szCs w:val="21"/>
                      <w:u w:val="none"/>
                      <w:lang w:val="en-US" w:eastAsia="zh-CN"/>
                    </w:rPr>
                  </w:pPr>
                  <w:r>
                    <w:rPr>
                      <w:rFonts w:hint="eastAsia"/>
                      <w:b w:val="0"/>
                      <w:bCs w:val="0"/>
                      <w:sz w:val="21"/>
                      <w:szCs w:val="21"/>
                      <w:u w:val="none"/>
                      <w:lang w:val="en-US" w:eastAsia="zh-CN"/>
                    </w:rPr>
                    <w:t>N17</w:t>
                  </w:r>
                </w:p>
              </w:tc>
              <w:tc>
                <w:tcPr>
                  <w:tcW w:w="1446" w:type="pct"/>
                  <w:tcBorders>
                    <w:tl2br w:val="nil"/>
                    <w:tr2bl w:val="nil"/>
                  </w:tcBorders>
                  <w:vAlign w:val="center"/>
                </w:tcPr>
                <w:p w14:paraId="6C4D64A3">
                  <w:pPr>
                    <w:jc w:val="center"/>
                    <w:rPr>
                      <w:b w:val="0"/>
                      <w:bCs w:val="0"/>
                      <w:sz w:val="21"/>
                      <w:szCs w:val="21"/>
                      <w:u w:val="none"/>
                    </w:rPr>
                  </w:pPr>
                  <w:r>
                    <w:rPr>
                      <w:rFonts w:hint="eastAsia"/>
                      <w:b w:val="0"/>
                      <w:bCs w:val="0"/>
                      <w:sz w:val="21"/>
                      <w:szCs w:val="21"/>
                      <w:u w:val="none"/>
                      <w:lang w:val="en-US" w:eastAsia="zh-CN"/>
                    </w:rPr>
                    <w:t>DZ18#风机机组平台</w:t>
                  </w:r>
                </w:p>
              </w:tc>
              <w:tc>
                <w:tcPr>
                  <w:tcW w:w="1238" w:type="pct"/>
                  <w:tcBorders>
                    <w:tl2br w:val="nil"/>
                    <w:tr2bl w:val="nil"/>
                  </w:tcBorders>
                  <w:vAlign w:val="center"/>
                </w:tcPr>
                <w:p w14:paraId="210FFDEF">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3</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7.07142</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0B61E26A">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40.92363</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4C53589F">
                  <w:pPr>
                    <w:jc w:val="center"/>
                    <w:rPr>
                      <w:b w:val="0"/>
                      <w:bCs w:val="0"/>
                      <w:sz w:val="21"/>
                      <w:szCs w:val="21"/>
                      <w:u w:val="none"/>
                    </w:rPr>
                  </w:pPr>
                </w:p>
              </w:tc>
            </w:tr>
            <w:tr w14:paraId="757D46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5C10FC10">
                  <w:pPr>
                    <w:jc w:val="center"/>
                    <w:rPr>
                      <w:rFonts w:hint="default"/>
                      <w:b w:val="0"/>
                      <w:bCs w:val="0"/>
                      <w:color w:val="FF0000"/>
                      <w:sz w:val="21"/>
                      <w:szCs w:val="21"/>
                      <w:u w:val="none"/>
                      <w:lang w:val="en-US" w:eastAsia="zh-CN"/>
                    </w:rPr>
                  </w:pPr>
                  <w:r>
                    <w:rPr>
                      <w:rFonts w:hint="eastAsia"/>
                      <w:b w:val="0"/>
                      <w:bCs w:val="0"/>
                      <w:color w:val="FF0000"/>
                      <w:sz w:val="21"/>
                      <w:szCs w:val="21"/>
                      <w:u w:val="none"/>
                      <w:lang w:val="en-US" w:eastAsia="zh-CN"/>
                    </w:rPr>
                    <w:t>N18</w:t>
                  </w:r>
                </w:p>
              </w:tc>
              <w:tc>
                <w:tcPr>
                  <w:tcW w:w="1446" w:type="pct"/>
                  <w:tcBorders>
                    <w:tl2br w:val="nil"/>
                    <w:tr2bl w:val="nil"/>
                  </w:tcBorders>
                  <w:vAlign w:val="center"/>
                </w:tcPr>
                <w:p w14:paraId="6D789179">
                  <w:pPr>
                    <w:jc w:val="center"/>
                    <w:rPr>
                      <w:b w:val="0"/>
                      <w:bCs w:val="0"/>
                      <w:color w:val="FF0000"/>
                      <w:sz w:val="21"/>
                      <w:szCs w:val="21"/>
                      <w:u w:val="none"/>
                    </w:rPr>
                  </w:pPr>
                  <w:r>
                    <w:rPr>
                      <w:rFonts w:hint="eastAsia"/>
                      <w:b w:val="0"/>
                      <w:bCs w:val="0"/>
                      <w:color w:val="FF0000"/>
                      <w:sz w:val="21"/>
                      <w:szCs w:val="21"/>
                      <w:u w:val="none"/>
                      <w:lang w:val="en-US" w:eastAsia="zh-CN"/>
                    </w:rPr>
                    <w:t>DZ19#风机机组平台</w:t>
                  </w:r>
                </w:p>
              </w:tc>
              <w:tc>
                <w:tcPr>
                  <w:tcW w:w="1238" w:type="pct"/>
                  <w:tcBorders>
                    <w:tl2br w:val="nil"/>
                    <w:tr2bl w:val="nil"/>
                  </w:tcBorders>
                  <w:vAlign w:val="center"/>
                </w:tcPr>
                <w:p w14:paraId="361ED850">
                  <w:pPr>
                    <w:jc w:val="center"/>
                    <w:rPr>
                      <w:b w:val="0"/>
                      <w:bCs w:val="0"/>
                      <w:color w:val="FF0000"/>
                      <w:sz w:val="21"/>
                      <w:szCs w:val="21"/>
                      <w:u w:val="none"/>
                    </w:rPr>
                  </w:pPr>
                  <w:r>
                    <w:rPr>
                      <w:rFonts w:hint="default" w:ascii="Times New Roman" w:hAnsi="Times New Roman" w:eastAsia="宋体" w:cs="Times New Roman"/>
                      <w:b w:val="0"/>
                      <w:bCs w:val="0"/>
                      <w:color w:val="FF0000"/>
                      <w:sz w:val="21"/>
                      <w:szCs w:val="21"/>
                      <w:lang w:val="en-US" w:eastAsia="zh-CN"/>
                    </w:rPr>
                    <w:t>E113°</w:t>
                  </w:r>
                  <w:r>
                    <w:rPr>
                      <w:rFonts w:hint="eastAsia" w:cs="Times New Roman"/>
                      <w:b w:val="0"/>
                      <w:bCs w:val="0"/>
                      <w:color w:val="FF0000"/>
                      <w:sz w:val="21"/>
                      <w:szCs w:val="21"/>
                      <w:lang w:val="en-US" w:eastAsia="zh-CN"/>
                    </w:rPr>
                    <w:t>3</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31.26064</w:t>
                  </w:r>
                  <w:r>
                    <w:rPr>
                      <w:rFonts w:hint="default" w:ascii="Times New Roman" w:hAnsi="Times New Roman" w:eastAsia="宋体" w:cs="Times New Roman"/>
                      <w:b w:val="0"/>
                      <w:bCs w:val="0"/>
                      <w:color w:val="FF0000"/>
                      <w:sz w:val="21"/>
                      <w:szCs w:val="21"/>
                      <w:lang w:val="en-US" w:eastAsia="zh-CN"/>
                    </w:rPr>
                    <w:t>″</w:t>
                  </w:r>
                </w:p>
              </w:tc>
              <w:tc>
                <w:tcPr>
                  <w:tcW w:w="1238" w:type="pct"/>
                  <w:tcBorders>
                    <w:tl2br w:val="nil"/>
                    <w:tr2bl w:val="nil"/>
                  </w:tcBorders>
                  <w:vAlign w:val="center"/>
                </w:tcPr>
                <w:p w14:paraId="2DFAE25C">
                  <w:pPr>
                    <w:jc w:val="center"/>
                    <w:rPr>
                      <w:b w:val="0"/>
                      <w:bCs w:val="0"/>
                      <w:color w:val="FF0000"/>
                      <w:sz w:val="21"/>
                      <w:szCs w:val="21"/>
                      <w:u w:val="none"/>
                    </w:rPr>
                  </w:pPr>
                  <w:r>
                    <w:rPr>
                      <w:rFonts w:hint="eastAsia" w:cs="Times New Roman"/>
                      <w:b w:val="0"/>
                      <w:bCs w:val="0"/>
                      <w:color w:val="FF0000"/>
                      <w:sz w:val="21"/>
                      <w:szCs w:val="21"/>
                      <w:lang w:val="en-US" w:eastAsia="zh-CN"/>
                    </w:rPr>
                    <w:t>N26</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27</w:t>
                  </w:r>
                  <w:r>
                    <w:rPr>
                      <w:rFonts w:hint="default" w:ascii="Times New Roman" w:hAnsi="Times New Roman" w:eastAsia="宋体" w:cs="Times New Roman"/>
                      <w:b w:val="0"/>
                      <w:bCs w:val="0"/>
                      <w:color w:val="FF0000"/>
                      <w:sz w:val="21"/>
                      <w:szCs w:val="21"/>
                      <w:lang w:val="en-US" w:eastAsia="zh-CN"/>
                    </w:rPr>
                    <w:t>′</w:t>
                  </w:r>
                  <w:r>
                    <w:rPr>
                      <w:rFonts w:hint="eastAsia" w:cs="Times New Roman"/>
                      <w:b w:val="0"/>
                      <w:bCs w:val="0"/>
                      <w:color w:val="FF0000"/>
                      <w:sz w:val="21"/>
                      <w:szCs w:val="21"/>
                      <w:lang w:val="en-US" w:eastAsia="zh-CN"/>
                    </w:rPr>
                    <w:t>12.91606</w:t>
                  </w:r>
                  <w:r>
                    <w:rPr>
                      <w:rFonts w:hint="default" w:ascii="Times New Roman" w:hAnsi="Times New Roman" w:eastAsia="宋体" w:cs="Times New Roman"/>
                      <w:b w:val="0"/>
                      <w:bCs w:val="0"/>
                      <w:color w:val="FF0000"/>
                      <w:sz w:val="21"/>
                      <w:szCs w:val="21"/>
                      <w:lang w:val="en-US" w:eastAsia="zh-CN"/>
                    </w:rPr>
                    <w:t>″</w:t>
                  </w:r>
                </w:p>
              </w:tc>
              <w:tc>
                <w:tcPr>
                  <w:tcW w:w="597" w:type="pct"/>
                  <w:vMerge w:val="continue"/>
                  <w:tcBorders>
                    <w:tl2br w:val="nil"/>
                    <w:tr2bl w:val="nil"/>
                  </w:tcBorders>
                  <w:vAlign w:val="center"/>
                </w:tcPr>
                <w:p w14:paraId="52FC6F6A">
                  <w:pPr>
                    <w:jc w:val="center"/>
                    <w:rPr>
                      <w:b w:val="0"/>
                      <w:bCs w:val="0"/>
                      <w:sz w:val="21"/>
                      <w:szCs w:val="21"/>
                      <w:u w:val="none"/>
                    </w:rPr>
                  </w:pPr>
                </w:p>
              </w:tc>
            </w:tr>
            <w:tr w14:paraId="2AFFE5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1B0AEB8B">
                  <w:pPr>
                    <w:jc w:val="center"/>
                    <w:rPr>
                      <w:rFonts w:hint="default"/>
                      <w:b w:val="0"/>
                      <w:bCs w:val="0"/>
                      <w:sz w:val="21"/>
                      <w:szCs w:val="21"/>
                      <w:u w:val="none"/>
                      <w:lang w:val="en-US" w:eastAsia="zh-CN"/>
                    </w:rPr>
                  </w:pPr>
                  <w:r>
                    <w:rPr>
                      <w:rFonts w:hint="eastAsia"/>
                      <w:b w:val="0"/>
                      <w:bCs w:val="0"/>
                      <w:sz w:val="21"/>
                      <w:szCs w:val="21"/>
                      <w:u w:val="none"/>
                      <w:lang w:val="en-US" w:eastAsia="zh-CN"/>
                    </w:rPr>
                    <w:t>N19</w:t>
                  </w:r>
                </w:p>
              </w:tc>
              <w:tc>
                <w:tcPr>
                  <w:tcW w:w="1446" w:type="pct"/>
                  <w:tcBorders>
                    <w:tl2br w:val="nil"/>
                    <w:tr2bl w:val="nil"/>
                  </w:tcBorders>
                  <w:vAlign w:val="center"/>
                </w:tcPr>
                <w:p w14:paraId="1FFA7A54">
                  <w:pPr>
                    <w:jc w:val="center"/>
                    <w:rPr>
                      <w:b w:val="0"/>
                      <w:bCs w:val="0"/>
                      <w:sz w:val="21"/>
                      <w:szCs w:val="21"/>
                      <w:u w:val="none"/>
                    </w:rPr>
                  </w:pPr>
                  <w:r>
                    <w:rPr>
                      <w:rFonts w:hint="eastAsia"/>
                      <w:b w:val="0"/>
                      <w:bCs w:val="0"/>
                      <w:sz w:val="21"/>
                      <w:szCs w:val="21"/>
                      <w:u w:val="none"/>
                      <w:lang w:val="en-US" w:eastAsia="zh-CN"/>
                    </w:rPr>
                    <w:t>DZ20#风机机组平台</w:t>
                  </w:r>
                </w:p>
              </w:tc>
              <w:tc>
                <w:tcPr>
                  <w:tcW w:w="1238" w:type="pct"/>
                  <w:tcBorders>
                    <w:tl2br w:val="nil"/>
                    <w:tr2bl w:val="nil"/>
                  </w:tcBorders>
                  <w:vAlign w:val="center"/>
                </w:tcPr>
                <w:p w14:paraId="2966AEF1">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3</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45.67335</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379F122E">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24.09386</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0162CF1A">
                  <w:pPr>
                    <w:jc w:val="center"/>
                    <w:rPr>
                      <w:b w:val="0"/>
                      <w:bCs w:val="0"/>
                      <w:sz w:val="21"/>
                      <w:szCs w:val="21"/>
                      <w:u w:val="none"/>
                    </w:rPr>
                  </w:pPr>
                </w:p>
              </w:tc>
            </w:tr>
            <w:tr w14:paraId="116E65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00695E96">
                  <w:pPr>
                    <w:jc w:val="center"/>
                    <w:rPr>
                      <w:rFonts w:hint="default"/>
                      <w:b w:val="0"/>
                      <w:bCs w:val="0"/>
                      <w:sz w:val="21"/>
                      <w:szCs w:val="21"/>
                      <w:u w:val="none"/>
                      <w:lang w:val="en-US" w:eastAsia="zh-CN"/>
                    </w:rPr>
                  </w:pPr>
                  <w:r>
                    <w:rPr>
                      <w:rFonts w:hint="eastAsia"/>
                      <w:b w:val="0"/>
                      <w:bCs w:val="0"/>
                      <w:sz w:val="21"/>
                      <w:szCs w:val="21"/>
                      <w:u w:val="none"/>
                      <w:lang w:val="en-US" w:eastAsia="zh-CN"/>
                    </w:rPr>
                    <w:t>N20</w:t>
                  </w:r>
                </w:p>
              </w:tc>
              <w:tc>
                <w:tcPr>
                  <w:tcW w:w="1446" w:type="pct"/>
                  <w:tcBorders>
                    <w:tl2br w:val="nil"/>
                    <w:tr2bl w:val="nil"/>
                  </w:tcBorders>
                  <w:vAlign w:val="center"/>
                </w:tcPr>
                <w:p w14:paraId="6567596A">
                  <w:pPr>
                    <w:jc w:val="center"/>
                    <w:rPr>
                      <w:b w:val="0"/>
                      <w:bCs w:val="0"/>
                      <w:sz w:val="21"/>
                      <w:szCs w:val="21"/>
                      <w:u w:val="none"/>
                    </w:rPr>
                  </w:pPr>
                  <w:r>
                    <w:rPr>
                      <w:rFonts w:hint="eastAsia"/>
                      <w:b w:val="0"/>
                      <w:bCs w:val="0"/>
                      <w:sz w:val="21"/>
                      <w:szCs w:val="21"/>
                      <w:u w:val="none"/>
                      <w:lang w:val="en-US" w:eastAsia="zh-CN"/>
                    </w:rPr>
                    <w:t>DZ21#风机机组平台</w:t>
                  </w:r>
                </w:p>
              </w:tc>
              <w:tc>
                <w:tcPr>
                  <w:tcW w:w="1238" w:type="pct"/>
                  <w:tcBorders>
                    <w:tl2br w:val="nil"/>
                    <w:tr2bl w:val="nil"/>
                  </w:tcBorders>
                  <w:vAlign w:val="center"/>
                </w:tcPr>
                <w:p w14:paraId="7000C74B">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4</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20.78054</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15CDA90C">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4.61027</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56B97833">
                  <w:pPr>
                    <w:jc w:val="center"/>
                    <w:rPr>
                      <w:b w:val="0"/>
                      <w:bCs w:val="0"/>
                      <w:sz w:val="21"/>
                      <w:szCs w:val="21"/>
                      <w:u w:val="none"/>
                    </w:rPr>
                  </w:pPr>
                </w:p>
              </w:tc>
            </w:tr>
            <w:tr w14:paraId="0BEAD8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12FF6BDD">
                  <w:pPr>
                    <w:jc w:val="center"/>
                    <w:rPr>
                      <w:rFonts w:hint="default"/>
                      <w:b w:val="0"/>
                      <w:bCs w:val="0"/>
                      <w:sz w:val="21"/>
                      <w:szCs w:val="21"/>
                      <w:u w:val="none"/>
                      <w:lang w:val="en-US" w:eastAsia="zh-CN"/>
                    </w:rPr>
                  </w:pPr>
                  <w:r>
                    <w:rPr>
                      <w:rFonts w:hint="eastAsia"/>
                      <w:b w:val="0"/>
                      <w:bCs w:val="0"/>
                      <w:sz w:val="21"/>
                      <w:szCs w:val="21"/>
                      <w:u w:val="none"/>
                      <w:lang w:val="en-US" w:eastAsia="zh-CN"/>
                    </w:rPr>
                    <w:t>N21</w:t>
                  </w:r>
                </w:p>
              </w:tc>
              <w:tc>
                <w:tcPr>
                  <w:tcW w:w="1446" w:type="pct"/>
                  <w:tcBorders>
                    <w:tl2br w:val="nil"/>
                    <w:tr2bl w:val="nil"/>
                  </w:tcBorders>
                  <w:vAlign w:val="center"/>
                </w:tcPr>
                <w:p w14:paraId="36DB25A6">
                  <w:pPr>
                    <w:jc w:val="center"/>
                    <w:rPr>
                      <w:b w:val="0"/>
                      <w:bCs w:val="0"/>
                      <w:sz w:val="21"/>
                      <w:szCs w:val="21"/>
                      <w:u w:val="none"/>
                    </w:rPr>
                  </w:pPr>
                  <w:r>
                    <w:rPr>
                      <w:rFonts w:hint="eastAsia"/>
                      <w:b w:val="0"/>
                      <w:bCs w:val="0"/>
                      <w:sz w:val="21"/>
                      <w:szCs w:val="21"/>
                      <w:u w:val="none"/>
                      <w:lang w:val="en-US" w:eastAsia="zh-CN"/>
                    </w:rPr>
                    <w:t>DZ22#风机机组平台</w:t>
                  </w:r>
                </w:p>
              </w:tc>
              <w:tc>
                <w:tcPr>
                  <w:tcW w:w="1238" w:type="pct"/>
                  <w:tcBorders>
                    <w:tl2br w:val="nil"/>
                    <w:tr2bl w:val="nil"/>
                  </w:tcBorders>
                  <w:vAlign w:val="center"/>
                </w:tcPr>
                <w:p w14:paraId="2A8261F3">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20.27280</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4CE434B3">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42.16532</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4462A4B1">
                  <w:pPr>
                    <w:jc w:val="center"/>
                    <w:rPr>
                      <w:b w:val="0"/>
                      <w:bCs w:val="0"/>
                      <w:sz w:val="21"/>
                      <w:szCs w:val="21"/>
                      <w:u w:val="none"/>
                    </w:rPr>
                  </w:pPr>
                </w:p>
              </w:tc>
            </w:tr>
            <w:tr w14:paraId="692648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8E6F504">
                  <w:pPr>
                    <w:jc w:val="center"/>
                    <w:rPr>
                      <w:rFonts w:hint="default"/>
                      <w:b w:val="0"/>
                      <w:bCs w:val="0"/>
                      <w:sz w:val="21"/>
                      <w:szCs w:val="21"/>
                      <w:u w:val="none"/>
                      <w:lang w:val="en-US" w:eastAsia="zh-CN"/>
                    </w:rPr>
                  </w:pPr>
                  <w:r>
                    <w:rPr>
                      <w:rFonts w:hint="eastAsia"/>
                      <w:b w:val="0"/>
                      <w:bCs w:val="0"/>
                      <w:sz w:val="21"/>
                      <w:szCs w:val="21"/>
                      <w:u w:val="none"/>
                      <w:lang w:val="en-US" w:eastAsia="zh-CN"/>
                    </w:rPr>
                    <w:t>N22</w:t>
                  </w:r>
                </w:p>
              </w:tc>
              <w:tc>
                <w:tcPr>
                  <w:tcW w:w="1446" w:type="pct"/>
                  <w:tcBorders>
                    <w:tl2br w:val="nil"/>
                    <w:tr2bl w:val="nil"/>
                  </w:tcBorders>
                  <w:vAlign w:val="center"/>
                </w:tcPr>
                <w:p w14:paraId="1D5609DE">
                  <w:pPr>
                    <w:jc w:val="center"/>
                    <w:rPr>
                      <w:b w:val="0"/>
                      <w:bCs w:val="0"/>
                      <w:sz w:val="21"/>
                      <w:szCs w:val="21"/>
                      <w:u w:val="none"/>
                    </w:rPr>
                  </w:pPr>
                  <w:r>
                    <w:rPr>
                      <w:rFonts w:hint="eastAsia"/>
                      <w:b w:val="0"/>
                      <w:bCs w:val="0"/>
                      <w:sz w:val="21"/>
                      <w:szCs w:val="21"/>
                      <w:u w:val="none"/>
                      <w:lang w:val="en-US" w:eastAsia="zh-CN"/>
                    </w:rPr>
                    <w:t>DZ23#风机机组平台</w:t>
                  </w:r>
                </w:p>
              </w:tc>
              <w:tc>
                <w:tcPr>
                  <w:tcW w:w="1238" w:type="pct"/>
                  <w:tcBorders>
                    <w:tl2br w:val="nil"/>
                    <w:tr2bl w:val="nil"/>
                  </w:tcBorders>
                  <w:vAlign w:val="center"/>
                </w:tcPr>
                <w:p w14:paraId="3B7E3AD0">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54.27472</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175082BA">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44.57435</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1BB64639">
                  <w:pPr>
                    <w:jc w:val="center"/>
                    <w:rPr>
                      <w:b w:val="0"/>
                      <w:bCs w:val="0"/>
                      <w:sz w:val="21"/>
                      <w:szCs w:val="21"/>
                      <w:u w:val="none"/>
                    </w:rPr>
                  </w:pPr>
                </w:p>
              </w:tc>
            </w:tr>
            <w:tr w14:paraId="38A7AE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274F66AE">
                  <w:pPr>
                    <w:jc w:val="center"/>
                    <w:rPr>
                      <w:rFonts w:hint="default"/>
                      <w:b w:val="0"/>
                      <w:bCs w:val="0"/>
                      <w:sz w:val="21"/>
                      <w:szCs w:val="21"/>
                      <w:u w:val="none"/>
                      <w:lang w:val="en-US" w:eastAsia="zh-CN"/>
                    </w:rPr>
                  </w:pPr>
                  <w:r>
                    <w:rPr>
                      <w:rFonts w:hint="eastAsia"/>
                      <w:b w:val="0"/>
                      <w:bCs w:val="0"/>
                      <w:sz w:val="21"/>
                      <w:szCs w:val="21"/>
                      <w:u w:val="none"/>
                      <w:lang w:val="en-US" w:eastAsia="zh-CN"/>
                    </w:rPr>
                    <w:t>N23</w:t>
                  </w:r>
                </w:p>
              </w:tc>
              <w:tc>
                <w:tcPr>
                  <w:tcW w:w="1446" w:type="pct"/>
                  <w:tcBorders>
                    <w:tl2br w:val="nil"/>
                    <w:tr2bl w:val="nil"/>
                  </w:tcBorders>
                  <w:vAlign w:val="center"/>
                </w:tcPr>
                <w:p w14:paraId="1D5F3390">
                  <w:pPr>
                    <w:jc w:val="center"/>
                    <w:rPr>
                      <w:b w:val="0"/>
                      <w:bCs w:val="0"/>
                      <w:sz w:val="21"/>
                      <w:szCs w:val="21"/>
                      <w:u w:val="none"/>
                    </w:rPr>
                  </w:pPr>
                  <w:r>
                    <w:rPr>
                      <w:rFonts w:hint="eastAsia"/>
                      <w:b w:val="0"/>
                      <w:bCs w:val="0"/>
                      <w:sz w:val="21"/>
                      <w:szCs w:val="21"/>
                      <w:u w:val="none"/>
                      <w:lang w:val="en-US" w:eastAsia="zh-CN"/>
                    </w:rPr>
                    <w:t>DZ24#风机机组平台</w:t>
                  </w:r>
                </w:p>
              </w:tc>
              <w:tc>
                <w:tcPr>
                  <w:tcW w:w="1238" w:type="pct"/>
                  <w:tcBorders>
                    <w:tl2br w:val="nil"/>
                    <w:tr2bl w:val="nil"/>
                  </w:tcBorders>
                  <w:vAlign w:val="center"/>
                </w:tcPr>
                <w:p w14:paraId="3756258B">
                  <w:pPr>
                    <w:jc w:val="center"/>
                    <w:rPr>
                      <w:b w:val="0"/>
                      <w:bCs w:val="0"/>
                      <w:sz w:val="21"/>
                      <w:szCs w:val="21"/>
                      <w:u w:val="none"/>
                    </w:rPr>
                  </w:pPr>
                  <w:r>
                    <w:rPr>
                      <w:rFonts w:hint="default" w:ascii="Times New Roman" w:hAnsi="Times New Roman" w:eastAsia="宋体" w:cs="Times New Roman"/>
                      <w:b w:val="0"/>
                      <w:bCs w:val="0"/>
                      <w:color w:val="auto"/>
                      <w:sz w:val="21"/>
                      <w:szCs w:val="21"/>
                      <w:lang w:val="en-US" w:eastAsia="zh-CN"/>
                    </w:rPr>
                    <w:t>E113°</w:t>
                  </w:r>
                  <w:r>
                    <w:rPr>
                      <w:rFonts w:hint="eastAsia" w:cs="Times New Roman"/>
                      <w:b w:val="0"/>
                      <w:bCs w:val="0"/>
                      <w:color w:val="auto"/>
                      <w:sz w:val="21"/>
                      <w:szCs w:val="21"/>
                      <w:lang w:val="en-US" w:eastAsia="zh-CN"/>
                    </w:rPr>
                    <w:t>8</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46.45157</w:t>
                  </w:r>
                  <w:r>
                    <w:rPr>
                      <w:rFonts w:hint="default" w:ascii="Times New Roman" w:hAnsi="Times New Roman" w:eastAsia="宋体" w:cs="Times New Roman"/>
                      <w:b w:val="0"/>
                      <w:bCs w:val="0"/>
                      <w:color w:val="auto"/>
                      <w:sz w:val="21"/>
                      <w:szCs w:val="21"/>
                      <w:lang w:val="en-US" w:eastAsia="zh-CN"/>
                    </w:rPr>
                    <w:t>″</w:t>
                  </w:r>
                </w:p>
              </w:tc>
              <w:tc>
                <w:tcPr>
                  <w:tcW w:w="1238" w:type="pct"/>
                  <w:tcBorders>
                    <w:tl2br w:val="nil"/>
                    <w:tr2bl w:val="nil"/>
                  </w:tcBorders>
                  <w:vAlign w:val="center"/>
                </w:tcPr>
                <w:p w14:paraId="5D87B096">
                  <w:pPr>
                    <w:jc w:val="center"/>
                    <w:rPr>
                      <w:b w:val="0"/>
                      <w:bCs w:val="0"/>
                      <w:sz w:val="21"/>
                      <w:szCs w:val="21"/>
                      <w:u w:val="none"/>
                    </w:rPr>
                  </w:pPr>
                  <w:r>
                    <w:rPr>
                      <w:rFonts w:hint="eastAsia" w:cs="Times New Roman"/>
                      <w:b w:val="0"/>
                      <w:bCs w:val="0"/>
                      <w:color w:val="auto"/>
                      <w:sz w:val="21"/>
                      <w:szCs w:val="21"/>
                      <w:lang w:val="en-US" w:eastAsia="zh-CN"/>
                    </w:rPr>
                    <w:t>N26</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3.72146</w:t>
                  </w:r>
                  <w:r>
                    <w:rPr>
                      <w:rFonts w:hint="default" w:ascii="Times New Roman" w:hAnsi="Times New Roman" w:eastAsia="宋体" w:cs="Times New Roman"/>
                      <w:b w:val="0"/>
                      <w:bCs w:val="0"/>
                      <w:color w:val="auto"/>
                      <w:sz w:val="21"/>
                      <w:szCs w:val="21"/>
                      <w:lang w:val="en-US" w:eastAsia="zh-CN"/>
                    </w:rPr>
                    <w:t>″</w:t>
                  </w:r>
                </w:p>
              </w:tc>
              <w:tc>
                <w:tcPr>
                  <w:tcW w:w="597" w:type="pct"/>
                  <w:vMerge w:val="continue"/>
                  <w:tcBorders>
                    <w:tl2br w:val="nil"/>
                    <w:tr2bl w:val="nil"/>
                  </w:tcBorders>
                  <w:vAlign w:val="center"/>
                </w:tcPr>
                <w:p w14:paraId="33C406B2">
                  <w:pPr>
                    <w:jc w:val="center"/>
                    <w:rPr>
                      <w:b w:val="0"/>
                      <w:bCs w:val="0"/>
                      <w:sz w:val="21"/>
                      <w:szCs w:val="21"/>
                      <w:u w:val="none"/>
                    </w:rPr>
                  </w:pPr>
                </w:p>
              </w:tc>
            </w:tr>
            <w:tr w14:paraId="3598BC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DED5A7A">
                  <w:pPr>
                    <w:jc w:val="center"/>
                    <w:rPr>
                      <w:rFonts w:hint="default"/>
                      <w:b w:val="0"/>
                      <w:bCs w:val="0"/>
                      <w:sz w:val="21"/>
                      <w:szCs w:val="21"/>
                      <w:u w:val="none"/>
                      <w:lang w:val="en-US" w:eastAsia="zh-CN"/>
                    </w:rPr>
                  </w:pPr>
                  <w:r>
                    <w:rPr>
                      <w:rFonts w:hint="eastAsia"/>
                      <w:b w:val="0"/>
                      <w:bCs w:val="0"/>
                      <w:sz w:val="21"/>
                      <w:szCs w:val="21"/>
                      <w:u w:val="none"/>
                      <w:lang w:val="en-US" w:eastAsia="zh-CN"/>
                    </w:rPr>
                    <w:t>N24</w:t>
                  </w:r>
                </w:p>
              </w:tc>
              <w:tc>
                <w:tcPr>
                  <w:tcW w:w="1446" w:type="pct"/>
                  <w:tcBorders>
                    <w:tl2br w:val="nil"/>
                    <w:tr2bl w:val="nil"/>
                  </w:tcBorders>
                  <w:vAlign w:val="center"/>
                </w:tcPr>
                <w:p w14:paraId="0F99B92C">
                  <w:pPr>
                    <w:jc w:val="center"/>
                    <w:rPr>
                      <w:rFonts w:hint="default"/>
                      <w:b w:val="0"/>
                      <w:bCs w:val="0"/>
                      <w:sz w:val="21"/>
                      <w:szCs w:val="21"/>
                      <w:u w:val="none"/>
                      <w:lang w:val="en-US" w:eastAsia="zh-CN"/>
                    </w:rPr>
                  </w:pPr>
                  <w:r>
                    <w:rPr>
                      <w:rFonts w:hint="eastAsia"/>
                      <w:b w:val="0"/>
                      <w:bCs w:val="0"/>
                      <w:sz w:val="21"/>
                      <w:szCs w:val="21"/>
                      <w:u w:val="none"/>
                      <w:lang w:val="en-US" w:eastAsia="zh-CN"/>
                    </w:rPr>
                    <w:t>升压站东面厂界</w:t>
                  </w:r>
                </w:p>
              </w:tc>
              <w:tc>
                <w:tcPr>
                  <w:tcW w:w="1238" w:type="pct"/>
                  <w:tcBorders>
                    <w:tl2br w:val="nil"/>
                    <w:tr2bl w:val="nil"/>
                  </w:tcBorders>
                  <w:vAlign w:val="center"/>
                </w:tcPr>
                <w:p w14:paraId="4D0F2FC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113°3′49.35213″</w:t>
                  </w:r>
                </w:p>
              </w:tc>
              <w:tc>
                <w:tcPr>
                  <w:tcW w:w="1238" w:type="pct"/>
                  <w:tcBorders>
                    <w:tl2br w:val="nil"/>
                    <w:tr2bl w:val="nil"/>
                  </w:tcBorders>
                  <w:vAlign w:val="center"/>
                </w:tcPr>
                <w:p w14:paraId="0BC5F8EB">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26°27′56.82225″</w:t>
                  </w:r>
                </w:p>
              </w:tc>
              <w:tc>
                <w:tcPr>
                  <w:tcW w:w="597" w:type="pct"/>
                  <w:vMerge w:val="continue"/>
                  <w:tcBorders>
                    <w:tl2br w:val="nil"/>
                    <w:tr2bl w:val="nil"/>
                  </w:tcBorders>
                  <w:vAlign w:val="center"/>
                </w:tcPr>
                <w:p w14:paraId="4671E580">
                  <w:pPr>
                    <w:jc w:val="center"/>
                    <w:rPr>
                      <w:b w:val="0"/>
                      <w:bCs w:val="0"/>
                      <w:sz w:val="21"/>
                      <w:szCs w:val="21"/>
                      <w:u w:val="none"/>
                    </w:rPr>
                  </w:pPr>
                </w:p>
              </w:tc>
            </w:tr>
            <w:tr w14:paraId="6A6BFB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7C5F5B7">
                  <w:pPr>
                    <w:jc w:val="center"/>
                    <w:rPr>
                      <w:rFonts w:hint="default"/>
                      <w:b w:val="0"/>
                      <w:bCs w:val="0"/>
                      <w:sz w:val="21"/>
                      <w:szCs w:val="21"/>
                      <w:u w:val="none"/>
                      <w:lang w:val="en-US" w:eastAsia="zh-CN"/>
                    </w:rPr>
                  </w:pPr>
                  <w:r>
                    <w:rPr>
                      <w:rFonts w:hint="eastAsia"/>
                      <w:b w:val="0"/>
                      <w:bCs w:val="0"/>
                      <w:sz w:val="21"/>
                      <w:szCs w:val="21"/>
                      <w:u w:val="none"/>
                      <w:lang w:val="en-US" w:eastAsia="zh-CN"/>
                    </w:rPr>
                    <w:t>N25</w:t>
                  </w:r>
                </w:p>
              </w:tc>
              <w:tc>
                <w:tcPr>
                  <w:tcW w:w="1446" w:type="pct"/>
                  <w:tcBorders>
                    <w:tl2br w:val="nil"/>
                    <w:tr2bl w:val="nil"/>
                  </w:tcBorders>
                  <w:vAlign w:val="center"/>
                </w:tcPr>
                <w:p w14:paraId="2016AB3F">
                  <w:pPr>
                    <w:jc w:val="center"/>
                    <w:rPr>
                      <w:rFonts w:hint="default"/>
                      <w:b w:val="0"/>
                      <w:bCs w:val="0"/>
                      <w:sz w:val="21"/>
                      <w:szCs w:val="21"/>
                      <w:u w:val="none"/>
                      <w:lang w:val="en-US" w:eastAsia="zh-CN"/>
                    </w:rPr>
                  </w:pPr>
                  <w:r>
                    <w:rPr>
                      <w:rFonts w:hint="eastAsia"/>
                      <w:b w:val="0"/>
                      <w:bCs w:val="0"/>
                      <w:sz w:val="21"/>
                      <w:szCs w:val="21"/>
                      <w:u w:val="none"/>
                      <w:lang w:val="en-US" w:eastAsia="zh-CN"/>
                    </w:rPr>
                    <w:t>升压站南面厂界</w:t>
                  </w:r>
                </w:p>
              </w:tc>
              <w:tc>
                <w:tcPr>
                  <w:tcW w:w="1238" w:type="pct"/>
                  <w:tcBorders>
                    <w:tl2br w:val="nil"/>
                    <w:tr2bl w:val="nil"/>
                  </w:tcBorders>
                  <w:vAlign w:val="center"/>
                </w:tcPr>
                <w:p w14:paraId="76B4500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113°3′47.71062″</w:t>
                  </w:r>
                </w:p>
              </w:tc>
              <w:tc>
                <w:tcPr>
                  <w:tcW w:w="1238" w:type="pct"/>
                  <w:tcBorders>
                    <w:tl2br w:val="nil"/>
                    <w:tr2bl w:val="nil"/>
                  </w:tcBorders>
                  <w:vAlign w:val="center"/>
                </w:tcPr>
                <w:p w14:paraId="65DAF94E">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26°27′54.52413″</w:t>
                  </w:r>
                </w:p>
              </w:tc>
              <w:tc>
                <w:tcPr>
                  <w:tcW w:w="597" w:type="pct"/>
                  <w:vMerge w:val="continue"/>
                  <w:tcBorders>
                    <w:tl2br w:val="nil"/>
                    <w:tr2bl w:val="nil"/>
                  </w:tcBorders>
                  <w:vAlign w:val="center"/>
                </w:tcPr>
                <w:p w14:paraId="571A8C33">
                  <w:pPr>
                    <w:jc w:val="center"/>
                    <w:rPr>
                      <w:b w:val="0"/>
                      <w:bCs w:val="0"/>
                      <w:sz w:val="21"/>
                      <w:szCs w:val="21"/>
                      <w:u w:val="none"/>
                    </w:rPr>
                  </w:pPr>
                </w:p>
              </w:tc>
            </w:tr>
            <w:tr w14:paraId="53C848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C6696BD">
                  <w:pPr>
                    <w:jc w:val="center"/>
                    <w:rPr>
                      <w:rFonts w:hint="default"/>
                      <w:b w:val="0"/>
                      <w:bCs w:val="0"/>
                      <w:sz w:val="21"/>
                      <w:szCs w:val="21"/>
                      <w:u w:val="none"/>
                      <w:lang w:val="en-US" w:eastAsia="zh-CN"/>
                    </w:rPr>
                  </w:pPr>
                  <w:r>
                    <w:rPr>
                      <w:rFonts w:hint="eastAsia"/>
                      <w:b w:val="0"/>
                      <w:bCs w:val="0"/>
                      <w:sz w:val="21"/>
                      <w:szCs w:val="21"/>
                      <w:u w:val="none"/>
                      <w:lang w:val="en-US" w:eastAsia="zh-CN"/>
                    </w:rPr>
                    <w:t>N26</w:t>
                  </w:r>
                </w:p>
              </w:tc>
              <w:tc>
                <w:tcPr>
                  <w:tcW w:w="1446" w:type="pct"/>
                  <w:tcBorders>
                    <w:tl2br w:val="nil"/>
                    <w:tr2bl w:val="nil"/>
                  </w:tcBorders>
                  <w:vAlign w:val="center"/>
                </w:tcPr>
                <w:p w14:paraId="60E62AAF">
                  <w:pPr>
                    <w:jc w:val="center"/>
                    <w:rPr>
                      <w:rFonts w:hint="eastAsia"/>
                      <w:b w:val="0"/>
                      <w:bCs w:val="0"/>
                      <w:sz w:val="21"/>
                      <w:szCs w:val="21"/>
                      <w:u w:val="none"/>
                      <w:lang w:val="en-US" w:eastAsia="zh-CN"/>
                    </w:rPr>
                  </w:pPr>
                  <w:r>
                    <w:rPr>
                      <w:rFonts w:hint="eastAsia"/>
                      <w:b w:val="0"/>
                      <w:bCs w:val="0"/>
                      <w:sz w:val="21"/>
                      <w:szCs w:val="21"/>
                      <w:u w:val="none"/>
                      <w:lang w:val="en-US" w:eastAsia="zh-CN"/>
                    </w:rPr>
                    <w:t>升压站西面厂界</w:t>
                  </w:r>
                </w:p>
              </w:tc>
              <w:tc>
                <w:tcPr>
                  <w:tcW w:w="1238" w:type="pct"/>
                  <w:tcBorders>
                    <w:tl2br w:val="nil"/>
                    <w:tr2bl w:val="nil"/>
                  </w:tcBorders>
                  <w:vAlign w:val="center"/>
                </w:tcPr>
                <w:p w14:paraId="264E0DF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113°3′45.93393″</w:t>
                  </w:r>
                </w:p>
              </w:tc>
              <w:tc>
                <w:tcPr>
                  <w:tcW w:w="1238" w:type="pct"/>
                  <w:tcBorders>
                    <w:tl2br w:val="nil"/>
                    <w:tr2bl w:val="nil"/>
                  </w:tcBorders>
                  <w:vAlign w:val="center"/>
                </w:tcPr>
                <w:p w14:paraId="1CA65F27">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26°27′56.72569″</w:t>
                  </w:r>
                </w:p>
              </w:tc>
              <w:tc>
                <w:tcPr>
                  <w:tcW w:w="597" w:type="pct"/>
                  <w:vMerge w:val="continue"/>
                  <w:tcBorders>
                    <w:tl2br w:val="nil"/>
                    <w:tr2bl w:val="nil"/>
                  </w:tcBorders>
                  <w:vAlign w:val="center"/>
                </w:tcPr>
                <w:p w14:paraId="2C29C8C5">
                  <w:pPr>
                    <w:jc w:val="center"/>
                    <w:rPr>
                      <w:b w:val="0"/>
                      <w:bCs w:val="0"/>
                      <w:sz w:val="21"/>
                      <w:szCs w:val="21"/>
                      <w:u w:val="none"/>
                    </w:rPr>
                  </w:pPr>
                </w:p>
              </w:tc>
            </w:tr>
            <w:tr w14:paraId="667770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47202BCC">
                  <w:pPr>
                    <w:jc w:val="center"/>
                    <w:rPr>
                      <w:rFonts w:hint="default"/>
                      <w:b w:val="0"/>
                      <w:bCs w:val="0"/>
                      <w:sz w:val="21"/>
                      <w:szCs w:val="21"/>
                      <w:u w:val="none"/>
                      <w:lang w:val="en-US" w:eastAsia="zh-CN"/>
                    </w:rPr>
                  </w:pPr>
                  <w:r>
                    <w:rPr>
                      <w:rFonts w:hint="eastAsia"/>
                      <w:b w:val="0"/>
                      <w:bCs w:val="0"/>
                      <w:sz w:val="21"/>
                      <w:szCs w:val="21"/>
                      <w:u w:val="none"/>
                      <w:lang w:val="en-US" w:eastAsia="zh-CN"/>
                    </w:rPr>
                    <w:t>N27</w:t>
                  </w:r>
                </w:p>
              </w:tc>
              <w:tc>
                <w:tcPr>
                  <w:tcW w:w="1446" w:type="pct"/>
                  <w:tcBorders>
                    <w:tl2br w:val="nil"/>
                    <w:tr2bl w:val="nil"/>
                  </w:tcBorders>
                  <w:vAlign w:val="center"/>
                </w:tcPr>
                <w:p w14:paraId="5818928C">
                  <w:pPr>
                    <w:jc w:val="center"/>
                    <w:rPr>
                      <w:rFonts w:hint="eastAsia"/>
                      <w:b w:val="0"/>
                      <w:bCs w:val="0"/>
                      <w:sz w:val="21"/>
                      <w:szCs w:val="21"/>
                      <w:u w:val="none"/>
                      <w:lang w:val="en-US" w:eastAsia="zh-CN"/>
                    </w:rPr>
                  </w:pPr>
                  <w:r>
                    <w:rPr>
                      <w:rFonts w:hint="eastAsia"/>
                      <w:b w:val="0"/>
                      <w:bCs w:val="0"/>
                      <w:sz w:val="21"/>
                      <w:szCs w:val="21"/>
                      <w:u w:val="none"/>
                      <w:lang w:val="en-US" w:eastAsia="zh-CN"/>
                    </w:rPr>
                    <w:t>升压站北面厂界</w:t>
                  </w:r>
                </w:p>
              </w:tc>
              <w:tc>
                <w:tcPr>
                  <w:tcW w:w="1238" w:type="pct"/>
                  <w:tcBorders>
                    <w:tl2br w:val="nil"/>
                    <w:tr2bl w:val="nil"/>
                  </w:tcBorders>
                  <w:vAlign w:val="center"/>
                </w:tcPr>
                <w:p w14:paraId="06A0C0B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E</w:t>
                  </w:r>
                  <w:r>
                    <w:rPr>
                      <w:rFonts w:hint="default" w:ascii="Times New Roman" w:hAnsi="Times New Roman" w:eastAsia="宋体" w:cs="Times New Roman"/>
                      <w:b w:val="0"/>
                      <w:bCs w:val="0"/>
                      <w:color w:val="auto"/>
                      <w:sz w:val="21"/>
                      <w:szCs w:val="21"/>
                      <w:lang w:val="en-US" w:eastAsia="zh-CN"/>
                    </w:rPr>
                    <w:t>113°3′47.63337″</w:t>
                  </w:r>
                </w:p>
              </w:tc>
              <w:tc>
                <w:tcPr>
                  <w:tcW w:w="1238" w:type="pct"/>
                  <w:tcBorders>
                    <w:tl2br w:val="nil"/>
                    <w:tr2bl w:val="nil"/>
                  </w:tcBorders>
                  <w:vAlign w:val="center"/>
                </w:tcPr>
                <w:p w14:paraId="78218F2B">
                  <w:pPr>
                    <w:jc w:val="center"/>
                    <w:rPr>
                      <w:rFonts w:hint="eastAsia"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N</w:t>
                  </w:r>
                  <w:r>
                    <w:rPr>
                      <w:rFonts w:hint="default" w:ascii="Times New Roman" w:hAnsi="Times New Roman" w:eastAsia="宋体" w:cs="Times New Roman"/>
                      <w:b w:val="0"/>
                      <w:bCs w:val="0"/>
                      <w:color w:val="auto"/>
                      <w:sz w:val="21"/>
                      <w:szCs w:val="21"/>
                      <w:lang w:val="en-US" w:eastAsia="zh-CN"/>
                    </w:rPr>
                    <w:t>26°27′58.67619″</w:t>
                  </w:r>
                </w:p>
              </w:tc>
              <w:tc>
                <w:tcPr>
                  <w:tcW w:w="597" w:type="pct"/>
                  <w:vMerge w:val="continue"/>
                  <w:tcBorders>
                    <w:tl2br w:val="nil"/>
                    <w:tr2bl w:val="nil"/>
                  </w:tcBorders>
                  <w:vAlign w:val="center"/>
                </w:tcPr>
                <w:p w14:paraId="49B75C12">
                  <w:pPr>
                    <w:jc w:val="center"/>
                    <w:rPr>
                      <w:b w:val="0"/>
                      <w:bCs w:val="0"/>
                      <w:sz w:val="21"/>
                      <w:szCs w:val="21"/>
                      <w:u w:val="none"/>
                    </w:rPr>
                  </w:pPr>
                </w:p>
              </w:tc>
            </w:tr>
            <w:tr w14:paraId="3C9B03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2450EB67">
                  <w:pPr>
                    <w:jc w:val="center"/>
                    <w:rPr>
                      <w:rFonts w:hint="default"/>
                      <w:b w:val="0"/>
                      <w:bCs w:val="0"/>
                      <w:sz w:val="21"/>
                      <w:szCs w:val="21"/>
                      <w:u w:val="none"/>
                      <w:lang w:val="en-US" w:eastAsia="zh-CN"/>
                    </w:rPr>
                  </w:pPr>
                  <w:r>
                    <w:rPr>
                      <w:rFonts w:hint="eastAsia"/>
                      <w:b w:val="0"/>
                      <w:bCs w:val="0"/>
                      <w:sz w:val="21"/>
                      <w:szCs w:val="21"/>
                      <w:u w:val="none"/>
                      <w:lang w:val="en-US" w:eastAsia="zh-CN"/>
                    </w:rPr>
                    <w:t>N28</w:t>
                  </w:r>
                </w:p>
              </w:tc>
              <w:tc>
                <w:tcPr>
                  <w:tcW w:w="1446" w:type="pct"/>
                  <w:tcBorders>
                    <w:tl2br w:val="nil"/>
                    <w:tr2bl w:val="nil"/>
                  </w:tcBorders>
                  <w:vAlign w:val="center"/>
                </w:tcPr>
                <w:p w14:paraId="26A71515">
                  <w:pPr>
                    <w:jc w:val="center"/>
                    <w:rPr>
                      <w:b w:val="0"/>
                      <w:bCs w:val="0"/>
                      <w:sz w:val="21"/>
                      <w:szCs w:val="21"/>
                      <w:u w:val="none"/>
                    </w:rPr>
                  </w:pPr>
                  <w:r>
                    <w:rPr>
                      <w:rFonts w:hint="eastAsia"/>
                      <w:b w:val="0"/>
                      <w:bCs w:val="0"/>
                      <w:color w:val="auto"/>
                      <w:sz w:val="21"/>
                      <w:szCs w:val="21"/>
                      <w:lang w:val="en-US" w:eastAsia="zh-CN"/>
                    </w:rPr>
                    <w:t>马禾塘居</w:t>
                  </w:r>
                  <w:r>
                    <w:rPr>
                      <w:rFonts w:hint="default" w:ascii="Times New Roman" w:hAnsi="Times New Roman" w:cs="Times New Roman"/>
                      <w:b w:val="0"/>
                      <w:bCs w:val="0"/>
                      <w:color w:val="auto"/>
                      <w:sz w:val="21"/>
                      <w:szCs w:val="21"/>
                      <w:lang w:val="en-US" w:eastAsia="zh-CN"/>
                    </w:rPr>
                    <w:t>民</w:t>
                  </w:r>
                </w:p>
              </w:tc>
              <w:tc>
                <w:tcPr>
                  <w:tcW w:w="1238" w:type="pct"/>
                  <w:tcBorders>
                    <w:tl2br w:val="nil"/>
                    <w:tr2bl w:val="nil"/>
                  </w:tcBorders>
                  <w:vAlign w:val="center"/>
                </w:tcPr>
                <w:p w14:paraId="63AB5A6B">
                  <w:pPr>
                    <w:jc w:val="center"/>
                    <w:rPr>
                      <w:b w:val="0"/>
                      <w:bCs w:val="0"/>
                      <w:sz w:val="21"/>
                      <w:szCs w:val="21"/>
                      <w:u w:val="none"/>
                    </w:rPr>
                  </w:pPr>
                  <w:r>
                    <w:rPr>
                      <w:rFonts w:hint="default" w:ascii="Times New Roman" w:hAnsi="Times New Roman" w:cs="Times New Roman"/>
                      <w:b w:val="0"/>
                      <w:bCs w:val="0"/>
                      <w:color w:val="auto"/>
                      <w:sz w:val="21"/>
                      <w:szCs w:val="21"/>
                      <w:lang w:val="en-US" w:eastAsia="zh-CN"/>
                    </w:rPr>
                    <w:t>E113°3′28.47079″</w:t>
                  </w:r>
                </w:p>
              </w:tc>
              <w:tc>
                <w:tcPr>
                  <w:tcW w:w="1238" w:type="pct"/>
                  <w:tcBorders>
                    <w:tl2br w:val="nil"/>
                    <w:tr2bl w:val="nil"/>
                  </w:tcBorders>
                  <w:vAlign w:val="center"/>
                </w:tcPr>
                <w:p w14:paraId="32092773">
                  <w:pPr>
                    <w:jc w:val="center"/>
                    <w:rPr>
                      <w:b w:val="0"/>
                      <w:bCs w:val="0"/>
                      <w:sz w:val="21"/>
                      <w:szCs w:val="21"/>
                      <w:u w:val="none"/>
                    </w:rPr>
                  </w:pPr>
                  <w:r>
                    <w:rPr>
                      <w:rFonts w:hint="default" w:ascii="Times New Roman" w:hAnsi="Times New Roman" w:cs="Times New Roman"/>
                      <w:b w:val="0"/>
                      <w:bCs w:val="0"/>
                      <w:color w:val="auto"/>
                      <w:sz w:val="21"/>
                      <w:szCs w:val="21"/>
                      <w:lang w:val="en-US" w:eastAsia="zh-CN"/>
                    </w:rPr>
                    <w:t>N26°29′14.87559″</w:t>
                  </w:r>
                </w:p>
              </w:tc>
              <w:tc>
                <w:tcPr>
                  <w:tcW w:w="597" w:type="pct"/>
                  <w:vMerge w:val="continue"/>
                  <w:tcBorders>
                    <w:tl2br w:val="nil"/>
                    <w:tr2bl w:val="nil"/>
                  </w:tcBorders>
                  <w:vAlign w:val="center"/>
                </w:tcPr>
                <w:p w14:paraId="74233CDC">
                  <w:pPr>
                    <w:jc w:val="center"/>
                    <w:rPr>
                      <w:b w:val="0"/>
                      <w:bCs w:val="0"/>
                      <w:sz w:val="21"/>
                      <w:szCs w:val="21"/>
                      <w:u w:val="none"/>
                    </w:rPr>
                  </w:pPr>
                </w:p>
              </w:tc>
            </w:tr>
            <w:tr w14:paraId="3142FAA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19673FBD">
                  <w:pPr>
                    <w:jc w:val="center"/>
                    <w:rPr>
                      <w:rFonts w:hint="default"/>
                      <w:b w:val="0"/>
                      <w:bCs w:val="0"/>
                      <w:sz w:val="21"/>
                      <w:szCs w:val="21"/>
                      <w:u w:val="none"/>
                      <w:lang w:val="en-US" w:eastAsia="zh-CN"/>
                    </w:rPr>
                  </w:pPr>
                  <w:r>
                    <w:rPr>
                      <w:rFonts w:hint="eastAsia"/>
                      <w:b w:val="0"/>
                      <w:bCs w:val="0"/>
                      <w:sz w:val="21"/>
                      <w:szCs w:val="21"/>
                      <w:u w:val="none"/>
                      <w:lang w:val="en-US" w:eastAsia="zh-CN"/>
                    </w:rPr>
                    <w:t>N29</w:t>
                  </w:r>
                </w:p>
              </w:tc>
              <w:tc>
                <w:tcPr>
                  <w:tcW w:w="1446" w:type="pct"/>
                  <w:tcBorders>
                    <w:tl2br w:val="nil"/>
                    <w:tr2bl w:val="nil"/>
                  </w:tcBorders>
                  <w:vAlign w:val="center"/>
                </w:tcPr>
                <w:p w14:paraId="18E6C694">
                  <w:pPr>
                    <w:jc w:val="center"/>
                    <w:rPr>
                      <w:b w:val="0"/>
                      <w:bCs w:val="0"/>
                      <w:sz w:val="21"/>
                      <w:szCs w:val="21"/>
                      <w:u w:val="none"/>
                    </w:rPr>
                  </w:pPr>
                  <w:r>
                    <w:rPr>
                      <w:rFonts w:hint="eastAsia"/>
                      <w:b w:val="0"/>
                      <w:bCs w:val="0"/>
                      <w:color w:val="auto"/>
                      <w:sz w:val="21"/>
                      <w:szCs w:val="21"/>
                      <w:lang w:val="en-US" w:eastAsia="zh-CN"/>
                    </w:rPr>
                    <w:t>刘家湾居民</w:t>
                  </w:r>
                </w:p>
              </w:tc>
              <w:tc>
                <w:tcPr>
                  <w:tcW w:w="1238" w:type="pct"/>
                  <w:tcBorders>
                    <w:tl2br w:val="nil"/>
                    <w:tr2bl w:val="nil"/>
                  </w:tcBorders>
                  <w:vAlign w:val="center"/>
                </w:tcPr>
                <w:p w14:paraId="196D125B">
                  <w:pPr>
                    <w:jc w:val="center"/>
                    <w:rPr>
                      <w:b w:val="0"/>
                      <w:bCs w:val="0"/>
                      <w:sz w:val="21"/>
                      <w:szCs w:val="21"/>
                      <w:u w:val="none"/>
                    </w:rPr>
                  </w:pPr>
                  <w:r>
                    <w:rPr>
                      <w:rFonts w:hint="eastAsia"/>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113°5′41.91895″</w:t>
                  </w:r>
                </w:p>
              </w:tc>
              <w:tc>
                <w:tcPr>
                  <w:tcW w:w="1238" w:type="pct"/>
                  <w:tcBorders>
                    <w:tl2br w:val="nil"/>
                    <w:tr2bl w:val="nil"/>
                  </w:tcBorders>
                  <w:vAlign w:val="center"/>
                </w:tcPr>
                <w:p w14:paraId="33E65C90">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26°29′18.64788″</w:t>
                  </w:r>
                </w:p>
              </w:tc>
              <w:tc>
                <w:tcPr>
                  <w:tcW w:w="597" w:type="pct"/>
                  <w:vMerge w:val="continue"/>
                  <w:tcBorders>
                    <w:tl2br w:val="nil"/>
                    <w:tr2bl w:val="nil"/>
                  </w:tcBorders>
                  <w:vAlign w:val="center"/>
                </w:tcPr>
                <w:p w14:paraId="517E113F">
                  <w:pPr>
                    <w:jc w:val="center"/>
                    <w:rPr>
                      <w:b w:val="0"/>
                      <w:bCs w:val="0"/>
                      <w:sz w:val="21"/>
                      <w:szCs w:val="21"/>
                      <w:u w:val="none"/>
                    </w:rPr>
                  </w:pPr>
                </w:p>
              </w:tc>
            </w:tr>
            <w:tr w14:paraId="06EBED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6F7A6823">
                  <w:pPr>
                    <w:jc w:val="center"/>
                    <w:rPr>
                      <w:rFonts w:hint="default"/>
                      <w:b w:val="0"/>
                      <w:bCs w:val="0"/>
                      <w:sz w:val="21"/>
                      <w:szCs w:val="21"/>
                      <w:u w:val="none"/>
                      <w:lang w:val="en-US" w:eastAsia="zh-CN"/>
                    </w:rPr>
                  </w:pPr>
                  <w:r>
                    <w:rPr>
                      <w:rFonts w:hint="eastAsia"/>
                      <w:b w:val="0"/>
                      <w:bCs w:val="0"/>
                      <w:sz w:val="21"/>
                      <w:szCs w:val="21"/>
                      <w:u w:val="none"/>
                      <w:lang w:val="en-US" w:eastAsia="zh-CN"/>
                    </w:rPr>
                    <w:t>N30</w:t>
                  </w:r>
                </w:p>
              </w:tc>
              <w:tc>
                <w:tcPr>
                  <w:tcW w:w="1446" w:type="pct"/>
                  <w:tcBorders>
                    <w:tl2br w:val="nil"/>
                    <w:tr2bl w:val="nil"/>
                  </w:tcBorders>
                  <w:vAlign w:val="center"/>
                </w:tcPr>
                <w:p w14:paraId="6F20E667">
                  <w:pPr>
                    <w:jc w:val="center"/>
                    <w:rPr>
                      <w:b w:val="0"/>
                      <w:bCs w:val="0"/>
                      <w:sz w:val="21"/>
                      <w:szCs w:val="21"/>
                      <w:u w:val="none"/>
                    </w:rPr>
                  </w:pPr>
                  <w:r>
                    <w:rPr>
                      <w:rFonts w:hint="eastAsia"/>
                      <w:b w:val="0"/>
                      <w:bCs w:val="0"/>
                      <w:color w:val="auto"/>
                      <w:sz w:val="21"/>
                      <w:szCs w:val="21"/>
                      <w:lang w:val="en-US" w:eastAsia="zh-CN"/>
                    </w:rPr>
                    <w:t>江河里居民</w:t>
                  </w:r>
                </w:p>
              </w:tc>
              <w:tc>
                <w:tcPr>
                  <w:tcW w:w="1238" w:type="pct"/>
                  <w:tcBorders>
                    <w:tl2br w:val="nil"/>
                    <w:tr2bl w:val="nil"/>
                  </w:tcBorders>
                  <w:vAlign w:val="center"/>
                </w:tcPr>
                <w:p w14:paraId="1F37A7E6">
                  <w:pPr>
                    <w:jc w:val="center"/>
                    <w:rPr>
                      <w:b w:val="0"/>
                      <w:bCs w:val="0"/>
                      <w:sz w:val="21"/>
                      <w:szCs w:val="21"/>
                      <w:u w:val="none"/>
                    </w:rPr>
                  </w:pPr>
                  <w:r>
                    <w:rPr>
                      <w:rFonts w:hint="eastAsia" w:cs="Times New Roman"/>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13°7′12.35660″</w:t>
                  </w:r>
                </w:p>
              </w:tc>
              <w:tc>
                <w:tcPr>
                  <w:tcW w:w="1238" w:type="pct"/>
                  <w:tcBorders>
                    <w:tl2br w:val="nil"/>
                    <w:tr2bl w:val="nil"/>
                  </w:tcBorders>
                  <w:vAlign w:val="center"/>
                </w:tcPr>
                <w:p w14:paraId="4FB3BDF5">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26°29′24.70216″</w:t>
                  </w:r>
                </w:p>
              </w:tc>
              <w:tc>
                <w:tcPr>
                  <w:tcW w:w="597" w:type="pct"/>
                  <w:vMerge w:val="continue"/>
                  <w:tcBorders>
                    <w:tl2br w:val="nil"/>
                    <w:tr2bl w:val="nil"/>
                  </w:tcBorders>
                  <w:vAlign w:val="center"/>
                </w:tcPr>
                <w:p w14:paraId="6D00741C">
                  <w:pPr>
                    <w:jc w:val="center"/>
                    <w:rPr>
                      <w:b w:val="0"/>
                      <w:bCs w:val="0"/>
                      <w:sz w:val="21"/>
                      <w:szCs w:val="21"/>
                      <w:u w:val="none"/>
                    </w:rPr>
                  </w:pPr>
                </w:p>
              </w:tc>
            </w:tr>
            <w:tr w14:paraId="479E38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3" w:hRule="atLeast"/>
                <w:jc w:val="center"/>
              </w:trPr>
              <w:tc>
                <w:tcPr>
                  <w:tcW w:w="480" w:type="pct"/>
                  <w:tcBorders>
                    <w:tl2br w:val="nil"/>
                    <w:tr2bl w:val="nil"/>
                  </w:tcBorders>
                  <w:vAlign w:val="center"/>
                </w:tcPr>
                <w:p w14:paraId="6A3EA1D3">
                  <w:pPr>
                    <w:jc w:val="center"/>
                    <w:rPr>
                      <w:rFonts w:hint="default"/>
                      <w:b w:val="0"/>
                      <w:bCs w:val="0"/>
                      <w:sz w:val="21"/>
                      <w:szCs w:val="21"/>
                      <w:u w:val="none"/>
                      <w:lang w:val="en-US" w:eastAsia="zh-CN"/>
                    </w:rPr>
                  </w:pPr>
                  <w:r>
                    <w:rPr>
                      <w:rFonts w:hint="eastAsia"/>
                      <w:b w:val="0"/>
                      <w:bCs w:val="0"/>
                      <w:sz w:val="21"/>
                      <w:szCs w:val="21"/>
                      <w:u w:val="none"/>
                      <w:lang w:val="en-US" w:eastAsia="zh-CN"/>
                    </w:rPr>
                    <w:t>N31</w:t>
                  </w:r>
                </w:p>
              </w:tc>
              <w:tc>
                <w:tcPr>
                  <w:tcW w:w="1446" w:type="pct"/>
                  <w:tcBorders>
                    <w:tl2br w:val="nil"/>
                    <w:tr2bl w:val="nil"/>
                  </w:tcBorders>
                  <w:vAlign w:val="center"/>
                </w:tcPr>
                <w:p w14:paraId="70189FAC">
                  <w:pPr>
                    <w:jc w:val="center"/>
                    <w:rPr>
                      <w:b w:val="0"/>
                      <w:bCs w:val="0"/>
                      <w:sz w:val="21"/>
                      <w:szCs w:val="21"/>
                      <w:u w:val="none"/>
                    </w:rPr>
                  </w:pPr>
                  <w:r>
                    <w:rPr>
                      <w:rFonts w:hint="eastAsia"/>
                      <w:b w:val="0"/>
                      <w:bCs w:val="0"/>
                      <w:color w:val="auto"/>
                      <w:sz w:val="21"/>
                      <w:szCs w:val="21"/>
                      <w:lang w:val="en-US" w:eastAsia="zh-CN"/>
                    </w:rPr>
                    <w:t>乌龟冲居民</w:t>
                  </w:r>
                </w:p>
              </w:tc>
              <w:tc>
                <w:tcPr>
                  <w:tcW w:w="1238" w:type="pct"/>
                  <w:tcBorders>
                    <w:tl2br w:val="nil"/>
                    <w:tr2bl w:val="nil"/>
                  </w:tcBorders>
                  <w:vAlign w:val="center"/>
                </w:tcPr>
                <w:p w14:paraId="35A29094">
                  <w:pPr>
                    <w:jc w:val="center"/>
                    <w:rPr>
                      <w:b w:val="0"/>
                      <w:bCs w:val="0"/>
                      <w:sz w:val="21"/>
                      <w:szCs w:val="21"/>
                      <w:u w:val="none"/>
                    </w:rPr>
                  </w:pPr>
                  <w:r>
                    <w:rPr>
                      <w:rFonts w:hint="eastAsia"/>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113°8′17.49566″</w:t>
                  </w:r>
                </w:p>
              </w:tc>
              <w:tc>
                <w:tcPr>
                  <w:tcW w:w="1238" w:type="pct"/>
                  <w:tcBorders>
                    <w:tl2br w:val="nil"/>
                    <w:tr2bl w:val="nil"/>
                  </w:tcBorders>
                  <w:vAlign w:val="center"/>
                </w:tcPr>
                <w:p w14:paraId="744585B6">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26°28′51.55328″</w:t>
                  </w:r>
                </w:p>
              </w:tc>
              <w:tc>
                <w:tcPr>
                  <w:tcW w:w="597" w:type="pct"/>
                  <w:vMerge w:val="continue"/>
                  <w:tcBorders>
                    <w:tl2br w:val="nil"/>
                    <w:tr2bl w:val="nil"/>
                  </w:tcBorders>
                  <w:vAlign w:val="center"/>
                </w:tcPr>
                <w:p w14:paraId="67B82135">
                  <w:pPr>
                    <w:jc w:val="center"/>
                    <w:rPr>
                      <w:b w:val="0"/>
                      <w:bCs w:val="0"/>
                      <w:sz w:val="21"/>
                      <w:szCs w:val="21"/>
                      <w:u w:val="none"/>
                    </w:rPr>
                  </w:pPr>
                </w:p>
              </w:tc>
            </w:tr>
            <w:tr w14:paraId="26BEAD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480" w:type="pct"/>
                  <w:tcBorders>
                    <w:tl2br w:val="nil"/>
                    <w:tr2bl w:val="nil"/>
                  </w:tcBorders>
                  <w:vAlign w:val="center"/>
                </w:tcPr>
                <w:p w14:paraId="1296B35E">
                  <w:pPr>
                    <w:jc w:val="center"/>
                    <w:rPr>
                      <w:rFonts w:hint="default"/>
                      <w:b w:val="0"/>
                      <w:bCs w:val="0"/>
                      <w:sz w:val="21"/>
                      <w:szCs w:val="21"/>
                      <w:u w:val="none"/>
                      <w:lang w:val="en-US" w:eastAsia="zh-CN"/>
                    </w:rPr>
                  </w:pPr>
                  <w:r>
                    <w:rPr>
                      <w:rFonts w:hint="eastAsia"/>
                      <w:b w:val="0"/>
                      <w:bCs w:val="0"/>
                      <w:sz w:val="21"/>
                      <w:szCs w:val="21"/>
                      <w:u w:val="none"/>
                      <w:lang w:val="en-US" w:eastAsia="zh-CN"/>
                    </w:rPr>
                    <w:t>N32</w:t>
                  </w:r>
                </w:p>
              </w:tc>
              <w:tc>
                <w:tcPr>
                  <w:tcW w:w="1446" w:type="pct"/>
                  <w:tcBorders>
                    <w:tl2br w:val="nil"/>
                    <w:tr2bl w:val="nil"/>
                  </w:tcBorders>
                  <w:vAlign w:val="center"/>
                </w:tcPr>
                <w:p w14:paraId="70D028AC">
                  <w:pPr>
                    <w:jc w:val="center"/>
                    <w:rPr>
                      <w:b w:val="0"/>
                      <w:bCs w:val="0"/>
                      <w:sz w:val="21"/>
                      <w:szCs w:val="21"/>
                      <w:u w:val="none"/>
                    </w:rPr>
                  </w:pPr>
                  <w:r>
                    <w:rPr>
                      <w:rFonts w:hint="eastAsia"/>
                      <w:b w:val="0"/>
                      <w:bCs w:val="0"/>
                      <w:color w:val="auto"/>
                      <w:sz w:val="21"/>
                      <w:szCs w:val="21"/>
                      <w:lang w:val="en-US" w:eastAsia="zh-CN"/>
                    </w:rPr>
                    <w:t>坪里居民</w:t>
                  </w:r>
                </w:p>
              </w:tc>
              <w:tc>
                <w:tcPr>
                  <w:tcW w:w="1238" w:type="pct"/>
                  <w:tcBorders>
                    <w:tl2br w:val="nil"/>
                    <w:tr2bl w:val="nil"/>
                  </w:tcBorders>
                  <w:vAlign w:val="center"/>
                </w:tcPr>
                <w:p w14:paraId="61C50EAB">
                  <w:pPr>
                    <w:jc w:val="center"/>
                    <w:rPr>
                      <w:b w:val="0"/>
                      <w:bCs w:val="0"/>
                      <w:sz w:val="21"/>
                      <w:szCs w:val="21"/>
                      <w:u w:val="none"/>
                    </w:rPr>
                  </w:pPr>
                  <w:r>
                    <w:rPr>
                      <w:rFonts w:hint="eastAsia"/>
                      <w:b w:val="0"/>
                      <w:bCs w:val="0"/>
                      <w:color w:val="auto"/>
                      <w:sz w:val="21"/>
                      <w:szCs w:val="21"/>
                      <w:lang w:val="en-US" w:eastAsia="zh-CN"/>
                    </w:rPr>
                    <w:t>E</w:t>
                  </w:r>
                  <w:r>
                    <w:rPr>
                      <w:rFonts w:hint="default" w:ascii="Times New Roman" w:hAnsi="Times New Roman" w:cs="Times New Roman"/>
                      <w:b w:val="0"/>
                      <w:bCs w:val="0"/>
                      <w:color w:val="auto"/>
                      <w:sz w:val="21"/>
                      <w:szCs w:val="21"/>
                      <w:lang w:val="en-US" w:eastAsia="zh-CN"/>
                    </w:rPr>
                    <w:t>113°3′33.10854″</w:t>
                  </w:r>
                </w:p>
              </w:tc>
              <w:tc>
                <w:tcPr>
                  <w:tcW w:w="1238" w:type="pct"/>
                  <w:tcBorders>
                    <w:tl2br w:val="nil"/>
                    <w:tr2bl w:val="nil"/>
                  </w:tcBorders>
                  <w:vAlign w:val="center"/>
                </w:tcPr>
                <w:p w14:paraId="3DAE379C">
                  <w:pPr>
                    <w:jc w:val="center"/>
                    <w:rPr>
                      <w:b w:val="0"/>
                      <w:bCs w:val="0"/>
                      <w:sz w:val="21"/>
                      <w:szCs w:val="21"/>
                      <w:u w:val="none"/>
                    </w:rPr>
                  </w:pPr>
                  <w:r>
                    <w:rPr>
                      <w:rFonts w:hint="eastAsia" w:cs="Times New Roman"/>
                      <w:b w:val="0"/>
                      <w:bCs w:val="0"/>
                      <w:color w:val="auto"/>
                      <w:sz w:val="21"/>
                      <w:szCs w:val="21"/>
                      <w:lang w:val="en-US" w:eastAsia="zh-CN"/>
                    </w:rPr>
                    <w:t>N</w:t>
                  </w:r>
                  <w:r>
                    <w:rPr>
                      <w:rFonts w:hint="default" w:ascii="Times New Roman" w:hAnsi="Times New Roman" w:cs="Times New Roman"/>
                      <w:b w:val="0"/>
                      <w:bCs w:val="0"/>
                      <w:color w:val="auto"/>
                      <w:sz w:val="21"/>
                      <w:szCs w:val="21"/>
                      <w:lang w:val="en-US" w:eastAsia="zh-CN"/>
                    </w:rPr>
                    <w:t>26°27′47.53431″</w:t>
                  </w:r>
                </w:p>
              </w:tc>
              <w:tc>
                <w:tcPr>
                  <w:tcW w:w="597" w:type="pct"/>
                  <w:vMerge w:val="continue"/>
                  <w:tcBorders>
                    <w:tl2br w:val="nil"/>
                    <w:tr2bl w:val="nil"/>
                  </w:tcBorders>
                  <w:vAlign w:val="center"/>
                </w:tcPr>
                <w:p w14:paraId="19791445">
                  <w:pPr>
                    <w:jc w:val="center"/>
                    <w:rPr>
                      <w:b w:val="0"/>
                      <w:bCs w:val="0"/>
                      <w:sz w:val="21"/>
                      <w:szCs w:val="21"/>
                      <w:u w:val="none"/>
                    </w:rPr>
                  </w:pPr>
                </w:p>
              </w:tc>
            </w:tr>
            <w:tr w14:paraId="4BB791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23" w:hRule="atLeast"/>
                <w:jc w:val="center"/>
              </w:trPr>
              <w:tc>
                <w:tcPr>
                  <w:tcW w:w="5000" w:type="pct"/>
                  <w:gridSpan w:val="5"/>
                  <w:tcBorders>
                    <w:tl2br w:val="nil"/>
                    <w:tr2bl w:val="nil"/>
                  </w:tcBorders>
                  <w:vAlign w:val="center"/>
                </w:tcPr>
                <w:p w14:paraId="5B161C00">
                  <w:pPr>
                    <w:jc w:val="both"/>
                    <w:rPr>
                      <w:rFonts w:hint="default" w:eastAsia="宋体"/>
                      <w:b w:val="0"/>
                      <w:bCs w:val="0"/>
                      <w:sz w:val="21"/>
                      <w:szCs w:val="21"/>
                      <w:u w:val="none"/>
                      <w:lang w:val="en-US" w:eastAsia="zh-CN"/>
                    </w:rPr>
                  </w:pPr>
                  <w:r>
                    <w:rPr>
                      <w:rFonts w:hint="eastAsia" w:ascii="Times New Roman" w:hAnsi="Times New Roman" w:eastAsia="宋体" w:cs="Times New Roman"/>
                      <w:b w:val="0"/>
                      <w:bCs w:val="0"/>
                      <w:sz w:val="21"/>
                      <w:szCs w:val="21"/>
                      <w:u w:val="none"/>
                      <w:lang w:val="en-US" w:eastAsia="zh-CN"/>
                    </w:rPr>
                    <w:t>注：考虑到风电场运行噪声对周边居民的影响，本次环评适当扩大了噪声的调查范围，以各风机机组平台外扩500米来开展周边居民点的监测</w:t>
                  </w:r>
                  <w:r>
                    <w:rPr>
                      <w:rFonts w:hint="eastAsia"/>
                      <w:b w:val="0"/>
                      <w:bCs w:val="0"/>
                      <w:color w:val="auto"/>
                      <w:sz w:val="21"/>
                      <w:szCs w:val="21"/>
                      <w:lang w:val="en-US" w:eastAsia="zh-CN"/>
                    </w:rPr>
                    <w:t>。</w:t>
                  </w:r>
                </w:p>
              </w:tc>
            </w:tr>
          </w:tbl>
          <w:p w14:paraId="656128E4">
            <w:pPr>
              <w:spacing w:line="360" w:lineRule="auto"/>
              <w:ind w:firstLine="480" w:firstLineChars="200"/>
              <w:rPr>
                <w:sz w:val="24"/>
                <w:u w:val="none"/>
              </w:rPr>
            </w:pPr>
            <w:r>
              <w:rPr>
                <w:rFonts w:hint="eastAsia"/>
                <w:sz w:val="24"/>
                <w:u w:val="none"/>
              </w:rPr>
              <w:t>（2）监测频次及监测时间</w:t>
            </w:r>
          </w:p>
          <w:p w14:paraId="1436E476">
            <w:pPr>
              <w:pStyle w:val="57"/>
              <w:ind w:left="0" w:leftChars="0" w:right="42" w:firstLine="480"/>
              <w:rPr>
                <w:rFonts w:cs="Times New Roman"/>
                <w:u w:val="none"/>
              </w:rPr>
            </w:pPr>
            <w:r>
              <w:rPr>
                <w:rFonts w:hint="eastAsia" w:cs="Times New Roman"/>
                <w:u w:val="none"/>
              </w:rPr>
              <w:t>连续监测</w:t>
            </w:r>
            <w:r>
              <w:rPr>
                <w:rFonts w:cs="Times New Roman"/>
                <w:u w:val="none"/>
              </w:rPr>
              <w:t>2天，每天昼间和夜间各一次。</w:t>
            </w:r>
          </w:p>
          <w:p w14:paraId="5CF5D36B">
            <w:pPr>
              <w:pStyle w:val="57"/>
              <w:ind w:left="0" w:leftChars="0" w:right="42" w:firstLine="480"/>
              <w:rPr>
                <w:rFonts w:cs="Times New Roman"/>
                <w:u w:val="none"/>
              </w:rPr>
            </w:pPr>
            <w:r>
              <w:rPr>
                <w:rFonts w:hint="eastAsia" w:cs="Times New Roman"/>
                <w:u w:val="none"/>
              </w:rPr>
              <w:t>（</w:t>
            </w:r>
            <w:r>
              <w:rPr>
                <w:rFonts w:cs="Times New Roman"/>
                <w:u w:val="none"/>
              </w:rPr>
              <w:t>3</w:t>
            </w:r>
            <w:r>
              <w:rPr>
                <w:rFonts w:hint="eastAsia" w:cs="Times New Roman"/>
                <w:u w:val="none"/>
              </w:rPr>
              <w:t>）监测结果</w:t>
            </w:r>
          </w:p>
          <w:p w14:paraId="1F313DB7">
            <w:pPr>
              <w:pStyle w:val="57"/>
              <w:ind w:left="0" w:leftChars="0" w:right="42" w:firstLine="480"/>
              <w:rPr>
                <w:rFonts w:cs="Times New Roman"/>
                <w:u w:val="none"/>
              </w:rPr>
            </w:pPr>
            <w:r>
              <w:rPr>
                <w:rFonts w:hint="eastAsia"/>
                <w:u w:val="none"/>
              </w:rPr>
              <w:t>根据表3</w:t>
            </w:r>
            <w:r>
              <w:rPr>
                <w:rFonts w:hint="eastAsia"/>
                <w:u w:val="none"/>
                <w:lang w:val="en-US" w:eastAsia="zh-CN"/>
              </w:rPr>
              <w:t>-8</w:t>
            </w:r>
            <w:r>
              <w:rPr>
                <w:rFonts w:hint="eastAsia"/>
                <w:u w:val="none"/>
              </w:rPr>
              <w:t>的监测结果可知，本项目</w:t>
            </w:r>
            <w:r>
              <w:rPr>
                <w:rFonts w:hint="eastAsia"/>
                <w:u w:val="none"/>
                <w:lang w:val="en-US" w:eastAsia="zh-CN"/>
              </w:rPr>
              <w:t>各风机机组平台以及周边居民点的</w:t>
            </w:r>
            <w:r>
              <w:rPr>
                <w:rFonts w:hint="eastAsia"/>
                <w:u w:val="none"/>
              </w:rPr>
              <w:t>声环境质量</w:t>
            </w:r>
            <w:r>
              <w:rPr>
                <w:rFonts w:hint="eastAsia"/>
                <w:u w:val="none"/>
                <w:lang w:val="en-US"/>
              </w:rPr>
              <w:t>现状</w:t>
            </w:r>
            <w:r>
              <w:rPr>
                <w:rFonts w:hint="eastAsia"/>
                <w:u w:val="none"/>
                <w:lang w:val="en-US" w:eastAsia="zh-CN"/>
              </w:rPr>
              <w:t>均</w:t>
            </w:r>
            <w:r>
              <w:rPr>
                <w:rFonts w:hint="eastAsia"/>
                <w:u w:val="none"/>
              </w:rPr>
              <w:t>满足《声环境质量标准》（GB3096-2008）2类</w:t>
            </w:r>
            <w:r>
              <w:rPr>
                <w:rFonts w:hint="eastAsia"/>
                <w:u w:val="none"/>
                <w:lang w:val="en-US" w:eastAsia="zh-CN"/>
              </w:rPr>
              <w:t>区</w:t>
            </w:r>
            <w:r>
              <w:rPr>
                <w:rFonts w:hint="eastAsia"/>
                <w:u w:val="none"/>
              </w:rPr>
              <w:t>标准要求。</w:t>
            </w:r>
          </w:p>
          <w:p w14:paraId="55C1B1AB">
            <w:pPr>
              <w:keepNext/>
              <w:spacing w:line="240" w:lineRule="auto"/>
              <w:jc w:val="center"/>
              <w:rPr>
                <w:b/>
                <w:color w:val="FF0000"/>
                <w:szCs w:val="21"/>
                <w:u w:val="none"/>
              </w:rPr>
            </w:pPr>
            <w:r>
              <w:rPr>
                <w:b/>
                <w:color w:val="FF0000"/>
                <w:szCs w:val="21"/>
                <w:u w:val="none"/>
              </w:rPr>
              <w:t>表3-</w:t>
            </w:r>
            <w:r>
              <w:rPr>
                <w:rFonts w:hint="eastAsia"/>
                <w:b/>
                <w:color w:val="FF0000"/>
                <w:szCs w:val="21"/>
                <w:u w:val="none"/>
                <w:lang w:val="en-US" w:eastAsia="zh-CN"/>
              </w:rPr>
              <w:t xml:space="preserve">8 </w:t>
            </w:r>
            <w:r>
              <w:rPr>
                <w:b/>
                <w:color w:val="FF0000"/>
                <w:szCs w:val="21"/>
                <w:u w:val="none"/>
              </w:rPr>
              <w:t xml:space="preserve"> </w:t>
            </w:r>
            <w:r>
              <w:rPr>
                <w:rFonts w:hint="eastAsia"/>
                <w:b/>
                <w:color w:val="FF0000"/>
                <w:szCs w:val="21"/>
                <w:u w:val="none"/>
              </w:rPr>
              <w:t xml:space="preserve">声环境质量现状监测结果 </w:t>
            </w:r>
            <w:r>
              <w:rPr>
                <w:b/>
                <w:color w:val="FF0000"/>
                <w:szCs w:val="21"/>
                <w:u w:val="none"/>
              </w:rPr>
              <w:t xml:space="preserve"> </w:t>
            </w:r>
            <w:r>
              <w:rPr>
                <w:rFonts w:hint="eastAsia"/>
                <w:b/>
                <w:color w:val="FF0000"/>
                <w:szCs w:val="21"/>
                <w:u w:val="none"/>
              </w:rPr>
              <w:t>单位：</w:t>
            </w:r>
            <w:r>
              <w:rPr>
                <w:b/>
                <w:color w:val="FF0000"/>
                <w:szCs w:val="21"/>
                <w:u w:val="none"/>
              </w:rPr>
              <w:t>dB</w:t>
            </w:r>
            <w:r>
              <w:rPr>
                <w:rFonts w:hint="eastAsia"/>
                <w:b/>
                <w:color w:val="FF0000"/>
                <w:szCs w:val="21"/>
                <w:u w:val="none"/>
                <w:lang w:val="en-US" w:eastAsia="zh-CN"/>
              </w:rPr>
              <w:t>(A)</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5"/>
              <w:gridCol w:w="2394"/>
              <w:gridCol w:w="1240"/>
              <w:gridCol w:w="1240"/>
              <w:gridCol w:w="1240"/>
              <w:gridCol w:w="1240"/>
            </w:tblGrid>
            <w:tr w14:paraId="0B2A02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vMerge w:val="restart"/>
                  <w:tcBorders>
                    <w:tl2br w:val="nil"/>
                    <w:tr2bl w:val="nil"/>
                  </w:tcBorders>
                  <w:vAlign w:val="center"/>
                </w:tcPr>
                <w:p w14:paraId="77F6FC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编号</w:t>
                  </w:r>
                </w:p>
              </w:tc>
              <w:tc>
                <w:tcPr>
                  <w:tcW w:w="1483" w:type="pct"/>
                  <w:vMerge w:val="restart"/>
                  <w:tcBorders>
                    <w:tl2br w:val="nil"/>
                    <w:tr2bl w:val="nil"/>
                  </w:tcBorders>
                  <w:vAlign w:val="center"/>
                </w:tcPr>
                <w:p w14:paraId="189BE3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测点位置</w:t>
                  </w:r>
                </w:p>
              </w:tc>
              <w:tc>
                <w:tcPr>
                  <w:tcW w:w="1536" w:type="pct"/>
                  <w:gridSpan w:val="2"/>
                  <w:tcBorders>
                    <w:tl2br w:val="nil"/>
                    <w:tr2bl w:val="nil"/>
                  </w:tcBorders>
                  <w:vAlign w:val="center"/>
                </w:tcPr>
                <w:p w14:paraId="4C97713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20</w:t>
                  </w:r>
                  <w:r>
                    <w:rPr>
                      <w:rFonts w:hint="eastAsia"/>
                      <w:sz w:val="21"/>
                      <w:szCs w:val="21"/>
                      <w:u w:val="none"/>
                    </w:rPr>
                    <w:t>2</w:t>
                  </w:r>
                  <w:r>
                    <w:rPr>
                      <w:rFonts w:hint="eastAsia"/>
                      <w:sz w:val="21"/>
                      <w:szCs w:val="21"/>
                      <w:u w:val="none"/>
                      <w:lang w:val="en-US" w:eastAsia="zh-CN"/>
                    </w:rPr>
                    <w:t>3</w:t>
                  </w:r>
                  <w:r>
                    <w:rPr>
                      <w:rFonts w:hint="eastAsia"/>
                      <w:sz w:val="21"/>
                      <w:szCs w:val="21"/>
                      <w:u w:val="none"/>
                    </w:rPr>
                    <w:t>年</w:t>
                  </w:r>
                  <w:r>
                    <w:rPr>
                      <w:rFonts w:hint="eastAsia"/>
                      <w:sz w:val="21"/>
                      <w:szCs w:val="21"/>
                      <w:u w:val="none"/>
                      <w:lang w:val="en-US" w:eastAsia="zh-CN"/>
                    </w:rPr>
                    <w:t>9</w:t>
                  </w:r>
                  <w:r>
                    <w:rPr>
                      <w:rFonts w:hint="eastAsia"/>
                      <w:sz w:val="21"/>
                      <w:szCs w:val="21"/>
                      <w:u w:val="none"/>
                    </w:rPr>
                    <w:t>月1</w:t>
                  </w:r>
                  <w:r>
                    <w:rPr>
                      <w:rFonts w:hint="eastAsia"/>
                      <w:sz w:val="21"/>
                      <w:szCs w:val="21"/>
                      <w:u w:val="none"/>
                      <w:lang w:val="en-US" w:eastAsia="zh-CN"/>
                    </w:rPr>
                    <w:t>5</w:t>
                  </w:r>
                  <w:r>
                    <w:rPr>
                      <w:rFonts w:hint="eastAsia"/>
                      <w:sz w:val="21"/>
                      <w:szCs w:val="21"/>
                      <w:u w:val="none"/>
                    </w:rPr>
                    <w:t>日</w:t>
                  </w:r>
                </w:p>
              </w:tc>
              <w:tc>
                <w:tcPr>
                  <w:tcW w:w="1536" w:type="pct"/>
                  <w:gridSpan w:val="2"/>
                  <w:tcBorders>
                    <w:tl2br w:val="nil"/>
                    <w:tr2bl w:val="nil"/>
                  </w:tcBorders>
                  <w:vAlign w:val="center"/>
                </w:tcPr>
                <w:p w14:paraId="4D8886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20</w:t>
                  </w:r>
                  <w:r>
                    <w:rPr>
                      <w:rFonts w:hint="eastAsia"/>
                      <w:sz w:val="21"/>
                      <w:szCs w:val="21"/>
                      <w:u w:val="none"/>
                    </w:rPr>
                    <w:t>2</w:t>
                  </w:r>
                  <w:r>
                    <w:rPr>
                      <w:rFonts w:hint="eastAsia"/>
                      <w:sz w:val="21"/>
                      <w:szCs w:val="21"/>
                      <w:u w:val="none"/>
                      <w:lang w:val="en-US" w:eastAsia="zh-CN"/>
                    </w:rPr>
                    <w:t>3</w:t>
                  </w:r>
                  <w:r>
                    <w:rPr>
                      <w:rFonts w:hint="eastAsia"/>
                      <w:sz w:val="21"/>
                      <w:szCs w:val="21"/>
                      <w:u w:val="none"/>
                    </w:rPr>
                    <w:t>年</w:t>
                  </w:r>
                  <w:r>
                    <w:rPr>
                      <w:rFonts w:hint="eastAsia"/>
                      <w:sz w:val="21"/>
                      <w:szCs w:val="21"/>
                      <w:u w:val="none"/>
                      <w:lang w:val="en-US" w:eastAsia="zh-CN"/>
                    </w:rPr>
                    <w:t>9</w:t>
                  </w:r>
                  <w:r>
                    <w:rPr>
                      <w:rFonts w:hint="eastAsia"/>
                      <w:sz w:val="21"/>
                      <w:szCs w:val="21"/>
                      <w:u w:val="none"/>
                    </w:rPr>
                    <w:t>月1</w:t>
                  </w:r>
                  <w:r>
                    <w:rPr>
                      <w:rFonts w:hint="eastAsia"/>
                      <w:sz w:val="21"/>
                      <w:szCs w:val="21"/>
                      <w:u w:val="none"/>
                      <w:lang w:val="en-US" w:eastAsia="zh-CN"/>
                    </w:rPr>
                    <w:t>6</w:t>
                  </w:r>
                  <w:r>
                    <w:rPr>
                      <w:rFonts w:hint="eastAsia"/>
                      <w:sz w:val="21"/>
                      <w:szCs w:val="21"/>
                      <w:u w:val="none"/>
                    </w:rPr>
                    <w:t>日</w:t>
                  </w:r>
                </w:p>
              </w:tc>
            </w:tr>
            <w:tr w14:paraId="240211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vMerge w:val="continue"/>
                  <w:tcBorders>
                    <w:tl2br w:val="nil"/>
                    <w:tr2bl w:val="nil"/>
                  </w:tcBorders>
                  <w:vAlign w:val="center"/>
                </w:tcPr>
                <w:p w14:paraId="62E461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p>
              </w:tc>
              <w:tc>
                <w:tcPr>
                  <w:tcW w:w="1483" w:type="pct"/>
                  <w:vMerge w:val="continue"/>
                  <w:tcBorders>
                    <w:tl2br w:val="nil"/>
                    <w:tr2bl w:val="nil"/>
                  </w:tcBorders>
                  <w:vAlign w:val="center"/>
                </w:tcPr>
                <w:p w14:paraId="3B5859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p>
              </w:tc>
              <w:tc>
                <w:tcPr>
                  <w:tcW w:w="768" w:type="pct"/>
                  <w:tcBorders>
                    <w:tl2br w:val="nil"/>
                    <w:tr2bl w:val="nil"/>
                  </w:tcBorders>
                  <w:vAlign w:val="center"/>
                </w:tcPr>
                <w:p w14:paraId="4D4EE4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昼间</w:t>
                  </w:r>
                </w:p>
              </w:tc>
              <w:tc>
                <w:tcPr>
                  <w:tcW w:w="768" w:type="pct"/>
                  <w:tcBorders>
                    <w:tl2br w:val="nil"/>
                    <w:tr2bl w:val="nil"/>
                  </w:tcBorders>
                  <w:vAlign w:val="center"/>
                </w:tcPr>
                <w:p w14:paraId="343D4F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夜间</w:t>
                  </w:r>
                </w:p>
              </w:tc>
              <w:tc>
                <w:tcPr>
                  <w:tcW w:w="768" w:type="pct"/>
                  <w:tcBorders>
                    <w:tl2br w:val="nil"/>
                    <w:tr2bl w:val="nil"/>
                  </w:tcBorders>
                  <w:vAlign w:val="center"/>
                </w:tcPr>
                <w:p w14:paraId="11D3F0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昼间</w:t>
                  </w:r>
                </w:p>
              </w:tc>
              <w:tc>
                <w:tcPr>
                  <w:tcW w:w="768" w:type="pct"/>
                  <w:tcBorders>
                    <w:tl2br w:val="nil"/>
                    <w:tr2bl w:val="nil"/>
                  </w:tcBorders>
                  <w:vAlign w:val="center"/>
                </w:tcPr>
                <w:p w14:paraId="5115E6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u w:val="none"/>
                    </w:rPr>
                  </w:pPr>
                  <w:r>
                    <w:rPr>
                      <w:sz w:val="21"/>
                      <w:szCs w:val="21"/>
                      <w:u w:val="none"/>
                    </w:rPr>
                    <w:t>夜间</w:t>
                  </w:r>
                </w:p>
              </w:tc>
            </w:tr>
            <w:tr w14:paraId="3348E2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0C4ED83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w:t>
                  </w:r>
                </w:p>
              </w:tc>
              <w:tc>
                <w:tcPr>
                  <w:tcW w:w="1483" w:type="pct"/>
                  <w:tcBorders>
                    <w:tl2br w:val="nil"/>
                    <w:tr2bl w:val="nil"/>
                  </w:tcBorders>
                  <w:vAlign w:val="center"/>
                </w:tcPr>
                <w:p w14:paraId="5B12137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DZ1#风机机组平台</w:t>
                  </w:r>
                </w:p>
              </w:tc>
              <w:tc>
                <w:tcPr>
                  <w:tcW w:w="768" w:type="pct"/>
                  <w:tcBorders>
                    <w:tl2br w:val="nil"/>
                    <w:tr2bl w:val="nil"/>
                  </w:tcBorders>
                  <w:vAlign w:val="center"/>
                </w:tcPr>
                <w:p w14:paraId="1F1E80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lang w:val="en-US" w:eastAsia="zh-CN"/>
                    </w:rPr>
                    <w:t>49.5</w:t>
                  </w:r>
                </w:p>
              </w:tc>
              <w:tc>
                <w:tcPr>
                  <w:tcW w:w="768" w:type="pct"/>
                  <w:tcBorders>
                    <w:tl2br w:val="nil"/>
                    <w:tr2bl w:val="nil"/>
                  </w:tcBorders>
                  <w:vAlign w:val="center"/>
                </w:tcPr>
                <w:p w14:paraId="7DF9F1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42.5</w:t>
                  </w:r>
                </w:p>
              </w:tc>
              <w:tc>
                <w:tcPr>
                  <w:tcW w:w="768" w:type="pct"/>
                  <w:tcBorders>
                    <w:tl2br w:val="nil"/>
                    <w:tr2bl w:val="nil"/>
                  </w:tcBorders>
                  <w:vAlign w:val="center"/>
                </w:tcPr>
                <w:p w14:paraId="22EF49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lang w:val="en-US" w:eastAsia="zh-CN" w:bidi="ar-SA"/>
                    </w:rPr>
                    <w:t>49.7</w:t>
                  </w:r>
                </w:p>
              </w:tc>
              <w:tc>
                <w:tcPr>
                  <w:tcW w:w="768" w:type="pct"/>
                  <w:tcBorders>
                    <w:tl2br w:val="nil"/>
                    <w:tr2bl w:val="nil"/>
                  </w:tcBorders>
                  <w:vAlign w:val="center"/>
                </w:tcPr>
                <w:p w14:paraId="416AC9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lang w:val="en-US" w:eastAsia="zh-CN" w:bidi="ar-SA"/>
                    </w:rPr>
                    <w:t>42.2</w:t>
                  </w:r>
                </w:p>
              </w:tc>
            </w:tr>
            <w:tr w14:paraId="7A2233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2032CD23">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w:t>
                  </w:r>
                </w:p>
              </w:tc>
              <w:tc>
                <w:tcPr>
                  <w:tcW w:w="1483" w:type="pct"/>
                  <w:tcBorders>
                    <w:tl2br w:val="nil"/>
                    <w:tr2bl w:val="nil"/>
                  </w:tcBorders>
                  <w:vAlign w:val="center"/>
                </w:tcPr>
                <w:p w14:paraId="1FCBE51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DZ2#风机机组平台</w:t>
                  </w:r>
                </w:p>
              </w:tc>
              <w:tc>
                <w:tcPr>
                  <w:tcW w:w="768" w:type="pct"/>
                  <w:tcBorders>
                    <w:tl2br w:val="nil"/>
                    <w:tr2bl w:val="nil"/>
                  </w:tcBorders>
                  <w:vAlign w:val="center"/>
                </w:tcPr>
                <w:p w14:paraId="45C1AE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48.2</w:t>
                  </w:r>
                </w:p>
              </w:tc>
              <w:tc>
                <w:tcPr>
                  <w:tcW w:w="768" w:type="pct"/>
                  <w:tcBorders>
                    <w:tl2br w:val="nil"/>
                    <w:tr2bl w:val="nil"/>
                  </w:tcBorders>
                  <w:vAlign w:val="center"/>
                </w:tcPr>
                <w:p w14:paraId="3CB619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41.6</w:t>
                  </w:r>
                </w:p>
              </w:tc>
              <w:tc>
                <w:tcPr>
                  <w:tcW w:w="768" w:type="pct"/>
                  <w:tcBorders>
                    <w:tl2br w:val="nil"/>
                    <w:tr2bl w:val="nil"/>
                  </w:tcBorders>
                  <w:vAlign w:val="center"/>
                </w:tcPr>
                <w:p w14:paraId="4D5E19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48.6</w:t>
                  </w:r>
                </w:p>
              </w:tc>
              <w:tc>
                <w:tcPr>
                  <w:tcW w:w="768" w:type="pct"/>
                  <w:tcBorders>
                    <w:tl2br w:val="nil"/>
                    <w:tr2bl w:val="nil"/>
                  </w:tcBorders>
                  <w:vAlign w:val="center"/>
                </w:tcPr>
                <w:p w14:paraId="6BC91C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kern w:val="2"/>
                      <w:sz w:val="21"/>
                      <w:szCs w:val="21"/>
                      <w:highlight w:val="none"/>
                      <w:lang w:val="en-US" w:eastAsia="zh-CN" w:bidi="ar-SA"/>
                    </w:rPr>
                    <w:t>41.3</w:t>
                  </w:r>
                </w:p>
              </w:tc>
            </w:tr>
            <w:tr w14:paraId="33EFC5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1EAC9D4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w:t>
                  </w:r>
                </w:p>
              </w:tc>
              <w:tc>
                <w:tcPr>
                  <w:tcW w:w="1483" w:type="pct"/>
                  <w:tcBorders>
                    <w:tl2br w:val="nil"/>
                    <w:tr2bl w:val="nil"/>
                  </w:tcBorders>
                  <w:vAlign w:val="center"/>
                </w:tcPr>
                <w:p w14:paraId="5854AEF0">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DZ3#风机机组平台</w:t>
                  </w:r>
                </w:p>
              </w:tc>
              <w:tc>
                <w:tcPr>
                  <w:tcW w:w="768" w:type="pct"/>
                  <w:tcBorders>
                    <w:tl2br w:val="nil"/>
                    <w:tr2bl w:val="nil"/>
                  </w:tcBorders>
                  <w:vAlign w:val="center"/>
                </w:tcPr>
                <w:p w14:paraId="1C5C9E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6B15C9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41.8</w:t>
                  </w:r>
                </w:p>
              </w:tc>
              <w:tc>
                <w:tcPr>
                  <w:tcW w:w="768" w:type="pct"/>
                  <w:tcBorders>
                    <w:tl2br w:val="nil"/>
                    <w:tr2bl w:val="nil"/>
                  </w:tcBorders>
                  <w:vAlign w:val="center"/>
                </w:tcPr>
                <w:p w14:paraId="531BC0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kern w:val="2"/>
                      <w:sz w:val="21"/>
                      <w:szCs w:val="21"/>
                      <w:highlight w:val="none"/>
                      <w:shd w:val="clear" w:color="auto" w:fill="auto"/>
                      <w:lang w:val="en-US" w:eastAsia="zh-CN" w:bidi="ar-SA"/>
                    </w:rPr>
                    <w:t>49.2</w:t>
                  </w:r>
                </w:p>
              </w:tc>
              <w:tc>
                <w:tcPr>
                  <w:tcW w:w="768" w:type="pct"/>
                  <w:tcBorders>
                    <w:tl2br w:val="nil"/>
                    <w:tr2bl w:val="nil"/>
                  </w:tcBorders>
                  <w:vAlign w:val="center"/>
                </w:tcPr>
                <w:p w14:paraId="3FC2D2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kern w:val="2"/>
                      <w:sz w:val="21"/>
                      <w:szCs w:val="21"/>
                      <w:highlight w:val="none"/>
                      <w:lang w:val="en-US" w:eastAsia="zh-CN" w:bidi="ar-SA"/>
                    </w:rPr>
                    <w:t>42.5</w:t>
                  </w:r>
                </w:p>
              </w:tc>
            </w:tr>
            <w:tr w14:paraId="58E3AC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52A90F4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N4</w:t>
                  </w:r>
                </w:p>
              </w:tc>
              <w:tc>
                <w:tcPr>
                  <w:tcW w:w="1483" w:type="pct"/>
                  <w:tcBorders>
                    <w:tl2br w:val="nil"/>
                    <w:tr2bl w:val="nil"/>
                  </w:tcBorders>
                  <w:vAlign w:val="center"/>
                </w:tcPr>
                <w:p w14:paraId="2953172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DZ4#风机机组平台</w:t>
                  </w:r>
                </w:p>
              </w:tc>
              <w:tc>
                <w:tcPr>
                  <w:tcW w:w="768" w:type="pct"/>
                  <w:tcBorders>
                    <w:tl2br w:val="nil"/>
                    <w:tr2bl w:val="nil"/>
                  </w:tcBorders>
                  <w:vAlign w:val="center"/>
                </w:tcPr>
                <w:p w14:paraId="5BE017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49.1</w:t>
                  </w:r>
                </w:p>
              </w:tc>
              <w:tc>
                <w:tcPr>
                  <w:tcW w:w="768" w:type="pct"/>
                  <w:tcBorders>
                    <w:tl2br w:val="nil"/>
                    <w:tr2bl w:val="nil"/>
                  </w:tcBorders>
                  <w:vAlign w:val="center"/>
                </w:tcPr>
                <w:p w14:paraId="17ECD5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kern w:val="2"/>
                      <w:sz w:val="21"/>
                      <w:szCs w:val="21"/>
                      <w:highlight w:val="none"/>
                      <w:shd w:val="clear" w:color="auto" w:fill="auto"/>
                      <w:lang w:val="en-US" w:eastAsia="zh-CN" w:bidi="ar-SA"/>
                    </w:rPr>
                    <w:t>42.3</w:t>
                  </w:r>
                </w:p>
              </w:tc>
              <w:tc>
                <w:tcPr>
                  <w:tcW w:w="768" w:type="pct"/>
                  <w:tcBorders>
                    <w:tl2br w:val="nil"/>
                    <w:tr2bl w:val="nil"/>
                  </w:tcBorders>
                  <w:vAlign w:val="center"/>
                </w:tcPr>
                <w:p w14:paraId="38C2E6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kern w:val="2"/>
                      <w:sz w:val="21"/>
                      <w:szCs w:val="21"/>
                      <w:highlight w:val="none"/>
                      <w:shd w:val="clear" w:color="auto" w:fill="auto"/>
                      <w:lang w:val="en-US" w:eastAsia="zh-CN" w:bidi="ar-SA"/>
                    </w:rPr>
                    <w:t>50.1</w:t>
                  </w:r>
                </w:p>
              </w:tc>
              <w:tc>
                <w:tcPr>
                  <w:tcW w:w="768" w:type="pct"/>
                  <w:tcBorders>
                    <w:tl2br w:val="nil"/>
                    <w:tr2bl w:val="nil"/>
                  </w:tcBorders>
                  <w:vAlign w:val="center"/>
                </w:tcPr>
                <w:p w14:paraId="238408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kern w:val="2"/>
                      <w:sz w:val="21"/>
                      <w:szCs w:val="21"/>
                      <w:highlight w:val="none"/>
                      <w:lang w:val="en-US" w:eastAsia="zh-CN" w:bidi="ar-SA"/>
                    </w:rPr>
                    <w:t>42.3</w:t>
                  </w:r>
                </w:p>
              </w:tc>
            </w:tr>
            <w:tr w14:paraId="293474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31D0C6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N5</w:t>
                  </w:r>
                </w:p>
              </w:tc>
              <w:tc>
                <w:tcPr>
                  <w:tcW w:w="1483" w:type="pct"/>
                  <w:tcBorders>
                    <w:tl2br w:val="nil"/>
                    <w:tr2bl w:val="nil"/>
                  </w:tcBorders>
                  <w:vAlign w:val="center"/>
                </w:tcPr>
                <w:p w14:paraId="44DF2D35">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DZ5#风机机组平台</w:t>
                  </w:r>
                </w:p>
              </w:tc>
              <w:tc>
                <w:tcPr>
                  <w:tcW w:w="768" w:type="pct"/>
                  <w:tcBorders>
                    <w:tl2br w:val="nil"/>
                    <w:tr2bl w:val="nil"/>
                  </w:tcBorders>
                  <w:vAlign w:val="center"/>
                </w:tcPr>
                <w:p w14:paraId="76051D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48B8DA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43.2</w:t>
                  </w:r>
                </w:p>
              </w:tc>
              <w:tc>
                <w:tcPr>
                  <w:tcW w:w="768" w:type="pct"/>
                  <w:tcBorders>
                    <w:tl2br w:val="nil"/>
                    <w:tr2bl w:val="nil"/>
                  </w:tcBorders>
                  <w:vAlign w:val="center"/>
                </w:tcPr>
                <w:p w14:paraId="5BDF45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49.9</w:t>
                  </w:r>
                </w:p>
              </w:tc>
              <w:tc>
                <w:tcPr>
                  <w:tcW w:w="768" w:type="pct"/>
                  <w:tcBorders>
                    <w:tl2br w:val="nil"/>
                    <w:tr2bl w:val="nil"/>
                  </w:tcBorders>
                  <w:vAlign w:val="center"/>
                </w:tcPr>
                <w:p w14:paraId="109F7E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42.1</w:t>
                  </w:r>
                </w:p>
              </w:tc>
            </w:tr>
            <w:tr w14:paraId="369284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F05E29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N6</w:t>
                  </w:r>
                </w:p>
              </w:tc>
              <w:tc>
                <w:tcPr>
                  <w:tcW w:w="1483" w:type="pct"/>
                  <w:tcBorders>
                    <w:tl2br w:val="nil"/>
                    <w:tr2bl w:val="nil"/>
                  </w:tcBorders>
                  <w:vAlign w:val="center"/>
                </w:tcPr>
                <w:p w14:paraId="5C937FA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DZ6#风机机组平台</w:t>
                  </w:r>
                </w:p>
              </w:tc>
              <w:tc>
                <w:tcPr>
                  <w:tcW w:w="768" w:type="pct"/>
                  <w:tcBorders>
                    <w:tl2br w:val="nil"/>
                    <w:tr2bl w:val="nil"/>
                  </w:tcBorders>
                  <w:vAlign w:val="center"/>
                </w:tcPr>
                <w:p w14:paraId="273320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081496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05D63E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5D9FB5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41.4</w:t>
                  </w:r>
                </w:p>
              </w:tc>
            </w:tr>
            <w:tr w14:paraId="4F88B6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00DE1614">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N7</w:t>
                  </w:r>
                </w:p>
              </w:tc>
              <w:tc>
                <w:tcPr>
                  <w:tcW w:w="1483" w:type="pct"/>
                  <w:tcBorders>
                    <w:tl2br w:val="nil"/>
                    <w:tr2bl w:val="nil"/>
                  </w:tcBorders>
                  <w:vAlign w:val="center"/>
                </w:tcPr>
                <w:p w14:paraId="0CB8395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DZ7#风机机组平台</w:t>
                  </w:r>
                </w:p>
              </w:tc>
              <w:tc>
                <w:tcPr>
                  <w:tcW w:w="768" w:type="pct"/>
                  <w:tcBorders>
                    <w:tl2br w:val="nil"/>
                    <w:tr2bl w:val="nil"/>
                  </w:tcBorders>
                  <w:vAlign w:val="center"/>
                </w:tcPr>
                <w:p w14:paraId="5A43E0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20DFB1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42.6</w:t>
                  </w:r>
                </w:p>
              </w:tc>
              <w:tc>
                <w:tcPr>
                  <w:tcW w:w="768" w:type="pct"/>
                  <w:tcBorders>
                    <w:tl2br w:val="nil"/>
                    <w:tr2bl w:val="nil"/>
                  </w:tcBorders>
                  <w:vAlign w:val="center"/>
                </w:tcPr>
                <w:p w14:paraId="4C9319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5D4FC6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41.3</w:t>
                  </w:r>
                </w:p>
              </w:tc>
            </w:tr>
            <w:tr w14:paraId="70AD0F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78C03F4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N8</w:t>
                  </w:r>
                </w:p>
              </w:tc>
              <w:tc>
                <w:tcPr>
                  <w:tcW w:w="1483" w:type="pct"/>
                  <w:tcBorders>
                    <w:tl2br w:val="nil"/>
                    <w:tr2bl w:val="nil"/>
                  </w:tcBorders>
                  <w:vAlign w:val="center"/>
                </w:tcPr>
                <w:p w14:paraId="1085FED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DZ8#风机机组平台</w:t>
                  </w:r>
                </w:p>
              </w:tc>
              <w:tc>
                <w:tcPr>
                  <w:tcW w:w="768" w:type="pct"/>
                  <w:tcBorders>
                    <w:tl2br w:val="nil"/>
                    <w:tr2bl w:val="nil"/>
                  </w:tcBorders>
                  <w:vAlign w:val="center"/>
                </w:tcPr>
                <w:p w14:paraId="52757D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48.7</w:t>
                  </w:r>
                </w:p>
              </w:tc>
              <w:tc>
                <w:tcPr>
                  <w:tcW w:w="768" w:type="pct"/>
                  <w:tcBorders>
                    <w:tl2br w:val="nil"/>
                    <w:tr2bl w:val="nil"/>
                  </w:tcBorders>
                  <w:vAlign w:val="center"/>
                </w:tcPr>
                <w:p w14:paraId="26AB24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41.3</w:t>
                  </w:r>
                </w:p>
              </w:tc>
              <w:tc>
                <w:tcPr>
                  <w:tcW w:w="768" w:type="pct"/>
                  <w:tcBorders>
                    <w:tl2br w:val="nil"/>
                    <w:tr2bl w:val="nil"/>
                  </w:tcBorders>
                  <w:vAlign w:val="center"/>
                </w:tcPr>
                <w:p w14:paraId="2DEA52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49.6</w:t>
                  </w:r>
                </w:p>
              </w:tc>
              <w:tc>
                <w:tcPr>
                  <w:tcW w:w="768" w:type="pct"/>
                  <w:tcBorders>
                    <w:tl2br w:val="nil"/>
                    <w:tr2bl w:val="nil"/>
                  </w:tcBorders>
                  <w:vAlign w:val="center"/>
                </w:tcPr>
                <w:p w14:paraId="35B636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41.9</w:t>
                  </w:r>
                </w:p>
              </w:tc>
            </w:tr>
            <w:tr w14:paraId="7D870C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9E4C4E3">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N9</w:t>
                  </w:r>
                </w:p>
              </w:tc>
              <w:tc>
                <w:tcPr>
                  <w:tcW w:w="1483" w:type="pct"/>
                  <w:tcBorders>
                    <w:tl2br w:val="nil"/>
                    <w:tr2bl w:val="nil"/>
                  </w:tcBorders>
                  <w:vAlign w:val="center"/>
                </w:tcPr>
                <w:p w14:paraId="47321AC6">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DZ9#风机机组平台</w:t>
                  </w:r>
                </w:p>
              </w:tc>
              <w:tc>
                <w:tcPr>
                  <w:tcW w:w="768" w:type="pct"/>
                  <w:tcBorders>
                    <w:tl2br w:val="nil"/>
                    <w:tr2bl w:val="nil"/>
                  </w:tcBorders>
                  <w:vAlign w:val="center"/>
                </w:tcPr>
                <w:p w14:paraId="128A5B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49.2</w:t>
                  </w:r>
                </w:p>
              </w:tc>
              <w:tc>
                <w:tcPr>
                  <w:tcW w:w="768" w:type="pct"/>
                  <w:tcBorders>
                    <w:tl2br w:val="nil"/>
                    <w:tr2bl w:val="nil"/>
                  </w:tcBorders>
                  <w:vAlign w:val="center"/>
                </w:tcPr>
                <w:p w14:paraId="13C159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41.5</w:t>
                  </w:r>
                </w:p>
              </w:tc>
              <w:tc>
                <w:tcPr>
                  <w:tcW w:w="768" w:type="pct"/>
                  <w:tcBorders>
                    <w:tl2br w:val="nil"/>
                    <w:tr2bl w:val="nil"/>
                  </w:tcBorders>
                  <w:vAlign w:val="center"/>
                </w:tcPr>
                <w:p w14:paraId="2B6176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50.1</w:t>
                  </w:r>
                </w:p>
              </w:tc>
              <w:tc>
                <w:tcPr>
                  <w:tcW w:w="768" w:type="pct"/>
                  <w:tcBorders>
                    <w:tl2br w:val="nil"/>
                    <w:tr2bl w:val="nil"/>
                  </w:tcBorders>
                  <w:vAlign w:val="center"/>
                </w:tcPr>
                <w:p w14:paraId="461422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42.5</w:t>
                  </w:r>
                </w:p>
              </w:tc>
            </w:tr>
            <w:tr w14:paraId="7B7713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2DDB95F7">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N10</w:t>
                  </w:r>
                </w:p>
              </w:tc>
              <w:tc>
                <w:tcPr>
                  <w:tcW w:w="1483" w:type="pct"/>
                  <w:tcBorders>
                    <w:tl2br w:val="nil"/>
                    <w:tr2bl w:val="nil"/>
                  </w:tcBorders>
                  <w:vAlign w:val="center"/>
                </w:tcPr>
                <w:p w14:paraId="279D32C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DZ10#风机机组平台</w:t>
                  </w:r>
                </w:p>
              </w:tc>
              <w:tc>
                <w:tcPr>
                  <w:tcW w:w="768" w:type="pct"/>
                  <w:tcBorders>
                    <w:tl2br w:val="nil"/>
                    <w:tr2bl w:val="nil"/>
                  </w:tcBorders>
                  <w:vAlign w:val="center"/>
                </w:tcPr>
                <w:p w14:paraId="365BC2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48.3</w:t>
                  </w:r>
                </w:p>
              </w:tc>
              <w:tc>
                <w:tcPr>
                  <w:tcW w:w="768" w:type="pct"/>
                  <w:tcBorders>
                    <w:tl2br w:val="nil"/>
                    <w:tr2bl w:val="nil"/>
                  </w:tcBorders>
                  <w:vAlign w:val="center"/>
                </w:tcPr>
                <w:p w14:paraId="03AE92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42.1</w:t>
                  </w:r>
                </w:p>
              </w:tc>
              <w:tc>
                <w:tcPr>
                  <w:tcW w:w="768" w:type="pct"/>
                  <w:tcBorders>
                    <w:tl2br w:val="nil"/>
                    <w:tr2bl w:val="nil"/>
                  </w:tcBorders>
                  <w:vAlign w:val="center"/>
                </w:tcPr>
                <w:p w14:paraId="73EA82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49.5</w:t>
                  </w:r>
                </w:p>
              </w:tc>
              <w:tc>
                <w:tcPr>
                  <w:tcW w:w="768" w:type="pct"/>
                  <w:tcBorders>
                    <w:tl2br w:val="nil"/>
                    <w:tr2bl w:val="nil"/>
                  </w:tcBorders>
                  <w:vAlign w:val="center"/>
                </w:tcPr>
                <w:p w14:paraId="226EDE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42.2</w:t>
                  </w:r>
                </w:p>
              </w:tc>
            </w:tr>
            <w:tr w14:paraId="1E5917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CE0BE25">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N11</w:t>
                  </w:r>
                </w:p>
              </w:tc>
              <w:tc>
                <w:tcPr>
                  <w:tcW w:w="1483" w:type="pct"/>
                  <w:tcBorders>
                    <w:tl2br w:val="nil"/>
                    <w:tr2bl w:val="nil"/>
                  </w:tcBorders>
                  <w:vAlign w:val="center"/>
                </w:tcPr>
                <w:p w14:paraId="2F74A69A">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DZ11#风机机组平台</w:t>
                  </w:r>
                </w:p>
              </w:tc>
              <w:tc>
                <w:tcPr>
                  <w:tcW w:w="768" w:type="pct"/>
                  <w:tcBorders>
                    <w:tl2br w:val="nil"/>
                    <w:tr2bl w:val="nil"/>
                  </w:tcBorders>
                  <w:vAlign w:val="center"/>
                </w:tcPr>
                <w:p w14:paraId="341BA1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48.6</w:t>
                  </w:r>
                </w:p>
              </w:tc>
              <w:tc>
                <w:tcPr>
                  <w:tcW w:w="768" w:type="pct"/>
                  <w:tcBorders>
                    <w:tl2br w:val="nil"/>
                    <w:tr2bl w:val="nil"/>
                  </w:tcBorders>
                  <w:vAlign w:val="center"/>
                </w:tcPr>
                <w:p w14:paraId="7DD5AC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41.7</w:t>
                  </w:r>
                </w:p>
              </w:tc>
              <w:tc>
                <w:tcPr>
                  <w:tcW w:w="768" w:type="pct"/>
                  <w:tcBorders>
                    <w:tl2br w:val="nil"/>
                    <w:tr2bl w:val="nil"/>
                  </w:tcBorders>
                  <w:vAlign w:val="center"/>
                </w:tcPr>
                <w:p w14:paraId="3266A6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167931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41.5</w:t>
                  </w:r>
                </w:p>
              </w:tc>
            </w:tr>
            <w:tr w14:paraId="22687E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BABD9A5">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N12</w:t>
                  </w:r>
                </w:p>
              </w:tc>
              <w:tc>
                <w:tcPr>
                  <w:tcW w:w="1483" w:type="pct"/>
                  <w:tcBorders>
                    <w:tl2br w:val="nil"/>
                    <w:tr2bl w:val="nil"/>
                  </w:tcBorders>
                  <w:vAlign w:val="center"/>
                </w:tcPr>
                <w:p w14:paraId="330EF0B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DZ12#风机机组平台</w:t>
                  </w:r>
                </w:p>
              </w:tc>
              <w:tc>
                <w:tcPr>
                  <w:tcW w:w="768" w:type="pct"/>
                  <w:tcBorders>
                    <w:tl2br w:val="nil"/>
                    <w:tr2bl w:val="nil"/>
                  </w:tcBorders>
                  <w:vAlign w:val="center"/>
                </w:tcPr>
                <w:p w14:paraId="3E022B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4E7330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42.8</w:t>
                  </w:r>
                </w:p>
              </w:tc>
              <w:tc>
                <w:tcPr>
                  <w:tcW w:w="768" w:type="pct"/>
                  <w:tcBorders>
                    <w:tl2br w:val="nil"/>
                    <w:tr2bl w:val="nil"/>
                  </w:tcBorders>
                  <w:vAlign w:val="center"/>
                </w:tcPr>
                <w:p w14:paraId="4E1DE6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49.7</w:t>
                  </w:r>
                </w:p>
              </w:tc>
              <w:tc>
                <w:tcPr>
                  <w:tcW w:w="768" w:type="pct"/>
                  <w:tcBorders>
                    <w:tl2br w:val="nil"/>
                    <w:tr2bl w:val="nil"/>
                  </w:tcBorders>
                  <w:vAlign w:val="center"/>
                </w:tcPr>
                <w:p w14:paraId="5C8D13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42.6</w:t>
                  </w:r>
                </w:p>
              </w:tc>
            </w:tr>
            <w:tr w14:paraId="308157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0AD8101D">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N13</w:t>
                  </w:r>
                </w:p>
              </w:tc>
              <w:tc>
                <w:tcPr>
                  <w:tcW w:w="1483" w:type="pct"/>
                  <w:tcBorders>
                    <w:tl2br w:val="nil"/>
                    <w:tr2bl w:val="nil"/>
                  </w:tcBorders>
                  <w:vAlign w:val="center"/>
                </w:tcPr>
                <w:p w14:paraId="622F7D69">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DZ14#风机机组平台</w:t>
                  </w:r>
                </w:p>
              </w:tc>
              <w:tc>
                <w:tcPr>
                  <w:tcW w:w="768" w:type="pct"/>
                  <w:tcBorders>
                    <w:tl2br w:val="nil"/>
                    <w:tr2bl w:val="nil"/>
                  </w:tcBorders>
                  <w:vAlign w:val="center"/>
                </w:tcPr>
                <w:p w14:paraId="7E361A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402417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42.5</w:t>
                  </w:r>
                </w:p>
              </w:tc>
              <w:tc>
                <w:tcPr>
                  <w:tcW w:w="768" w:type="pct"/>
                  <w:tcBorders>
                    <w:tl2br w:val="nil"/>
                    <w:tr2bl w:val="nil"/>
                  </w:tcBorders>
                  <w:vAlign w:val="center"/>
                </w:tcPr>
                <w:p w14:paraId="403E38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50.5</w:t>
                  </w:r>
                </w:p>
              </w:tc>
              <w:tc>
                <w:tcPr>
                  <w:tcW w:w="768" w:type="pct"/>
                  <w:tcBorders>
                    <w:tl2br w:val="nil"/>
                    <w:tr2bl w:val="nil"/>
                  </w:tcBorders>
                  <w:vAlign w:val="center"/>
                </w:tcPr>
                <w:p w14:paraId="149F35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42.9</w:t>
                  </w:r>
                </w:p>
              </w:tc>
            </w:tr>
            <w:tr w14:paraId="71A18F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5E2B95F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N14</w:t>
                  </w:r>
                </w:p>
              </w:tc>
              <w:tc>
                <w:tcPr>
                  <w:tcW w:w="1483" w:type="pct"/>
                  <w:tcBorders>
                    <w:tl2br w:val="nil"/>
                    <w:tr2bl w:val="nil"/>
                  </w:tcBorders>
                  <w:vAlign w:val="center"/>
                </w:tcPr>
                <w:p w14:paraId="6F9046C3">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DZ15#风机机组平台</w:t>
                  </w:r>
                </w:p>
              </w:tc>
              <w:tc>
                <w:tcPr>
                  <w:tcW w:w="768" w:type="pct"/>
                  <w:tcBorders>
                    <w:tl2br w:val="nil"/>
                    <w:tr2bl w:val="nil"/>
                  </w:tcBorders>
                  <w:vAlign w:val="center"/>
                </w:tcPr>
                <w:p w14:paraId="76D89E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49.4</w:t>
                  </w:r>
                </w:p>
              </w:tc>
              <w:tc>
                <w:tcPr>
                  <w:tcW w:w="768" w:type="pct"/>
                  <w:tcBorders>
                    <w:tl2br w:val="nil"/>
                    <w:tr2bl w:val="nil"/>
                  </w:tcBorders>
                  <w:vAlign w:val="center"/>
                </w:tcPr>
                <w:p w14:paraId="4CF9D66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41.9</w:t>
                  </w:r>
                </w:p>
              </w:tc>
              <w:tc>
                <w:tcPr>
                  <w:tcW w:w="768" w:type="pct"/>
                  <w:tcBorders>
                    <w:tl2br w:val="nil"/>
                    <w:tr2bl w:val="nil"/>
                  </w:tcBorders>
                  <w:vAlign w:val="center"/>
                </w:tcPr>
                <w:p w14:paraId="70248E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49.8</w:t>
                  </w:r>
                </w:p>
              </w:tc>
              <w:tc>
                <w:tcPr>
                  <w:tcW w:w="768" w:type="pct"/>
                  <w:tcBorders>
                    <w:tl2br w:val="nil"/>
                    <w:tr2bl w:val="nil"/>
                  </w:tcBorders>
                  <w:vAlign w:val="center"/>
                </w:tcPr>
                <w:p w14:paraId="3450FB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41.9</w:t>
                  </w:r>
                </w:p>
              </w:tc>
            </w:tr>
            <w:tr w14:paraId="2C5698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9D7852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N15</w:t>
                  </w:r>
                </w:p>
              </w:tc>
              <w:tc>
                <w:tcPr>
                  <w:tcW w:w="1483" w:type="pct"/>
                  <w:tcBorders>
                    <w:tl2br w:val="nil"/>
                    <w:tr2bl w:val="nil"/>
                  </w:tcBorders>
                  <w:vAlign w:val="center"/>
                </w:tcPr>
                <w:p w14:paraId="05BDB35E">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DZ16#风机机组平台</w:t>
                  </w:r>
                </w:p>
              </w:tc>
              <w:tc>
                <w:tcPr>
                  <w:tcW w:w="768" w:type="pct"/>
                  <w:tcBorders>
                    <w:tl2br w:val="nil"/>
                    <w:tr2bl w:val="nil"/>
                  </w:tcBorders>
                  <w:vAlign w:val="center"/>
                </w:tcPr>
                <w:p w14:paraId="50E26F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48.7</w:t>
                  </w:r>
                </w:p>
              </w:tc>
              <w:tc>
                <w:tcPr>
                  <w:tcW w:w="768" w:type="pct"/>
                  <w:tcBorders>
                    <w:tl2br w:val="nil"/>
                    <w:tr2bl w:val="nil"/>
                  </w:tcBorders>
                  <w:vAlign w:val="center"/>
                </w:tcPr>
                <w:p w14:paraId="72BC63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42.1</w:t>
                  </w:r>
                </w:p>
              </w:tc>
              <w:tc>
                <w:tcPr>
                  <w:tcW w:w="768" w:type="pct"/>
                  <w:tcBorders>
                    <w:tl2br w:val="nil"/>
                    <w:tr2bl w:val="nil"/>
                  </w:tcBorders>
                  <w:vAlign w:val="center"/>
                </w:tcPr>
                <w:p w14:paraId="4E1CDF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49.6</w:t>
                  </w:r>
                </w:p>
              </w:tc>
              <w:tc>
                <w:tcPr>
                  <w:tcW w:w="768" w:type="pct"/>
                  <w:tcBorders>
                    <w:tl2br w:val="nil"/>
                    <w:tr2bl w:val="nil"/>
                  </w:tcBorders>
                  <w:vAlign w:val="center"/>
                </w:tcPr>
                <w:p w14:paraId="723A7D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42.7</w:t>
                  </w:r>
                </w:p>
              </w:tc>
            </w:tr>
            <w:tr w14:paraId="061D2B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38D4DA1">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N16</w:t>
                  </w:r>
                </w:p>
              </w:tc>
              <w:tc>
                <w:tcPr>
                  <w:tcW w:w="1483" w:type="pct"/>
                  <w:tcBorders>
                    <w:tl2br w:val="nil"/>
                    <w:tr2bl w:val="nil"/>
                  </w:tcBorders>
                  <w:vAlign w:val="center"/>
                </w:tcPr>
                <w:p w14:paraId="09EFE5A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DZ17#风机机组平台</w:t>
                  </w:r>
                </w:p>
              </w:tc>
              <w:tc>
                <w:tcPr>
                  <w:tcW w:w="768" w:type="pct"/>
                  <w:tcBorders>
                    <w:tl2br w:val="nil"/>
                    <w:tr2bl w:val="nil"/>
                  </w:tcBorders>
                  <w:vAlign w:val="center"/>
                </w:tcPr>
                <w:p w14:paraId="33EA18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2CAE4B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42.7</w:t>
                  </w:r>
                </w:p>
              </w:tc>
              <w:tc>
                <w:tcPr>
                  <w:tcW w:w="768" w:type="pct"/>
                  <w:tcBorders>
                    <w:tl2br w:val="nil"/>
                    <w:tr2bl w:val="nil"/>
                  </w:tcBorders>
                  <w:vAlign w:val="center"/>
                </w:tcPr>
                <w:p w14:paraId="384F0E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189F10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41.3</w:t>
                  </w:r>
                </w:p>
              </w:tc>
            </w:tr>
            <w:tr w14:paraId="3E31B7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13B9AD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N17</w:t>
                  </w:r>
                </w:p>
              </w:tc>
              <w:tc>
                <w:tcPr>
                  <w:tcW w:w="1483" w:type="pct"/>
                  <w:tcBorders>
                    <w:tl2br w:val="nil"/>
                    <w:tr2bl w:val="nil"/>
                  </w:tcBorders>
                  <w:vAlign w:val="center"/>
                </w:tcPr>
                <w:p w14:paraId="6423093C">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DZ18#风机机组平台</w:t>
                  </w:r>
                </w:p>
              </w:tc>
              <w:tc>
                <w:tcPr>
                  <w:tcW w:w="768" w:type="pct"/>
                  <w:tcBorders>
                    <w:tl2br w:val="nil"/>
                    <w:tr2bl w:val="nil"/>
                  </w:tcBorders>
                  <w:vAlign w:val="center"/>
                </w:tcPr>
                <w:p w14:paraId="513F52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49.3</w:t>
                  </w:r>
                </w:p>
              </w:tc>
              <w:tc>
                <w:tcPr>
                  <w:tcW w:w="768" w:type="pct"/>
                  <w:tcBorders>
                    <w:tl2br w:val="nil"/>
                    <w:tr2bl w:val="nil"/>
                  </w:tcBorders>
                  <w:vAlign w:val="center"/>
                </w:tcPr>
                <w:p w14:paraId="672CD7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41.2</w:t>
                  </w:r>
                </w:p>
              </w:tc>
              <w:tc>
                <w:tcPr>
                  <w:tcW w:w="768" w:type="pct"/>
                  <w:tcBorders>
                    <w:tl2br w:val="nil"/>
                    <w:tr2bl w:val="nil"/>
                  </w:tcBorders>
                  <w:vAlign w:val="center"/>
                </w:tcPr>
                <w:p w14:paraId="17F818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0E19C2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41.8</w:t>
                  </w:r>
                </w:p>
              </w:tc>
            </w:tr>
            <w:tr w14:paraId="4F5D61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E5DB87B">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N18</w:t>
                  </w:r>
                </w:p>
              </w:tc>
              <w:tc>
                <w:tcPr>
                  <w:tcW w:w="1483" w:type="pct"/>
                  <w:tcBorders>
                    <w:tl2br w:val="nil"/>
                    <w:tr2bl w:val="nil"/>
                  </w:tcBorders>
                  <w:vAlign w:val="center"/>
                </w:tcPr>
                <w:p w14:paraId="281D367F">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DZ19#风机机组平台</w:t>
                  </w:r>
                </w:p>
              </w:tc>
              <w:tc>
                <w:tcPr>
                  <w:tcW w:w="768" w:type="pct"/>
                  <w:tcBorders>
                    <w:tl2br w:val="nil"/>
                    <w:tr2bl w:val="nil"/>
                  </w:tcBorders>
                  <w:vAlign w:val="center"/>
                </w:tcPr>
                <w:p w14:paraId="7A97F1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48.7</w:t>
                  </w:r>
                </w:p>
              </w:tc>
              <w:tc>
                <w:tcPr>
                  <w:tcW w:w="768" w:type="pct"/>
                  <w:tcBorders>
                    <w:tl2br w:val="nil"/>
                    <w:tr2bl w:val="nil"/>
                  </w:tcBorders>
                  <w:vAlign w:val="center"/>
                </w:tcPr>
                <w:p w14:paraId="5FAD18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42.9</w:t>
                  </w:r>
                </w:p>
              </w:tc>
              <w:tc>
                <w:tcPr>
                  <w:tcW w:w="768" w:type="pct"/>
                  <w:tcBorders>
                    <w:tl2br w:val="nil"/>
                    <w:tr2bl w:val="nil"/>
                  </w:tcBorders>
                  <w:vAlign w:val="center"/>
                </w:tcPr>
                <w:p w14:paraId="4F9484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48.9</w:t>
                  </w:r>
                </w:p>
              </w:tc>
              <w:tc>
                <w:tcPr>
                  <w:tcW w:w="768" w:type="pct"/>
                  <w:tcBorders>
                    <w:tl2br w:val="nil"/>
                    <w:tr2bl w:val="nil"/>
                  </w:tcBorders>
                  <w:vAlign w:val="center"/>
                </w:tcPr>
                <w:p w14:paraId="1C2E81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41.8</w:t>
                  </w:r>
                </w:p>
              </w:tc>
            </w:tr>
            <w:tr w14:paraId="6C9EFF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10087C2">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N19</w:t>
                  </w:r>
                </w:p>
              </w:tc>
              <w:tc>
                <w:tcPr>
                  <w:tcW w:w="1483" w:type="pct"/>
                  <w:tcBorders>
                    <w:tl2br w:val="nil"/>
                    <w:tr2bl w:val="nil"/>
                  </w:tcBorders>
                  <w:vAlign w:val="center"/>
                </w:tcPr>
                <w:p w14:paraId="4447B81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DZ20#风机机组平台</w:t>
                  </w:r>
                </w:p>
              </w:tc>
              <w:tc>
                <w:tcPr>
                  <w:tcW w:w="768" w:type="pct"/>
                  <w:tcBorders>
                    <w:tl2br w:val="nil"/>
                    <w:tr2bl w:val="nil"/>
                  </w:tcBorders>
                  <w:vAlign w:val="center"/>
                </w:tcPr>
                <w:p w14:paraId="7B782A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48.6</w:t>
                  </w:r>
                </w:p>
              </w:tc>
              <w:tc>
                <w:tcPr>
                  <w:tcW w:w="768" w:type="pct"/>
                  <w:tcBorders>
                    <w:tl2br w:val="nil"/>
                    <w:tr2bl w:val="nil"/>
                  </w:tcBorders>
                  <w:vAlign w:val="center"/>
                </w:tcPr>
                <w:p w14:paraId="0B9F81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083A99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50.1</w:t>
                  </w:r>
                </w:p>
              </w:tc>
              <w:tc>
                <w:tcPr>
                  <w:tcW w:w="768" w:type="pct"/>
                  <w:tcBorders>
                    <w:tl2br w:val="nil"/>
                    <w:tr2bl w:val="nil"/>
                  </w:tcBorders>
                  <w:vAlign w:val="center"/>
                </w:tcPr>
                <w:p w14:paraId="01F02F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21"/>
                      <w:szCs w:val="21"/>
                      <w:u w:val="none"/>
                    </w:rPr>
                  </w:pPr>
                  <w:r>
                    <w:rPr>
                      <w:rFonts w:hint="eastAsia" w:ascii="Times New Roman" w:hAnsi="Times New Roman" w:eastAsia="宋体" w:cs="Times New Roman"/>
                      <w:b w:val="0"/>
                      <w:bCs/>
                      <w:sz w:val="21"/>
                      <w:szCs w:val="21"/>
                      <w:highlight w:val="none"/>
                      <w:lang w:val="en-US" w:eastAsia="zh-CN"/>
                    </w:rPr>
                    <w:t>41.2</w:t>
                  </w:r>
                </w:p>
              </w:tc>
            </w:tr>
            <w:tr w14:paraId="213486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3A2D9C1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N20</w:t>
                  </w:r>
                </w:p>
              </w:tc>
              <w:tc>
                <w:tcPr>
                  <w:tcW w:w="1483" w:type="pct"/>
                  <w:tcBorders>
                    <w:tl2br w:val="nil"/>
                    <w:tr2bl w:val="nil"/>
                  </w:tcBorders>
                  <w:vAlign w:val="center"/>
                </w:tcPr>
                <w:p w14:paraId="0A8B40C2">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DZ21#风机机组平台</w:t>
                  </w:r>
                </w:p>
              </w:tc>
              <w:tc>
                <w:tcPr>
                  <w:tcW w:w="768" w:type="pct"/>
                  <w:tcBorders>
                    <w:tl2br w:val="nil"/>
                    <w:tr2bl w:val="nil"/>
                  </w:tcBorders>
                  <w:vAlign w:val="center"/>
                </w:tcPr>
                <w:p w14:paraId="54AA21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49.3</w:t>
                  </w:r>
                </w:p>
              </w:tc>
              <w:tc>
                <w:tcPr>
                  <w:tcW w:w="768" w:type="pct"/>
                  <w:tcBorders>
                    <w:tl2br w:val="nil"/>
                    <w:tr2bl w:val="nil"/>
                  </w:tcBorders>
                  <w:vAlign w:val="center"/>
                </w:tcPr>
                <w:p w14:paraId="13A3AC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42.4</w:t>
                  </w:r>
                </w:p>
              </w:tc>
              <w:tc>
                <w:tcPr>
                  <w:tcW w:w="768" w:type="pct"/>
                  <w:tcBorders>
                    <w:tl2br w:val="nil"/>
                    <w:tr2bl w:val="nil"/>
                  </w:tcBorders>
                  <w:vAlign w:val="center"/>
                </w:tcPr>
                <w:p w14:paraId="07FB29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636FE6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40.9</w:t>
                  </w:r>
                </w:p>
              </w:tc>
            </w:tr>
            <w:tr w14:paraId="679588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502C9F0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N21</w:t>
                  </w:r>
                </w:p>
              </w:tc>
              <w:tc>
                <w:tcPr>
                  <w:tcW w:w="1483" w:type="pct"/>
                  <w:tcBorders>
                    <w:tl2br w:val="nil"/>
                    <w:tr2bl w:val="nil"/>
                  </w:tcBorders>
                  <w:vAlign w:val="center"/>
                </w:tcPr>
                <w:p w14:paraId="2776AAFD">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DZ22#风机机组平台</w:t>
                  </w:r>
                </w:p>
              </w:tc>
              <w:tc>
                <w:tcPr>
                  <w:tcW w:w="768" w:type="pct"/>
                  <w:tcBorders>
                    <w:tl2br w:val="nil"/>
                    <w:tr2bl w:val="nil"/>
                  </w:tcBorders>
                  <w:vAlign w:val="center"/>
                </w:tcPr>
                <w:p w14:paraId="777EA3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20A449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41.6</w:t>
                  </w:r>
                </w:p>
              </w:tc>
              <w:tc>
                <w:tcPr>
                  <w:tcW w:w="768" w:type="pct"/>
                  <w:tcBorders>
                    <w:tl2br w:val="nil"/>
                    <w:tr2bl w:val="nil"/>
                  </w:tcBorders>
                  <w:vAlign w:val="center"/>
                </w:tcPr>
                <w:p w14:paraId="7EEAB5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268454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40.8</w:t>
                  </w:r>
                </w:p>
              </w:tc>
            </w:tr>
            <w:tr w14:paraId="0E452B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43260C3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N22</w:t>
                  </w:r>
                </w:p>
              </w:tc>
              <w:tc>
                <w:tcPr>
                  <w:tcW w:w="1483" w:type="pct"/>
                  <w:tcBorders>
                    <w:tl2br w:val="nil"/>
                    <w:tr2bl w:val="nil"/>
                  </w:tcBorders>
                  <w:vAlign w:val="center"/>
                </w:tcPr>
                <w:p w14:paraId="1AA19B89">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DZ23#风机机组平台</w:t>
                  </w:r>
                </w:p>
              </w:tc>
              <w:tc>
                <w:tcPr>
                  <w:tcW w:w="768" w:type="pct"/>
                  <w:tcBorders>
                    <w:tl2br w:val="nil"/>
                    <w:tr2bl w:val="nil"/>
                  </w:tcBorders>
                  <w:vAlign w:val="center"/>
                </w:tcPr>
                <w:p w14:paraId="6F2448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576DA6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41.8</w:t>
                  </w:r>
                </w:p>
              </w:tc>
              <w:tc>
                <w:tcPr>
                  <w:tcW w:w="768" w:type="pct"/>
                  <w:tcBorders>
                    <w:tl2br w:val="nil"/>
                    <w:tr2bl w:val="nil"/>
                  </w:tcBorders>
                  <w:vAlign w:val="center"/>
                </w:tcPr>
                <w:p w14:paraId="1FC591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color w:val="000000"/>
                      <w:sz w:val="21"/>
                      <w:szCs w:val="21"/>
                      <w:highlight w:val="none"/>
                      <w:shd w:val="clear" w:color="auto" w:fill="auto"/>
                      <w:lang w:val="en-US" w:eastAsia="zh-CN"/>
                    </w:rPr>
                    <w:t>49.8</w:t>
                  </w:r>
                </w:p>
              </w:tc>
              <w:tc>
                <w:tcPr>
                  <w:tcW w:w="768" w:type="pct"/>
                  <w:tcBorders>
                    <w:tl2br w:val="nil"/>
                    <w:tr2bl w:val="nil"/>
                  </w:tcBorders>
                  <w:vAlign w:val="center"/>
                </w:tcPr>
                <w:p w14:paraId="0CD7FF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kern w:val="2"/>
                      <w:sz w:val="21"/>
                      <w:szCs w:val="21"/>
                      <w:u w:val="none"/>
                      <w:lang w:val="en-US" w:eastAsia="zh-CN" w:bidi="ar-SA"/>
                    </w:rPr>
                  </w:pPr>
                  <w:r>
                    <w:rPr>
                      <w:rFonts w:hint="eastAsia" w:ascii="Times New Roman" w:hAnsi="Times New Roman" w:eastAsia="宋体" w:cs="Times New Roman"/>
                      <w:b w:val="0"/>
                      <w:bCs/>
                      <w:sz w:val="21"/>
                      <w:szCs w:val="21"/>
                      <w:highlight w:val="none"/>
                      <w:lang w:val="en-US" w:eastAsia="zh-CN"/>
                    </w:rPr>
                    <w:t>41.5</w:t>
                  </w:r>
                </w:p>
              </w:tc>
            </w:tr>
            <w:tr w14:paraId="6D98FF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146A7EF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N23</w:t>
                  </w:r>
                </w:p>
              </w:tc>
              <w:tc>
                <w:tcPr>
                  <w:tcW w:w="1483" w:type="pct"/>
                  <w:tcBorders>
                    <w:tl2br w:val="nil"/>
                    <w:tr2bl w:val="nil"/>
                  </w:tcBorders>
                  <w:vAlign w:val="center"/>
                </w:tcPr>
                <w:p w14:paraId="19BAC91F">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DZ24#风机机组平台</w:t>
                  </w:r>
                </w:p>
              </w:tc>
              <w:tc>
                <w:tcPr>
                  <w:tcW w:w="768" w:type="pct"/>
                  <w:tcBorders>
                    <w:tl2br w:val="nil"/>
                    <w:tr2bl w:val="nil"/>
                  </w:tcBorders>
                  <w:vAlign w:val="center"/>
                </w:tcPr>
                <w:p w14:paraId="525015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49.6</w:t>
                  </w:r>
                </w:p>
              </w:tc>
              <w:tc>
                <w:tcPr>
                  <w:tcW w:w="768" w:type="pct"/>
                  <w:tcBorders>
                    <w:tl2br w:val="nil"/>
                    <w:tr2bl w:val="nil"/>
                  </w:tcBorders>
                  <w:vAlign w:val="center"/>
                </w:tcPr>
                <w:p w14:paraId="79FBE4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42.8</w:t>
                  </w:r>
                </w:p>
              </w:tc>
              <w:tc>
                <w:tcPr>
                  <w:tcW w:w="768" w:type="pct"/>
                  <w:tcBorders>
                    <w:tl2br w:val="nil"/>
                    <w:tr2bl w:val="nil"/>
                  </w:tcBorders>
                  <w:vAlign w:val="center"/>
                </w:tcPr>
                <w:p w14:paraId="59EDF1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3E7834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40.9</w:t>
                  </w:r>
                </w:p>
              </w:tc>
            </w:tr>
            <w:tr w14:paraId="557A66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443" w:type="pct"/>
                  <w:tcBorders>
                    <w:tl2br w:val="nil"/>
                    <w:tr2bl w:val="nil"/>
                  </w:tcBorders>
                  <w:vAlign w:val="center"/>
                </w:tcPr>
                <w:p w14:paraId="6CF724D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N24</w:t>
                  </w:r>
                </w:p>
              </w:tc>
              <w:tc>
                <w:tcPr>
                  <w:tcW w:w="1483" w:type="pct"/>
                  <w:tcBorders>
                    <w:tl2br w:val="nil"/>
                    <w:tr2bl w:val="nil"/>
                  </w:tcBorders>
                  <w:vAlign w:val="center"/>
                </w:tcPr>
                <w:p w14:paraId="2D4FBD4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升压站东面厂界</w:t>
                  </w:r>
                </w:p>
              </w:tc>
              <w:tc>
                <w:tcPr>
                  <w:tcW w:w="768" w:type="pct"/>
                  <w:tcBorders>
                    <w:tl2br w:val="nil"/>
                    <w:tr2bl w:val="nil"/>
                  </w:tcBorders>
                  <w:vAlign w:val="center"/>
                </w:tcPr>
                <w:p w14:paraId="063504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542CEF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41.8</w:t>
                  </w:r>
                </w:p>
              </w:tc>
              <w:tc>
                <w:tcPr>
                  <w:tcW w:w="768" w:type="pct"/>
                  <w:tcBorders>
                    <w:tl2br w:val="nil"/>
                    <w:tr2bl w:val="nil"/>
                  </w:tcBorders>
                  <w:vAlign w:val="center"/>
                </w:tcPr>
                <w:p w14:paraId="09405C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6AAF90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41.8</w:t>
                  </w:r>
                </w:p>
              </w:tc>
            </w:tr>
            <w:tr w14:paraId="4A985A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08F7C3C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N25</w:t>
                  </w:r>
                </w:p>
              </w:tc>
              <w:tc>
                <w:tcPr>
                  <w:tcW w:w="1483" w:type="pct"/>
                  <w:tcBorders>
                    <w:tl2br w:val="nil"/>
                    <w:tr2bl w:val="nil"/>
                  </w:tcBorders>
                  <w:vAlign w:val="center"/>
                </w:tcPr>
                <w:p w14:paraId="4716F2B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升压站南面厂界</w:t>
                  </w:r>
                </w:p>
              </w:tc>
              <w:tc>
                <w:tcPr>
                  <w:tcW w:w="768" w:type="pct"/>
                  <w:tcBorders>
                    <w:tl2br w:val="nil"/>
                    <w:tr2bl w:val="nil"/>
                  </w:tcBorders>
                  <w:vAlign w:val="center"/>
                </w:tcPr>
                <w:p w14:paraId="799F4E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48.6</w:t>
                  </w:r>
                </w:p>
              </w:tc>
              <w:tc>
                <w:tcPr>
                  <w:tcW w:w="768" w:type="pct"/>
                  <w:tcBorders>
                    <w:tl2br w:val="nil"/>
                    <w:tr2bl w:val="nil"/>
                  </w:tcBorders>
                  <w:vAlign w:val="center"/>
                </w:tcPr>
                <w:p w14:paraId="6B9A57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667598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743A1F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41.9</w:t>
                  </w:r>
                </w:p>
              </w:tc>
            </w:tr>
            <w:tr w14:paraId="2619CF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54F2210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N26</w:t>
                  </w:r>
                </w:p>
              </w:tc>
              <w:tc>
                <w:tcPr>
                  <w:tcW w:w="1483" w:type="pct"/>
                  <w:tcBorders>
                    <w:tl2br w:val="nil"/>
                    <w:tr2bl w:val="nil"/>
                  </w:tcBorders>
                  <w:vAlign w:val="center"/>
                </w:tcPr>
                <w:p w14:paraId="471FFDD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升压站西面厂界</w:t>
                  </w:r>
                </w:p>
              </w:tc>
              <w:tc>
                <w:tcPr>
                  <w:tcW w:w="768" w:type="pct"/>
                  <w:tcBorders>
                    <w:tl2br w:val="nil"/>
                    <w:tr2bl w:val="nil"/>
                  </w:tcBorders>
                  <w:vAlign w:val="center"/>
                </w:tcPr>
                <w:p w14:paraId="2347B6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46A56A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41.9</w:t>
                  </w:r>
                </w:p>
              </w:tc>
              <w:tc>
                <w:tcPr>
                  <w:tcW w:w="768" w:type="pct"/>
                  <w:tcBorders>
                    <w:tl2br w:val="nil"/>
                    <w:tr2bl w:val="nil"/>
                  </w:tcBorders>
                  <w:vAlign w:val="center"/>
                </w:tcPr>
                <w:p w14:paraId="100008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0E5521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42.5</w:t>
                  </w:r>
                </w:p>
              </w:tc>
            </w:tr>
            <w:tr w14:paraId="535997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2F61747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N27</w:t>
                  </w:r>
                </w:p>
              </w:tc>
              <w:tc>
                <w:tcPr>
                  <w:tcW w:w="1483" w:type="pct"/>
                  <w:tcBorders>
                    <w:tl2br w:val="nil"/>
                    <w:tr2bl w:val="nil"/>
                  </w:tcBorders>
                  <w:vAlign w:val="center"/>
                </w:tcPr>
                <w:p w14:paraId="53CEEA58">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升压站北面厂界</w:t>
                  </w:r>
                </w:p>
              </w:tc>
              <w:tc>
                <w:tcPr>
                  <w:tcW w:w="768" w:type="pct"/>
                  <w:tcBorders>
                    <w:tl2br w:val="nil"/>
                    <w:tr2bl w:val="nil"/>
                  </w:tcBorders>
                  <w:vAlign w:val="center"/>
                </w:tcPr>
                <w:p w14:paraId="30D78E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1430FB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41.7</w:t>
                  </w:r>
                </w:p>
              </w:tc>
              <w:tc>
                <w:tcPr>
                  <w:tcW w:w="768" w:type="pct"/>
                  <w:tcBorders>
                    <w:tl2br w:val="nil"/>
                    <w:tr2bl w:val="nil"/>
                  </w:tcBorders>
                  <w:vAlign w:val="center"/>
                </w:tcPr>
                <w:p w14:paraId="333514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20E760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42.6</w:t>
                  </w:r>
                </w:p>
              </w:tc>
            </w:tr>
            <w:tr w14:paraId="08AE9B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78EF561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u w:val="none"/>
                      <w:lang w:val="en-US" w:eastAsia="zh-CN"/>
                    </w:rPr>
                    <w:t>N28</w:t>
                  </w:r>
                </w:p>
              </w:tc>
              <w:tc>
                <w:tcPr>
                  <w:tcW w:w="1483" w:type="pct"/>
                  <w:tcBorders>
                    <w:tl2br w:val="nil"/>
                    <w:tr2bl w:val="nil"/>
                  </w:tcBorders>
                  <w:vAlign w:val="center"/>
                </w:tcPr>
                <w:p w14:paraId="421E8780">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color w:val="FF0000"/>
                      <w:kern w:val="2"/>
                      <w:sz w:val="21"/>
                      <w:szCs w:val="21"/>
                      <w:u w:val="none"/>
                      <w:lang w:val="en-US" w:eastAsia="zh-CN" w:bidi="ar-SA"/>
                    </w:rPr>
                  </w:pPr>
                  <w:r>
                    <w:rPr>
                      <w:rFonts w:hint="eastAsia"/>
                      <w:b w:val="0"/>
                      <w:bCs w:val="0"/>
                      <w:color w:val="FF0000"/>
                      <w:sz w:val="21"/>
                      <w:szCs w:val="21"/>
                      <w:lang w:val="en-US" w:eastAsia="zh-CN"/>
                    </w:rPr>
                    <w:t>马禾塘居</w:t>
                  </w:r>
                  <w:r>
                    <w:rPr>
                      <w:rFonts w:hint="default" w:ascii="Times New Roman" w:hAnsi="Times New Roman" w:cs="Times New Roman"/>
                      <w:b w:val="0"/>
                      <w:bCs w:val="0"/>
                      <w:color w:val="FF0000"/>
                      <w:sz w:val="21"/>
                      <w:szCs w:val="21"/>
                      <w:lang w:val="en-US" w:eastAsia="zh-CN"/>
                    </w:rPr>
                    <w:t>民</w:t>
                  </w:r>
                </w:p>
              </w:tc>
              <w:tc>
                <w:tcPr>
                  <w:tcW w:w="768" w:type="pct"/>
                  <w:tcBorders>
                    <w:tl2br w:val="nil"/>
                    <w:tr2bl w:val="nil"/>
                  </w:tcBorders>
                  <w:vAlign w:val="center"/>
                </w:tcPr>
                <w:p w14:paraId="43F4F0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48.5</w:t>
                  </w:r>
                </w:p>
              </w:tc>
              <w:tc>
                <w:tcPr>
                  <w:tcW w:w="768" w:type="pct"/>
                  <w:tcBorders>
                    <w:tl2br w:val="nil"/>
                    <w:tr2bl w:val="nil"/>
                  </w:tcBorders>
                  <w:vAlign w:val="center"/>
                </w:tcPr>
                <w:p w14:paraId="5C9596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41.6</w:t>
                  </w:r>
                </w:p>
              </w:tc>
              <w:tc>
                <w:tcPr>
                  <w:tcW w:w="768" w:type="pct"/>
                  <w:tcBorders>
                    <w:tl2br w:val="nil"/>
                    <w:tr2bl w:val="nil"/>
                  </w:tcBorders>
                  <w:vAlign w:val="center"/>
                </w:tcPr>
                <w:p w14:paraId="6F8CA1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shd w:val="clear" w:color="auto" w:fill="auto"/>
                      <w:lang w:val="en-US" w:eastAsia="zh-CN"/>
                    </w:rPr>
                    <w:t>49.2</w:t>
                  </w:r>
                </w:p>
              </w:tc>
              <w:tc>
                <w:tcPr>
                  <w:tcW w:w="768" w:type="pct"/>
                  <w:tcBorders>
                    <w:tl2br w:val="nil"/>
                    <w:tr2bl w:val="nil"/>
                  </w:tcBorders>
                  <w:vAlign w:val="center"/>
                </w:tcPr>
                <w:p w14:paraId="313781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FF0000"/>
                      <w:sz w:val="21"/>
                      <w:szCs w:val="21"/>
                      <w:u w:val="none"/>
                    </w:rPr>
                  </w:pPr>
                  <w:r>
                    <w:rPr>
                      <w:rFonts w:hint="eastAsia" w:ascii="Times New Roman" w:hAnsi="Times New Roman" w:eastAsia="宋体" w:cs="Times New Roman"/>
                      <w:b w:val="0"/>
                      <w:bCs/>
                      <w:color w:val="FF0000"/>
                      <w:sz w:val="21"/>
                      <w:szCs w:val="21"/>
                      <w:highlight w:val="none"/>
                      <w:lang w:val="en-US" w:eastAsia="zh-CN"/>
                    </w:rPr>
                    <w:t>41.7</w:t>
                  </w:r>
                </w:p>
              </w:tc>
            </w:tr>
            <w:tr w14:paraId="4693C4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14E4003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N29</w:t>
                  </w:r>
                </w:p>
              </w:tc>
              <w:tc>
                <w:tcPr>
                  <w:tcW w:w="1483" w:type="pct"/>
                  <w:tcBorders>
                    <w:tl2br w:val="nil"/>
                    <w:tr2bl w:val="nil"/>
                  </w:tcBorders>
                  <w:vAlign w:val="center"/>
                </w:tcPr>
                <w:p w14:paraId="22D143EB">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刘家湾居民</w:t>
                  </w:r>
                </w:p>
              </w:tc>
              <w:tc>
                <w:tcPr>
                  <w:tcW w:w="768" w:type="pct"/>
                  <w:tcBorders>
                    <w:tl2br w:val="nil"/>
                    <w:tr2bl w:val="nil"/>
                  </w:tcBorders>
                  <w:vAlign w:val="center"/>
                </w:tcPr>
                <w:p w14:paraId="1303D4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1B094B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42.1</w:t>
                  </w:r>
                </w:p>
              </w:tc>
              <w:tc>
                <w:tcPr>
                  <w:tcW w:w="768" w:type="pct"/>
                  <w:tcBorders>
                    <w:tl2br w:val="nil"/>
                    <w:tr2bl w:val="nil"/>
                  </w:tcBorders>
                  <w:vAlign w:val="center"/>
                </w:tcPr>
                <w:p w14:paraId="346CA1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48.9</w:t>
                  </w:r>
                </w:p>
              </w:tc>
              <w:tc>
                <w:tcPr>
                  <w:tcW w:w="768" w:type="pct"/>
                  <w:tcBorders>
                    <w:tl2br w:val="nil"/>
                    <w:tr2bl w:val="nil"/>
                  </w:tcBorders>
                  <w:vAlign w:val="center"/>
                </w:tcPr>
                <w:p w14:paraId="01D59C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r>
            <w:tr w14:paraId="6E332D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53EDB04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N30</w:t>
                  </w:r>
                </w:p>
              </w:tc>
              <w:tc>
                <w:tcPr>
                  <w:tcW w:w="1483" w:type="pct"/>
                  <w:tcBorders>
                    <w:tl2br w:val="nil"/>
                    <w:tr2bl w:val="nil"/>
                  </w:tcBorders>
                  <w:vAlign w:val="center"/>
                </w:tcPr>
                <w:p w14:paraId="19BE591F">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江河里居民</w:t>
                  </w:r>
                </w:p>
              </w:tc>
              <w:tc>
                <w:tcPr>
                  <w:tcW w:w="768" w:type="pct"/>
                  <w:tcBorders>
                    <w:tl2br w:val="nil"/>
                    <w:tr2bl w:val="nil"/>
                  </w:tcBorders>
                  <w:vAlign w:val="center"/>
                </w:tcPr>
                <w:p w14:paraId="62AE0D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49.1</w:t>
                  </w:r>
                </w:p>
              </w:tc>
              <w:tc>
                <w:tcPr>
                  <w:tcW w:w="768" w:type="pct"/>
                  <w:tcBorders>
                    <w:tl2br w:val="nil"/>
                    <w:tr2bl w:val="nil"/>
                  </w:tcBorders>
                  <w:vAlign w:val="center"/>
                </w:tcPr>
                <w:p w14:paraId="32082E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42.3</w:t>
                  </w:r>
                </w:p>
              </w:tc>
              <w:tc>
                <w:tcPr>
                  <w:tcW w:w="768" w:type="pct"/>
                  <w:tcBorders>
                    <w:tl2br w:val="nil"/>
                    <w:tr2bl w:val="nil"/>
                  </w:tcBorders>
                  <w:vAlign w:val="center"/>
                </w:tcPr>
                <w:p w14:paraId="6FC265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48.5</w:t>
                  </w:r>
                </w:p>
              </w:tc>
              <w:tc>
                <w:tcPr>
                  <w:tcW w:w="768" w:type="pct"/>
                  <w:tcBorders>
                    <w:tl2br w:val="nil"/>
                    <w:tr2bl w:val="nil"/>
                  </w:tcBorders>
                  <w:vAlign w:val="center"/>
                </w:tcPr>
                <w:p w14:paraId="692841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40.9</w:t>
                  </w:r>
                </w:p>
              </w:tc>
            </w:tr>
            <w:tr w14:paraId="30C5BE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60082C2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N31</w:t>
                  </w:r>
                </w:p>
              </w:tc>
              <w:tc>
                <w:tcPr>
                  <w:tcW w:w="1483" w:type="pct"/>
                  <w:tcBorders>
                    <w:tl2br w:val="nil"/>
                    <w:tr2bl w:val="nil"/>
                  </w:tcBorders>
                  <w:vAlign w:val="center"/>
                </w:tcPr>
                <w:p w14:paraId="7509655D">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乌龟冲居民</w:t>
                  </w:r>
                </w:p>
              </w:tc>
              <w:tc>
                <w:tcPr>
                  <w:tcW w:w="768" w:type="pct"/>
                  <w:tcBorders>
                    <w:tl2br w:val="nil"/>
                    <w:tr2bl w:val="nil"/>
                  </w:tcBorders>
                  <w:vAlign w:val="center"/>
                </w:tcPr>
                <w:p w14:paraId="31725C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380267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c>
                <w:tcPr>
                  <w:tcW w:w="768" w:type="pct"/>
                  <w:tcBorders>
                    <w:tl2br w:val="nil"/>
                    <w:tr2bl w:val="nil"/>
                  </w:tcBorders>
                  <w:vAlign w:val="center"/>
                </w:tcPr>
                <w:p w14:paraId="289FFC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49.2</w:t>
                  </w:r>
                </w:p>
              </w:tc>
              <w:tc>
                <w:tcPr>
                  <w:tcW w:w="768" w:type="pct"/>
                  <w:tcBorders>
                    <w:tl2br w:val="nil"/>
                    <w:tr2bl w:val="nil"/>
                  </w:tcBorders>
                  <w:vAlign w:val="center"/>
                </w:tcPr>
                <w:p w14:paraId="6F8774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41.5</w:t>
                  </w:r>
                </w:p>
              </w:tc>
            </w:tr>
            <w:tr w14:paraId="1CD067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14:paraId="49D381A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u w:val="none"/>
                      <w:lang w:val="en-US" w:eastAsia="zh-CN" w:bidi="ar-SA"/>
                    </w:rPr>
                  </w:pPr>
                  <w:r>
                    <w:rPr>
                      <w:rFonts w:hint="eastAsia"/>
                      <w:b w:val="0"/>
                      <w:bCs w:val="0"/>
                      <w:sz w:val="21"/>
                      <w:szCs w:val="21"/>
                      <w:u w:val="none"/>
                      <w:lang w:val="en-US" w:eastAsia="zh-CN"/>
                    </w:rPr>
                    <w:t>N32</w:t>
                  </w:r>
                </w:p>
              </w:tc>
              <w:tc>
                <w:tcPr>
                  <w:tcW w:w="1483" w:type="pct"/>
                  <w:tcBorders>
                    <w:tl2br w:val="nil"/>
                    <w:tr2bl w:val="nil"/>
                  </w:tcBorders>
                  <w:vAlign w:val="center"/>
                </w:tcPr>
                <w:p w14:paraId="3E7FB1EA">
                  <w:pPr>
                    <w:keepNext w:val="0"/>
                    <w:keepLines w:val="0"/>
                    <w:pageBreakBefore w:val="0"/>
                    <w:widowControl w:val="0"/>
                    <w:kinsoku/>
                    <w:wordWrap/>
                    <w:overflowPunct/>
                    <w:topLinePunct w:val="0"/>
                    <w:autoSpaceDE/>
                    <w:autoSpaceDN/>
                    <w:bidi w:val="0"/>
                    <w:spacing w:line="240" w:lineRule="auto"/>
                    <w:jc w:val="center"/>
                    <w:textAlignment w:val="auto"/>
                    <w:rPr>
                      <w:rFonts w:ascii="Times New Roman" w:hAnsi="Times New Roman" w:eastAsia="宋体" w:cs="Times New Roman"/>
                      <w:b w:val="0"/>
                      <w:bCs w:val="0"/>
                      <w:kern w:val="2"/>
                      <w:sz w:val="21"/>
                      <w:szCs w:val="21"/>
                      <w:u w:val="none"/>
                      <w:lang w:val="en-US" w:eastAsia="zh-CN" w:bidi="ar-SA"/>
                    </w:rPr>
                  </w:pPr>
                  <w:r>
                    <w:rPr>
                      <w:rFonts w:hint="eastAsia"/>
                      <w:b w:val="0"/>
                      <w:bCs w:val="0"/>
                      <w:color w:val="auto"/>
                      <w:sz w:val="21"/>
                      <w:szCs w:val="21"/>
                      <w:lang w:val="en-US" w:eastAsia="zh-CN"/>
                    </w:rPr>
                    <w:t>坪里居民</w:t>
                  </w:r>
                </w:p>
              </w:tc>
              <w:tc>
                <w:tcPr>
                  <w:tcW w:w="768" w:type="pct"/>
                  <w:tcBorders>
                    <w:tl2br w:val="nil"/>
                    <w:tr2bl w:val="nil"/>
                  </w:tcBorders>
                  <w:vAlign w:val="center"/>
                </w:tcPr>
                <w:p w14:paraId="2457B7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49.5</w:t>
                  </w:r>
                </w:p>
              </w:tc>
              <w:tc>
                <w:tcPr>
                  <w:tcW w:w="768" w:type="pct"/>
                  <w:tcBorders>
                    <w:tl2br w:val="nil"/>
                    <w:tr2bl w:val="nil"/>
                  </w:tcBorders>
                  <w:vAlign w:val="center"/>
                </w:tcPr>
                <w:p w14:paraId="639B63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42.1</w:t>
                  </w:r>
                </w:p>
              </w:tc>
              <w:tc>
                <w:tcPr>
                  <w:tcW w:w="768" w:type="pct"/>
                  <w:tcBorders>
                    <w:tl2br w:val="nil"/>
                    <w:tr2bl w:val="nil"/>
                  </w:tcBorders>
                  <w:vAlign w:val="center"/>
                </w:tcPr>
                <w:p w14:paraId="1A6676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color w:val="000000"/>
                      <w:sz w:val="21"/>
                      <w:szCs w:val="21"/>
                      <w:highlight w:val="none"/>
                      <w:shd w:val="clear" w:color="auto" w:fill="auto"/>
                      <w:lang w:val="en-US" w:eastAsia="zh-CN"/>
                    </w:rPr>
                    <w:t>48.8</w:t>
                  </w:r>
                </w:p>
              </w:tc>
              <w:tc>
                <w:tcPr>
                  <w:tcW w:w="768" w:type="pct"/>
                  <w:tcBorders>
                    <w:tl2br w:val="nil"/>
                    <w:tr2bl w:val="nil"/>
                  </w:tcBorders>
                  <w:vAlign w:val="center"/>
                </w:tcPr>
                <w:p w14:paraId="781945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1"/>
                      <w:szCs w:val="21"/>
                      <w:u w:val="none"/>
                    </w:rPr>
                  </w:pPr>
                  <w:r>
                    <w:rPr>
                      <w:rFonts w:hint="eastAsia" w:ascii="Times New Roman" w:hAnsi="Times New Roman" w:eastAsia="宋体" w:cs="Times New Roman"/>
                      <w:b w:val="0"/>
                      <w:bCs/>
                      <w:sz w:val="21"/>
                      <w:szCs w:val="21"/>
                      <w:highlight w:val="none"/>
                      <w:lang w:val="en-US" w:eastAsia="zh-CN"/>
                    </w:rPr>
                    <w:t>40.8</w:t>
                  </w:r>
                </w:p>
              </w:tc>
            </w:tr>
            <w:tr w14:paraId="647CB5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926" w:type="pct"/>
                  <w:gridSpan w:val="2"/>
                  <w:tcBorders>
                    <w:tl2br w:val="nil"/>
                    <w:tr2bl w:val="nil"/>
                  </w:tcBorders>
                  <w:vAlign w:val="center"/>
                </w:tcPr>
                <w:p w14:paraId="4B085A76">
                  <w:pPr>
                    <w:keepNext w:val="0"/>
                    <w:keepLines w:val="0"/>
                    <w:pageBreakBefore w:val="0"/>
                    <w:widowControl w:val="0"/>
                    <w:kinsoku/>
                    <w:wordWrap/>
                    <w:overflowPunct/>
                    <w:topLinePunct w:val="0"/>
                    <w:autoSpaceDE/>
                    <w:autoSpaceDN/>
                    <w:bidi w:val="0"/>
                    <w:spacing w:line="240" w:lineRule="auto"/>
                    <w:jc w:val="center"/>
                    <w:textAlignment w:val="auto"/>
                    <w:rPr>
                      <w:rFonts w:hint="default"/>
                      <w:b w:val="0"/>
                      <w:bCs w:val="0"/>
                      <w:color w:val="auto"/>
                      <w:sz w:val="21"/>
                      <w:szCs w:val="21"/>
                      <w:lang w:val="en-US" w:eastAsia="zh-CN"/>
                    </w:rPr>
                  </w:pPr>
                  <w:r>
                    <w:rPr>
                      <w:rFonts w:hint="eastAsia"/>
                      <w:b w:val="0"/>
                      <w:bCs w:val="0"/>
                      <w:sz w:val="21"/>
                      <w:szCs w:val="21"/>
                      <w:u w:val="none"/>
                      <w:lang w:val="en-US" w:eastAsia="zh-CN"/>
                    </w:rPr>
                    <w:t>《声环境质量标准》（GB3096-2008）2类区</w:t>
                  </w:r>
                </w:p>
              </w:tc>
              <w:tc>
                <w:tcPr>
                  <w:tcW w:w="768" w:type="pct"/>
                  <w:tcBorders>
                    <w:tl2br w:val="nil"/>
                    <w:tr2bl w:val="nil"/>
                  </w:tcBorders>
                  <w:vAlign w:val="center"/>
                </w:tcPr>
                <w:p w14:paraId="7AE8D4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highlight w:val="none"/>
                      <w:shd w:val="clear" w:color="auto" w:fill="auto"/>
                      <w:lang w:val="en-US" w:eastAsia="zh-CN"/>
                    </w:rPr>
                  </w:pPr>
                  <w:r>
                    <w:rPr>
                      <w:rFonts w:hint="eastAsia" w:ascii="Times New Roman" w:hAnsi="Times New Roman" w:eastAsia="宋体" w:cs="Times New Roman"/>
                      <w:b w:val="0"/>
                      <w:bCs/>
                      <w:color w:val="000000"/>
                      <w:sz w:val="21"/>
                      <w:szCs w:val="21"/>
                      <w:highlight w:val="none"/>
                      <w:shd w:val="clear" w:color="auto" w:fill="auto"/>
                      <w:lang w:val="en-US" w:eastAsia="zh-CN"/>
                    </w:rPr>
                    <w:t>60</w:t>
                  </w:r>
                </w:p>
              </w:tc>
              <w:tc>
                <w:tcPr>
                  <w:tcW w:w="768" w:type="pct"/>
                  <w:tcBorders>
                    <w:tl2br w:val="nil"/>
                    <w:tr2bl w:val="nil"/>
                  </w:tcBorders>
                  <w:vAlign w:val="center"/>
                </w:tcPr>
                <w:p w14:paraId="293405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50</w:t>
                  </w:r>
                </w:p>
              </w:tc>
              <w:tc>
                <w:tcPr>
                  <w:tcW w:w="768" w:type="pct"/>
                  <w:tcBorders>
                    <w:tl2br w:val="nil"/>
                    <w:tr2bl w:val="nil"/>
                  </w:tcBorders>
                  <w:vAlign w:val="center"/>
                </w:tcPr>
                <w:p w14:paraId="0C3A3C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highlight w:val="none"/>
                      <w:shd w:val="clear" w:color="auto" w:fill="auto"/>
                      <w:lang w:val="en-US" w:eastAsia="zh-CN"/>
                    </w:rPr>
                  </w:pPr>
                  <w:r>
                    <w:rPr>
                      <w:rFonts w:hint="eastAsia" w:ascii="Times New Roman" w:hAnsi="Times New Roman" w:eastAsia="宋体" w:cs="Times New Roman"/>
                      <w:b w:val="0"/>
                      <w:bCs/>
                      <w:color w:val="000000"/>
                      <w:sz w:val="21"/>
                      <w:szCs w:val="21"/>
                      <w:highlight w:val="none"/>
                      <w:shd w:val="clear" w:color="auto" w:fill="auto"/>
                      <w:lang w:val="en-US" w:eastAsia="zh-CN"/>
                    </w:rPr>
                    <w:t>60</w:t>
                  </w:r>
                </w:p>
              </w:tc>
              <w:tc>
                <w:tcPr>
                  <w:tcW w:w="768" w:type="pct"/>
                  <w:tcBorders>
                    <w:tl2br w:val="nil"/>
                    <w:tr2bl w:val="nil"/>
                  </w:tcBorders>
                  <w:vAlign w:val="center"/>
                </w:tcPr>
                <w:p w14:paraId="37A893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50</w:t>
                  </w:r>
                </w:p>
              </w:tc>
            </w:tr>
          </w:tbl>
          <w:p w14:paraId="7E8DF30D">
            <w:pPr>
              <w:spacing w:line="360" w:lineRule="auto"/>
              <w:outlineLvl w:val="2"/>
              <w:rPr>
                <w:b/>
                <w:sz w:val="24"/>
                <w:u w:val="none"/>
              </w:rPr>
            </w:pPr>
            <w:r>
              <w:rPr>
                <w:rFonts w:hint="eastAsia"/>
                <w:b/>
                <w:sz w:val="24"/>
                <w:u w:val="none"/>
              </w:rPr>
              <w:t>3.</w:t>
            </w:r>
            <w:r>
              <w:rPr>
                <w:b/>
                <w:sz w:val="24"/>
                <w:u w:val="none"/>
              </w:rPr>
              <w:t>6</w:t>
            </w:r>
            <w:r>
              <w:rPr>
                <w:rFonts w:hint="eastAsia"/>
                <w:b/>
                <w:sz w:val="24"/>
                <w:u w:val="none"/>
              </w:rPr>
              <w:t>土壤及地下水环境现状</w:t>
            </w:r>
          </w:p>
          <w:p w14:paraId="52666ED6">
            <w:pPr>
              <w:pStyle w:val="57"/>
              <w:ind w:left="0" w:leftChars="0" w:right="0" w:rightChars="0" w:firstLine="480"/>
              <w:jc w:val="left"/>
              <w:rPr>
                <w:rFonts w:hAnsi="宋体" w:cs="Times New Roman"/>
                <w:u w:val="none"/>
              </w:rPr>
            </w:pPr>
            <w:r>
              <w:rPr>
                <w:rFonts w:hAnsi="宋体" w:cs="Times New Roman"/>
                <w:u w:val="none"/>
              </w:rPr>
              <w:t>本项目属于风力发电项目，根据《环境影响评价技术导则土壤环境》（试行）（HJ964</w:t>
            </w:r>
            <w:r>
              <w:rPr>
                <w:rFonts w:hint="eastAsia" w:hAnsi="宋体" w:cs="Times New Roman"/>
                <w:u w:val="none"/>
                <w:lang w:val="en-US" w:eastAsia="zh-CN"/>
              </w:rPr>
              <w:t>-</w:t>
            </w:r>
            <w:r>
              <w:rPr>
                <w:rFonts w:hAnsi="宋体" w:cs="Times New Roman"/>
                <w:u w:val="none"/>
              </w:rPr>
              <w:t>018）附录A关于土壤环境影响评价项目类别划分，本项目属于Ⅳ类项目，根据该导则关于土壤环境影响评价工作等级划分要求，本项目无需开展土壤环境影响评价，故本次评价未进行土壤环境现状调查评价。</w:t>
            </w:r>
          </w:p>
          <w:p w14:paraId="0E6802A0">
            <w:pPr>
              <w:pStyle w:val="57"/>
              <w:ind w:left="42" w:right="42" w:firstLine="480"/>
              <w:jc w:val="left"/>
              <w:rPr>
                <w:rFonts w:hAnsi="宋体" w:cs="Times New Roman"/>
                <w:u w:val="none"/>
              </w:rPr>
            </w:pPr>
            <w:r>
              <w:rPr>
                <w:rFonts w:hAnsi="宋体" w:cs="Times New Roman"/>
                <w:u w:val="none"/>
              </w:rPr>
              <w:t>本项目属于风力发电项目，根据《</w:t>
            </w:r>
            <w:r>
              <w:rPr>
                <w:rFonts w:hint="eastAsia" w:hAnsi="宋体" w:cs="Times New Roman"/>
                <w:u w:val="none"/>
              </w:rPr>
              <w:t>环境影响评价技术导则地下水环境</w:t>
            </w:r>
            <w:r>
              <w:rPr>
                <w:rFonts w:hAnsi="宋体" w:cs="Times New Roman"/>
                <w:u w:val="none"/>
              </w:rPr>
              <w:t>》（HJ610</w:t>
            </w:r>
            <w:r>
              <w:rPr>
                <w:rFonts w:hint="eastAsia" w:hAnsi="宋体" w:cs="Times New Roman"/>
                <w:u w:val="none"/>
                <w:lang w:val="en-US" w:eastAsia="zh-CN"/>
              </w:rPr>
              <w:t>-</w:t>
            </w:r>
            <w:r>
              <w:rPr>
                <w:rFonts w:hAnsi="宋体" w:cs="Times New Roman"/>
                <w:u w:val="none"/>
              </w:rPr>
              <w:t>2016）附录A</w:t>
            </w:r>
            <w:r>
              <w:rPr>
                <w:rFonts w:hint="eastAsia" w:hAnsi="宋体" w:cs="Times New Roman"/>
                <w:u w:val="none"/>
              </w:rPr>
              <w:t>地下水环境影响评价行业分类表</w:t>
            </w:r>
            <w:r>
              <w:rPr>
                <w:rFonts w:hAnsi="宋体" w:cs="Times New Roman"/>
                <w:u w:val="none"/>
              </w:rPr>
              <w:t>，本项目属于Ⅳ类项目，根据该导则关于</w:t>
            </w:r>
            <w:r>
              <w:rPr>
                <w:rFonts w:hint="eastAsia" w:hAnsi="宋体" w:cs="Times New Roman"/>
                <w:u w:val="none"/>
              </w:rPr>
              <w:t>地下水</w:t>
            </w:r>
            <w:r>
              <w:rPr>
                <w:rFonts w:hAnsi="宋体" w:cs="Times New Roman"/>
                <w:u w:val="none"/>
              </w:rPr>
              <w:t>环境影响评价工作等级划分要求，本项目无需开展</w:t>
            </w:r>
            <w:r>
              <w:rPr>
                <w:rFonts w:hint="eastAsia" w:hAnsi="宋体" w:cs="Times New Roman"/>
                <w:u w:val="none"/>
              </w:rPr>
              <w:t>地下水</w:t>
            </w:r>
            <w:r>
              <w:rPr>
                <w:rFonts w:hAnsi="宋体" w:cs="Times New Roman"/>
                <w:u w:val="none"/>
              </w:rPr>
              <w:t>环境影响评价，故本次评价未进行</w:t>
            </w:r>
            <w:r>
              <w:rPr>
                <w:rFonts w:hint="eastAsia" w:hAnsi="宋体" w:cs="Times New Roman"/>
                <w:u w:val="none"/>
              </w:rPr>
              <w:t>地下水</w:t>
            </w:r>
            <w:r>
              <w:rPr>
                <w:rFonts w:hAnsi="宋体" w:cs="Times New Roman"/>
                <w:u w:val="none"/>
              </w:rPr>
              <w:t>环境现状调查评价。</w:t>
            </w:r>
          </w:p>
          <w:p w14:paraId="0706CEA9">
            <w:pPr>
              <w:pStyle w:val="57"/>
              <w:ind w:left="0" w:leftChars="0" w:right="42" w:firstLine="0" w:firstLineChars="0"/>
              <w:jc w:val="left"/>
              <w:rPr>
                <w:b/>
                <w:bCs/>
                <w:u w:val="none"/>
              </w:rPr>
            </w:pPr>
            <w:r>
              <w:rPr>
                <w:rFonts w:hint="eastAsia"/>
                <w:b/>
                <w:bCs/>
                <w:u w:val="none"/>
              </w:rPr>
              <w:t>3.</w:t>
            </w:r>
            <w:r>
              <w:rPr>
                <w:b/>
                <w:bCs/>
                <w:u w:val="none"/>
              </w:rPr>
              <w:t>7</w:t>
            </w:r>
            <w:r>
              <w:rPr>
                <w:rFonts w:hint="eastAsia"/>
                <w:b/>
                <w:bCs/>
                <w:u w:val="none"/>
              </w:rPr>
              <w:t>电磁辐射环境现状</w:t>
            </w:r>
          </w:p>
          <w:p w14:paraId="636DDC8E">
            <w:pPr>
              <w:pStyle w:val="57"/>
              <w:ind w:left="42" w:right="42" w:firstLine="480"/>
              <w:jc w:val="left"/>
              <w:rPr>
                <w:bCs/>
                <w:u w:val="none"/>
              </w:rPr>
            </w:pPr>
            <w:r>
              <w:rPr>
                <w:rFonts w:hint="eastAsia" w:hAnsi="宋体" w:cs="Times New Roman"/>
                <w:u w:val="none"/>
              </w:rPr>
              <w:t>根据</w:t>
            </w:r>
            <w:r>
              <w:rPr>
                <w:rFonts w:hint="eastAsia" w:hAnsi="宋体" w:cs="Times New Roman"/>
                <w:u w:val="none"/>
                <w:lang w:val="en-US" w:eastAsia="zh-CN"/>
              </w:rPr>
              <w:t>电磁辐射评价专题，</w:t>
            </w:r>
            <w:r>
              <w:rPr>
                <w:rFonts w:hint="eastAsia" w:cs="Times New Roman"/>
                <w:color w:val="auto"/>
                <w:spacing w:val="-6"/>
                <w:sz w:val="24"/>
                <w:szCs w:val="24"/>
                <w:u w:val="none"/>
                <w:lang w:val="en-US" w:eastAsia="zh-CN"/>
              </w:rPr>
              <w:t>升压站各监测点位</w:t>
            </w:r>
            <w:r>
              <w:rPr>
                <w:rFonts w:hint="eastAsia" w:ascii="Times New Roman" w:hAnsi="Times New Roman" w:eastAsia="宋体" w:cs="Times New Roman"/>
                <w:color w:val="auto"/>
                <w:spacing w:val="-6"/>
                <w:sz w:val="24"/>
                <w:szCs w:val="24"/>
                <w:u w:val="none"/>
                <w:lang w:val="en-US" w:eastAsia="zh-CN"/>
              </w:rPr>
              <w:t>的工频电场监测值为</w:t>
            </w:r>
            <w:r>
              <w:rPr>
                <w:rFonts w:hint="eastAsia" w:cs="Times New Roman"/>
                <w:color w:val="auto"/>
                <w:spacing w:val="-6"/>
                <w:sz w:val="24"/>
                <w:szCs w:val="24"/>
                <w:u w:val="none"/>
                <w:lang w:val="en-US" w:eastAsia="zh-CN"/>
              </w:rPr>
              <w:t>0.4</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0.7</w:t>
            </w:r>
            <w:r>
              <w:rPr>
                <w:rFonts w:hint="eastAsia" w:ascii="Times New Roman" w:hAnsi="Times New Roman" w:eastAsia="宋体" w:cs="Times New Roman"/>
                <w:color w:val="auto"/>
                <w:spacing w:val="-6"/>
                <w:sz w:val="24"/>
                <w:szCs w:val="24"/>
                <w:u w:val="none"/>
                <w:lang w:val="en-US" w:eastAsia="zh-CN"/>
              </w:rPr>
              <w:t>V/m，工频磁场监测值为0.</w:t>
            </w:r>
            <w:r>
              <w:rPr>
                <w:rFonts w:hint="eastAsia" w:cs="Times New Roman"/>
                <w:color w:val="auto"/>
                <w:spacing w:val="-6"/>
                <w:sz w:val="24"/>
                <w:szCs w:val="24"/>
                <w:u w:val="none"/>
                <w:lang w:val="en-US" w:eastAsia="zh-CN"/>
              </w:rPr>
              <w:t>005</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0.009</w:t>
            </w:r>
            <w:r>
              <w:rPr>
                <w:rFonts w:hint="eastAsia" w:ascii="Times New Roman" w:hAnsi="Times New Roman" w:eastAsia="宋体" w:cs="Times New Roman"/>
                <w:color w:val="auto"/>
                <w:spacing w:val="-6"/>
                <w:sz w:val="24"/>
                <w:szCs w:val="24"/>
                <w:u w:val="none"/>
                <w:lang w:val="en-US" w:eastAsia="zh-CN"/>
              </w:rPr>
              <w:t>µT，满足《电磁环境控制限值》（GB8702-2014）</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工频电场强度4000V/m、</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工频磁感应强度100</w:t>
            </w:r>
            <w:r>
              <w:rPr>
                <w:rFonts w:hint="eastAsia" w:ascii="Times New Roman" w:hAnsi="Times New Roman" w:eastAsia="宋体" w:cs="Times New Roman"/>
                <w:color w:val="auto"/>
                <w:spacing w:val="-6"/>
                <w:sz w:val="24"/>
                <w:szCs w:val="24"/>
                <w:u w:val="none"/>
                <w:lang w:eastAsia="zh-CN"/>
              </w:rPr>
              <w:t>μT的限值标准</w:t>
            </w:r>
            <w:r>
              <w:rPr>
                <w:rFonts w:hint="eastAsia" w:ascii="Times New Roman" w:hAnsi="Times New Roman" w:eastAsia="宋体" w:cs="Times New Roman"/>
                <w:color w:val="auto"/>
                <w:spacing w:val="-6"/>
                <w:sz w:val="24"/>
                <w:szCs w:val="24"/>
                <w:u w:val="none"/>
                <w:lang w:val="en-US" w:eastAsia="zh-CN"/>
              </w:rPr>
              <w:t>。</w:t>
            </w:r>
          </w:p>
        </w:tc>
      </w:tr>
      <w:tr w14:paraId="43A558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4" w:type="dxa"/>
            <w:vAlign w:val="center"/>
          </w:tcPr>
          <w:p w14:paraId="3F1E1B20">
            <w:pPr>
              <w:jc w:val="center"/>
              <w:rPr>
                <w:b/>
                <w:bCs/>
                <w:sz w:val="24"/>
                <w:szCs w:val="32"/>
                <w:u w:val="none"/>
              </w:rPr>
            </w:pPr>
            <w:r>
              <w:rPr>
                <w:rFonts w:hint="eastAsia"/>
                <w:b/>
                <w:bCs/>
                <w:sz w:val="24"/>
                <w:szCs w:val="32"/>
                <w:u w:val="none"/>
              </w:rPr>
              <w:t>与项目有关的原有环境污染和生态破坏问题</w:t>
            </w:r>
          </w:p>
        </w:tc>
        <w:tc>
          <w:tcPr>
            <w:tcW w:w="8284" w:type="dxa"/>
            <w:vAlign w:val="center"/>
          </w:tcPr>
          <w:p w14:paraId="4234D16D">
            <w:pPr>
              <w:spacing w:line="360" w:lineRule="auto"/>
              <w:jc w:val="center"/>
              <w:rPr>
                <w:sz w:val="24"/>
                <w:szCs w:val="32"/>
                <w:u w:val="none"/>
              </w:rPr>
            </w:pPr>
            <w:r>
              <w:rPr>
                <w:rFonts w:hint="eastAsia"/>
                <w:b w:val="0"/>
                <w:bCs w:val="0"/>
                <w:sz w:val="24"/>
                <w:szCs w:val="32"/>
                <w:u w:val="none"/>
              </w:rPr>
              <w:t>无</w:t>
            </w:r>
          </w:p>
        </w:tc>
      </w:tr>
      <w:tr w14:paraId="254A20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4" w:type="dxa"/>
            <w:vAlign w:val="center"/>
          </w:tcPr>
          <w:p w14:paraId="497D91F6">
            <w:pPr>
              <w:jc w:val="center"/>
              <w:rPr>
                <w:b/>
                <w:bCs/>
                <w:sz w:val="24"/>
                <w:szCs w:val="32"/>
                <w:u w:val="none"/>
              </w:rPr>
            </w:pPr>
            <w:r>
              <w:rPr>
                <w:rFonts w:hint="eastAsia"/>
                <w:b/>
                <w:bCs/>
                <w:sz w:val="24"/>
                <w:szCs w:val="32"/>
                <w:u w:val="none"/>
              </w:rPr>
              <w:t>生态环境保护目标</w:t>
            </w:r>
          </w:p>
        </w:tc>
        <w:tc>
          <w:tcPr>
            <w:tcW w:w="8284" w:type="dxa"/>
          </w:tcPr>
          <w:p w14:paraId="443C47FA">
            <w:pPr>
              <w:spacing w:line="360" w:lineRule="auto"/>
              <w:rPr>
                <w:b/>
                <w:bCs/>
                <w:sz w:val="24"/>
                <w:u w:val="none"/>
              </w:rPr>
            </w:pPr>
            <w:r>
              <w:rPr>
                <w:rFonts w:hint="eastAsia"/>
                <w:b/>
                <w:bCs/>
                <w:sz w:val="24"/>
                <w:u w:val="none"/>
              </w:rPr>
              <w:t>3</w:t>
            </w:r>
            <w:r>
              <w:rPr>
                <w:b/>
                <w:bCs/>
                <w:sz w:val="24"/>
                <w:u w:val="none"/>
              </w:rPr>
              <w:t>.9</w:t>
            </w:r>
            <w:r>
              <w:rPr>
                <w:rFonts w:hint="eastAsia"/>
                <w:b/>
                <w:bCs/>
                <w:sz w:val="24"/>
                <w:u w:val="none"/>
              </w:rPr>
              <w:t>环境保护目标调查</w:t>
            </w:r>
          </w:p>
          <w:p w14:paraId="20B78B1B">
            <w:pPr>
              <w:spacing w:line="360" w:lineRule="auto"/>
              <w:ind w:firstLine="480" w:firstLineChars="200"/>
              <w:rPr>
                <w:sz w:val="24"/>
                <w:u w:val="none"/>
              </w:rPr>
            </w:pPr>
            <w:r>
              <w:rPr>
                <w:rFonts w:hint="eastAsia"/>
                <w:sz w:val="24"/>
                <w:u w:val="none"/>
              </w:rPr>
              <w:t>（1）生态环境</w:t>
            </w:r>
          </w:p>
          <w:p w14:paraId="67784B26">
            <w:pPr>
              <w:spacing w:line="360" w:lineRule="auto"/>
              <w:ind w:firstLine="480" w:firstLineChars="200"/>
              <w:rPr>
                <w:sz w:val="24"/>
                <w:u w:val="none"/>
              </w:rPr>
            </w:pPr>
            <w:r>
              <w:rPr>
                <w:rFonts w:hint="eastAsia"/>
                <w:sz w:val="24"/>
                <w:u w:val="none"/>
              </w:rPr>
              <w:t>根据现状调查，本项目周边不涉自然保护区、风景名胜区、世界文化或自然遗产地、森林公园、地质公园、湿地公园、文物保护单位、饮用水源保护区，不涉及国家级一级公益林、国家二级公益林有林地。</w:t>
            </w:r>
          </w:p>
          <w:p w14:paraId="06CF67D3">
            <w:pPr>
              <w:spacing w:line="360" w:lineRule="auto"/>
              <w:ind w:firstLine="480" w:firstLineChars="200"/>
              <w:rPr>
                <w:sz w:val="24"/>
                <w:u w:val="none"/>
              </w:rPr>
            </w:pPr>
            <w:r>
              <w:rPr>
                <w:rFonts w:hint="eastAsia"/>
                <w:sz w:val="24"/>
                <w:u w:val="none"/>
              </w:rPr>
              <w:t>（2）大气及声环境</w:t>
            </w:r>
          </w:p>
          <w:p w14:paraId="52D7DBDB">
            <w:pPr>
              <w:spacing w:line="360" w:lineRule="auto"/>
              <w:ind w:firstLine="480" w:firstLineChars="200"/>
              <w:rPr>
                <w:color w:val="FF0000"/>
                <w:sz w:val="24"/>
                <w:u w:val="none"/>
              </w:rPr>
            </w:pPr>
            <w:r>
              <w:rPr>
                <w:rFonts w:hint="eastAsia"/>
                <w:color w:val="FF0000"/>
                <w:sz w:val="24"/>
                <w:u w:val="none"/>
              </w:rPr>
              <w:t>本项目施工期考虑对大气和声环境的影响，将施工区域</w:t>
            </w:r>
            <w:r>
              <w:rPr>
                <w:rFonts w:hint="eastAsia"/>
                <w:color w:val="FF0000"/>
                <w:sz w:val="24"/>
                <w:u w:val="none"/>
                <w:lang w:val="en-US" w:eastAsia="zh-CN"/>
              </w:rPr>
              <w:t>5</w:t>
            </w:r>
            <w:r>
              <w:rPr>
                <w:color w:val="FF0000"/>
                <w:sz w:val="24"/>
                <w:u w:val="none"/>
              </w:rPr>
              <w:t>00</w:t>
            </w:r>
            <w:r>
              <w:rPr>
                <w:rFonts w:hint="eastAsia"/>
                <w:color w:val="FF0000"/>
                <w:sz w:val="24"/>
                <w:u w:val="none"/>
              </w:rPr>
              <w:t>m范围内的居民列为</w:t>
            </w:r>
            <w:r>
              <w:rPr>
                <w:rFonts w:hint="eastAsia"/>
                <w:color w:val="FF0000"/>
                <w:sz w:val="24"/>
                <w:u w:val="none"/>
                <w:lang w:val="en-US" w:eastAsia="zh-CN"/>
              </w:rPr>
              <w:t>大气</w:t>
            </w:r>
            <w:r>
              <w:rPr>
                <w:rFonts w:hint="eastAsia"/>
                <w:color w:val="FF0000"/>
                <w:sz w:val="24"/>
                <w:u w:val="none"/>
              </w:rPr>
              <w:t>保护目标</w:t>
            </w:r>
            <w:r>
              <w:rPr>
                <w:rFonts w:hint="eastAsia"/>
                <w:color w:val="FF0000"/>
                <w:sz w:val="24"/>
                <w:u w:val="none"/>
                <w:lang w:eastAsia="zh-CN"/>
              </w:rPr>
              <w:t>、</w:t>
            </w:r>
            <w:r>
              <w:rPr>
                <w:rFonts w:hint="eastAsia"/>
                <w:color w:val="FF0000"/>
                <w:sz w:val="24"/>
                <w:u w:val="none"/>
                <w:lang w:val="en-US" w:eastAsia="zh-CN"/>
              </w:rPr>
              <w:t>施工区域200m范围的居民列为声环境保护目标</w:t>
            </w:r>
            <w:r>
              <w:rPr>
                <w:rFonts w:hint="eastAsia"/>
                <w:color w:val="FF0000"/>
                <w:sz w:val="24"/>
                <w:u w:val="none"/>
              </w:rPr>
              <w:t>；运营期主要为风机噪声影响</w:t>
            </w:r>
            <w:r>
              <w:rPr>
                <w:rFonts w:hint="eastAsia"/>
                <w:color w:val="FF0000"/>
                <w:sz w:val="24"/>
                <w:u w:val="none"/>
                <w:lang w:val="en-US" w:eastAsia="zh-CN"/>
              </w:rPr>
              <w:t>和升压站设备噪声</w:t>
            </w:r>
            <w:r>
              <w:rPr>
                <w:rFonts w:hint="eastAsia"/>
                <w:color w:val="FF0000"/>
                <w:sz w:val="24"/>
                <w:u w:val="none"/>
              </w:rPr>
              <w:t>，将风机平台5</w:t>
            </w:r>
            <w:r>
              <w:rPr>
                <w:color w:val="FF0000"/>
                <w:sz w:val="24"/>
                <w:u w:val="none"/>
              </w:rPr>
              <w:t>00</w:t>
            </w:r>
            <w:r>
              <w:rPr>
                <w:rFonts w:hint="eastAsia"/>
                <w:color w:val="FF0000"/>
                <w:sz w:val="24"/>
                <w:u w:val="none"/>
              </w:rPr>
              <w:t>m范围内</w:t>
            </w:r>
            <w:r>
              <w:rPr>
                <w:rFonts w:hint="eastAsia"/>
                <w:color w:val="FF0000"/>
                <w:sz w:val="24"/>
                <w:u w:val="none"/>
                <w:lang w:eastAsia="zh-CN"/>
              </w:rPr>
              <w:t>、</w:t>
            </w:r>
            <w:r>
              <w:rPr>
                <w:rFonts w:hint="eastAsia"/>
                <w:color w:val="FF0000"/>
                <w:sz w:val="24"/>
                <w:u w:val="none"/>
                <w:lang w:val="en-US" w:eastAsia="zh-CN"/>
              </w:rPr>
              <w:t>升压站200m范围内</w:t>
            </w:r>
            <w:r>
              <w:rPr>
                <w:rFonts w:hint="eastAsia"/>
                <w:color w:val="FF0000"/>
                <w:sz w:val="24"/>
                <w:u w:val="none"/>
              </w:rPr>
              <w:t>的居民作为运营期声环境保护目标。</w:t>
            </w:r>
          </w:p>
          <w:p w14:paraId="5223A6B5">
            <w:pPr>
              <w:spacing w:line="360" w:lineRule="auto"/>
              <w:ind w:firstLine="480" w:firstLineChars="200"/>
              <w:rPr>
                <w:sz w:val="24"/>
                <w:u w:val="none"/>
              </w:rPr>
            </w:pPr>
            <w:r>
              <w:rPr>
                <w:rFonts w:hint="eastAsia"/>
                <w:sz w:val="24"/>
                <w:u w:val="none"/>
              </w:rPr>
              <w:t>（3）地表水环境</w:t>
            </w:r>
          </w:p>
          <w:p w14:paraId="4FD69B0D">
            <w:pPr>
              <w:spacing w:line="360" w:lineRule="auto"/>
              <w:ind w:firstLine="480" w:firstLineChars="200"/>
              <w:rPr>
                <w:rFonts w:hint="eastAsia"/>
                <w:sz w:val="24"/>
                <w:u w:val="none"/>
              </w:rPr>
            </w:pPr>
            <w:r>
              <w:rPr>
                <w:rFonts w:hint="eastAsia"/>
                <w:sz w:val="24"/>
                <w:u w:val="none"/>
              </w:rPr>
              <w:t>本项目运营期无废水外排，主要考虑施工</w:t>
            </w:r>
            <w:r>
              <w:rPr>
                <w:rFonts w:hint="eastAsia"/>
                <w:sz w:val="24"/>
                <w:u w:val="none"/>
                <w:lang w:val="en-US" w:eastAsia="zh-CN"/>
              </w:rPr>
              <w:t>废水以及水土流失</w:t>
            </w:r>
            <w:r>
              <w:rPr>
                <w:rFonts w:hint="eastAsia"/>
                <w:sz w:val="24"/>
                <w:u w:val="none"/>
              </w:rPr>
              <w:t>可能对周边水体环境造成影响，保护目标详见下表。</w:t>
            </w:r>
          </w:p>
          <w:p w14:paraId="0790EB8A">
            <w:pPr>
              <w:spacing w:line="360" w:lineRule="auto"/>
              <w:rPr>
                <w:rFonts w:hint="eastAsia"/>
                <w:sz w:val="24"/>
                <w:u w:val="none"/>
              </w:rPr>
            </w:pPr>
          </w:p>
          <w:p w14:paraId="0F18A7D5">
            <w:pPr>
              <w:spacing w:line="240" w:lineRule="auto"/>
              <w:jc w:val="center"/>
              <w:rPr>
                <w:b/>
                <w:bCs/>
                <w:color w:val="FF0000"/>
                <w:szCs w:val="21"/>
                <w:u w:val="none"/>
              </w:rPr>
            </w:pPr>
            <w:r>
              <w:rPr>
                <w:rFonts w:hint="eastAsia"/>
                <w:b/>
                <w:bCs/>
                <w:color w:val="FF0000"/>
                <w:szCs w:val="21"/>
                <w:u w:val="none"/>
              </w:rPr>
              <w:t>表3</w:t>
            </w:r>
            <w:r>
              <w:rPr>
                <w:rFonts w:hint="eastAsia"/>
                <w:b/>
                <w:bCs/>
                <w:color w:val="FF0000"/>
                <w:szCs w:val="21"/>
                <w:u w:val="none"/>
                <w:lang w:val="en-US" w:eastAsia="zh-CN"/>
              </w:rPr>
              <w:t xml:space="preserve">-9 </w:t>
            </w:r>
            <w:r>
              <w:rPr>
                <w:b/>
                <w:bCs/>
                <w:color w:val="FF0000"/>
                <w:szCs w:val="21"/>
                <w:u w:val="none"/>
              </w:rPr>
              <w:t xml:space="preserve"> </w:t>
            </w:r>
            <w:r>
              <w:rPr>
                <w:rFonts w:hint="eastAsia"/>
                <w:b/>
                <w:bCs/>
                <w:color w:val="FF0000"/>
                <w:szCs w:val="21"/>
                <w:u w:val="none"/>
              </w:rPr>
              <w:t>生态环境和地表水</w:t>
            </w:r>
            <w:r>
              <w:rPr>
                <w:rFonts w:hint="eastAsia"/>
                <w:b/>
                <w:bCs/>
                <w:color w:val="FF0000"/>
                <w:szCs w:val="21"/>
                <w:u w:val="none"/>
                <w:lang w:eastAsia="zh-CN"/>
              </w:rPr>
              <w:t>环境</w:t>
            </w:r>
            <w:r>
              <w:rPr>
                <w:rFonts w:hAnsi="宋体"/>
                <w:b/>
                <w:bCs/>
                <w:color w:val="FF0000"/>
                <w:szCs w:val="21"/>
                <w:u w:val="none"/>
              </w:rPr>
              <w:t>保护目标一览表</w:t>
            </w:r>
          </w:p>
          <w:tbl>
            <w:tblPr>
              <w:tblStyle w:val="32"/>
              <w:tblW w:w="486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084"/>
              <w:gridCol w:w="2345"/>
              <w:gridCol w:w="1550"/>
              <w:gridCol w:w="1464"/>
              <w:gridCol w:w="934"/>
            </w:tblGrid>
            <w:tr w14:paraId="4F04BA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tcBorders>
                    <w:left w:val="nil"/>
                  </w:tcBorders>
                  <w:tcMar>
                    <w:left w:w="11" w:type="dxa"/>
                    <w:right w:w="11" w:type="dxa"/>
                  </w:tcMar>
                  <w:vAlign w:val="center"/>
                </w:tcPr>
                <w:p w14:paraId="0E3A1D42">
                  <w:pPr>
                    <w:adjustRightInd w:val="0"/>
                    <w:snapToGrid w:val="0"/>
                    <w:jc w:val="center"/>
                    <w:rPr>
                      <w:rFonts w:eastAsiaTheme="minorEastAsia"/>
                      <w:bCs/>
                      <w:sz w:val="18"/>
                      <w:szCs w:val="18"/>
                      <w:u w:val="none"/>
                    </w:rPr>
                  </w:pPr>
                  <w:r>
                    <w:rPr>
                      <w:rFonts w:eastAsiaTheme="minorEastAsia"/>
                      <w:bCs/>
                      <w:sz w:val="18"/>
                      <w:szCs w:val="18"/>
                      <w:u w:val="none"/>
                    </w:rPr>
                    <w:t>环境</w:t>
                  </w:r>
                </w:p>
                <w:p w14:paraId="24F6E9F2">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要素</w:t>
                  </w:r>
                </w:p>
              </w:tc>
              <w:tc>
                <w:tcPr>
                  <w:tcW w:w="692" w:type="pct"/>
                  <w:tcMar>
                    <w:left w:w="11" w:type="dxa"/>
                    <w:right w:w="11" w:type="dxa"/>
                  </w:tcMar>
                  <w:vAlign w:val="center"/>
                </w:tcPr>
                <w:p w14:paraId="726C4B40">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敏感保护目标</w:t>
                  </w:r>
                </w:p>
              </w:tc>
              <w:tc>
                <w:tcPr>
                  <w:tcW w:w="1498" w:type="pct"/>
                  <w:tcMar>
                    <w:left w:w="11" w:type="dxa"/>
                    <w:right w:w="11" w:type="dxa"/>
                  </w:tcMar>
                  <w:vAlign w:val="center"/>
                </w:tcPr>
                <w:p w14:paraId="6601866E">
                  <w:pPr>
                    <w:pStyle w:val="86"/>
                    <w:widowControl w:val="0"/>
                    <w:pBdr>
                      <w:left w:val="none" w:color="auto" w:sz="0" w:space="0"/>
                      <w:right w:val="none" w:color="auto" w:sz="0" w:space="0"/>
                    </w:pBdr>
                    <w:adjustRightInd w:val="0"/>
                    <w:snapToGrid w:val="0"/>
                    <w:spacing w:before="0" w:beforeAutospacing="0" w:after="0" w:afterAutospacing="0"/>
                    <w:rPr>
                      <w:rFonts w:ascii="Times New Roman" w:hAnsi="Times New Roman" w:cs="Times New Roman" w:eastAsiaTheme="minorEastAsia"/>
                      <w:bCs/>
                      <w:kern w:val="2"/>
                      <w:sz w:val="18"/>
                      <w:szCs w:val="18"/>
                      <w:u w:val="none"/>
                      <w:lang w:val="en-US" w:eastAsia="zh-CN" w:bidi="ar-SA"/>
                    </w:rPr>
                  </w:pPr>
                  <w:r>
                    <w:rPr>
                      <w:rFonts w:ascii="Times New Roman" w:hAnsi="Times New Roman" w:eastAsiaTheme="minorEastAsia"/>
                      <w:bCs/>
                      <w:kern w:val="2"/>
                      <w:u w:val="none"/>
                    </w:rPr>
                    <w:t>规模及特征</w:t>
                  </w:r>
                </w:p>
              </w:tc>
              <w:tc>
                <w:tcPr>
                  <w:tcW w:w="990" w:type="pct"/>
                  <w:tcMar>
                    <w:left w:w="11" w:type="dxa"/>
                    <w:right w:w="11" w:type="dxa"/>
                  </w:tcMar>
                  <w:vAlign w:val="center"/>
                </w:tcPr>
                <w:p w14:paraId="0A4B5AA5">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与工程关系及特性</w:t>
                  </w:r>
                </w:p>
              </w:tc>
              <w:tc>
                <w:tcPr>
                  <w:tcW w:w="935" w:type="pct"/>
                  <w:tcMar>
                    <w:left w:w="11" w:type="dxa"/>
                    <w:right w:w="11" w:type="dxa"/>
                  </w:tcMar>
                  <w:vAlign w:val="center"/>
                </w:tcPr>
                <w:p w14:paraId="3D12EEC0">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影响源和时段</w:t>
                  </w:r>
                </w:p>
              </w:tc>
              <w:tc>
                <w:tcPr>
                  <w:tcW w:w="596" w:type="pct"/>
                  <w:tcBorders>
                    <w:right w:val="nil"/>
                  </w:tcBorders>
                  <w:tcMar>
                    <w:left w:w="11" w:type="dxa"/>
                    <w:right w:w="11" w:type="dxa"/>
                  </w:tcMar>
                  <w:vAlign w:val="center"/>
                </w:tcPr>
                <w:p w14:paraId="6385E5FE">
                  <w:pPr>
                    <w:adjustRightInd w:val="0"/>
                    <w:snapToGrid w:val="0"/>
                    <w:jc w:val="center"/>
                    <w:rPr>
                      <w:rFonts w:ascii="Times New Roman" w:hAnsi="Times New Roman" w:cs="Times New Roman" w:eastAsiaTheme="minorEastAsia"/>
                      <w:bCs/>
                      <w:kern w:val="2"/>
                      <w:sz w:val="18"/>
                      <w:szCs w:val="18"/>
                      <w:u w:val="none"/>
                      <w:lang w:val="en-US" w:eastAsia="zh-CN" w:bidi="ar-SA"/>
                    </w:rPr>
                  </w:pPr>
                  <w:r>
                    <w:rPr>
                      <w:rFonts w:eastAsiaTheme="minorEastAsia"/>
                      <w:bCs/>
                      <w:sz w:val="18"/>
                      <w:szCs w:val="18"/>
                      <w:u w:val="none"/>
                    </w:rPr>
                    <w:t>保护要求</w:t>
                  </w:r>
                </w:p>
              </w:tc>
            </w:tr>
            <w:tr w14:paraId="065BE4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restart"/>
                  <w:tcBorders>
                    <w:left w:val="nil"/>
                  </w:tcBorders>
                  <w:tcMar>
                    <w:left w:w="11" w:type="dxa"/>
                    <w:right w:w="11" w:type="dxa"/>
                  </w:tcMar>
                  <w:vAlign w:val="center"/>
                </w:tcPr>
                <w:p w14:paraId="1E4EA806">
                  <w:pPr>
                    <w:adjustRightInd w:val="0"/>
                    <w:snapToGrid w:val="0"/>
                    <w:jc w:val="center"/>
                    <w:rPr>
                      <w:rFonts w:eastAsiaTheme="minorEastAsia"/>
                      <w:bCs/>
                      <w:sz w:val="18"/>
                      <w:szCs w:val="18"/>
                      <w:u w:val="none"/>
                    </w:rPr>
                  </w:pPr>
                  <w:r>
                    <w:rPr>
                      <w:rFonts w:eastAsiaTheme="minorEastAsia"/>
                      <w:bCs/>
                      <w:sz w:val="18"/>
                      <w:szCs w:val="18"/>
                      <w:u w:val="none"/>
                    </w:rPr>
                    <w:t>生态</w:t>
                  </w:r>
                </w:p>
                <w:p w14:paraId="0BA00DD5">
                  <w:pPr>
                    <w:adjustRightInd w:val="0"/>
                    <w:snapToGrid w:val="0"/>
                    <w:jc w:val="center"/>
                    <w:rPr>
                      <w:rFonts w:eastAsiaTheme="minorEastAsia"/>
                      <w:bCs/>
                      <w:sz w:val="18"/>
                      <w:szCs w:val="18"/>
                      <w:u w:val="none"/>
                    </w:rPr>
                  </w:pPr>
                  <w:r>
                    <w:rPr>
                      <w:rFonts w:eastAsiaTheme="minorEastAsia"/>
                      <w:bCs/>
                      <w:sz w:val="18"/>
                      <w:szCs w:val="18"/>
                      <w:u w:val="none"/>
                    </w:rPr>
                    <w:t>环境</w:t>
                  </w:r>
                </w:p>
              </w:tc>
              <w:tc>
                <w:tcPr>
                  <w:tcW w:w="692" w:type="pct"/>
                  <w:tcMar>
                    <w:left w:w="11" w:type="dxa"/>
                    <w:right w:w="11" w:type="dxa"/>
                  </w:tcMar>
                  <w:vAlign w:val="center"/>
                </w:tcPr>
                <w:p w14:paraId="35F914C2">
                  <w:pPr>
                    <w:pStyle w:val="85"/>
                    <w:adjustRightInd w:val="0"/>
                    <w:snapToGrid w:val="0"/>
                    <w:jc w:val="center"/>
                    <w:rPr>
                      <w:rFonts w:eastAsiaTheme="minorEastAsia"/>
                      <w:bCs/>
                      <w:kern w:val="2"/>
                      <w:sz w:val="18"/>
                      <w:szCs w:val="18"/>
                      <w:u w:val="none"/>
                    </w:rPr>
                  </w:pPr>
                  <w:r>
                    <w:rPr>
                      <w:rFonts w:eastAsiaTheme="minorEastAsia"/>
                      <w:bCs/>
                      <w:sz w:val="18"/>
                      <w:szCs w:val="18"/>
                      <w:u w:val="none"/>
                    </w:rPr>
                    <w:t>陆生动物</w:t>
                  </w:r>
                </w:p>
              </w:tc>
              <w:tc>
                <w:tcPr>
                  <w:tcW w:w="1498" w:type="pct"/>
                  <w:tcMar>
                    <w:left w:w="11" w:type="dxa"/>
                    <w:right w:w="11" w:type="dxa"/>
                  </w:tcMar>
                  <w:vAlign w:val="center"/>
                </w:tcPr>
                <w:p w14:paraId="65BF0E05">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未发现国家Ⅰ级重点保护野生动物分布，有国家Ⅱ级重点保护野生动物</w:t>
                  </w:r>
                  <w:r>
                    <w:rPr>
                      <w:rFonts w:hint="eastAsia" w:eastAsiaTheme="minorEastAsia"/>
                      <w:bCs/>
                      <w:kern w:val="2"/>
                      <w:sz w:val="18"/>
                      <w:szCs w:val="18"/>
                      <w:u w:val="none"/>
                      <w:lang w:val="en-US" w:eastAsia="zh-CN"/>
                    </w:rPr>
                    <w:t>7</w:t>
                  </w:r>
                  <w:r>
                    <w:rPr>
                      <w:rFonts w:eastAsiaTheme="minorEastAsia"/>
                      <w:bCs/>
                      <w:kern w:val="2"/>
                      <w:sz w:val="18"/>
                      <w:szCs w:val="18"/>
                      <w:u w:val="none"/>
                    </w:rPr>
                    <w:t>种</w:t>
                  </w:r>
                  <w:r>
                    <w:rPr>
                      <w:rFonts w:hint="eastAsia" w:eastAsiaTheme="minorEastAsia"/>
                      <w:bCs/>
                      <w:kern w:val="2"/>
                      <w:sz w:val="18"/>
                      <w:szCs w:val="18"/>
                      <w:u w:val="none"/>
                      <w:lang w:eastAsia="zh-CN"/>
                    </w:rPr>
                    <w:t>，</w:t>
                  </w:r>
                  <w:r>
                    <w:rPr>
                      <w:rFonts w:hint="eastAsia" w:eastAsiaTheme="minorEastAsia"/>
                      <w:bCs/>
                      <w:kern w:val="2"/>
                      <w:sz w:val="18"/>
                      <w:szCs w:val="18"/>
                      <w:u w:val="none"/>
                      <w:lang w:val="en-US" w:eastAsia="zh-CN"/>
                    </w:rPr>
                    <w:t>均为鸟类</w:t>
                  </w:r>
                  <w:r>
                    <w:rPr>
                      <w:rFonts w:eastAsiaTheme="minorEastAsia"/>
                      <w:bCs/>
                      <w:kern w:val="2"/>
                      <w:sz w:val="18"/>
                      <w:szCs w:val="18"/>
                      <w:u w:val="none"/>
                    </w:rPr>
                    <w:t>。</w:t>
                  </w:r>
                </w:p>
              </w:tc>
              <w:tc>
                <w:tcPr>
                  <w:tcW w:w="990" w:type="pct"/>
                  <w:tcMar>
                    <w:left w:w="11" w:type="dxa"/>
                    <w:right w:w="11" w:type="dxa"/>
                  </w:tcMar>
                  <w:vAlign w:val="center"/>
                </w:tcPr>
                <w:p w14:paraId="09BFC713">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区域性分散分布</w:t>
                  </w:r>
                </w:p>
              </w:tc>
              <w:tc>
                <w:tcPr>
                  <w:tcW w:w="935" w:type="pct"/>
                  <w:tcMar>
                    <w:left w:w="11" w:type="dxa"/>
                    <w:right w:w="11" w:type="dxa"/>
                  </w:tcMar>
                  <w:vAlign w:val="center"/>
                </w:tcPr>
                <w:p w14:paraId="18BA6C61">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施工期驱赶影响；运行期风机转动、噪声影响</w:t>
                  </w:r>
                </w:p>
              </w:tc>
              <w:tc>
                <w:tcPr>
                  <w:tcW w:w="596" w:type="pct"/>
                  <w:tcBorders>
                    <w:right w:val="nil"/>
                  </w:tcBorders>
                  <w:tcMar>
                    <w:left w:w="11" w:type="dxa"/>
                    <w:right w:w="11" w:type="dxa"/>
                  </w:tcMar>
                  <w:vAlign w:val="center"/>
                </w:tcPr>
                <w:p w14:paraId="4082022A">
                  <w:pPr>
                    <w:adjustRightInd w:val="0"/>
                    <w:snapToGrid w:val="0"/>
                    <w:jc w:val="center"/>
                    <w:rPr>
                      <w:rFonts w:eastAsiaTheme="minorEastAsia"/>
                      <w:bCs/>
                      <w:sz w:val="18"/>
                      <w:szCs w:val="18"/>
                      <w:u w:val="none"/>
                    </w:rPr>
                  </w:pPr>
                  <w:r>
                    <w:rPr>
                      <w:rFonts w:eastAsiaTheme="minorEastAsia"/>
                      <w:bCs/>
                      <w:sz w:val="18"/>
                      <w:szCs w:val="18"/>
                      <w:u w:val="none"/>
                    </w:rPr>
                    <w:t>禁止捕猎，控制施工活动范围</w:t>
                  </w:r>
                </w:p>
              </w:tc>
            </w:tr>
            <w:tr w14:paraId="33D5C9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2980D0C4">
                  <w:pPr>
                    <w:adjustRightInd w:val="0"/>
                    <w:snapToGrid w:val="0"/>
                    <w:jc w:val="center"/>
                    <w:rPr>
                      <w:rFonts w:eastAsiaTheme="minorEastAsia"/>
                      <w:bCs/>
                      <w:sz w:val="18"/>
                      <w:szCs w:val="18"/>
                      <w:u w:val="none"/>
                    </w:rPr>
                  </w:pPr>
                </w:p>
              </w:tc>
              <w:tc>
                <w:tcPr>
                  <w:tcW w:w="692" w:type="pct"/>
                  <w:tcMar>
                    <w:left w:w="11" w:type="dxa"/>
                    <w:right w:w="11" w:type="dxa"/>
                  </w:tcMar>
                  <w:vAlign w:val="center"/>
                </w:tcPr>
                <w:p w14:paraId="0B615FAF">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植物</w:t>
                  </w:r>
                </w:p>
              </w:tc>
              <w:tc>
                <w:tcPr>
                  <w:tcW w:w="1498" w:type="pct"/>
                  <w:tcMar>
                    <w:left w:w="11" w:type="dxa"/>
                    <w:right w:w="11" w:type="dxa"/>
                  </w:tcMar>
                  <w:vAlign w:val="center"/>
                </w:tcPr>
                <w:p w14:paraId="27076265">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针叶林、阔叶林、灌木、灌草丛、油茶林、经济林、少量农作物等</w:t>
                  </w:r>
                </w:p>
              </w:tc>
              <w:tc>
                <w:tcPr>
                  <w:tcW w:w="990" w:type="pct"/>
                  <w:tcMar>
                    <w:left w:w="11" w:type="dxa"/>
                    <w:right w:w="11" w:type="dxa"/>
                  </w:tcMar>
                  <w:vAlign w:val="center"/>
                </w:tcPr>
                <w:p w14:paraId="5A7FB7CE">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区域性分散分布</w:t>
                  </w:r>
                </w:p>
              </w:tc>
              <w:tc>
                <w:tcPr>
                  <w:tcW w:w="935" w:type="pct"/>
                  <w:tcMar>
                    <w:left w:w="11" w:type="dxa"/>
                    <w:right w:w="11" w:type="dxa"/>
                  </w:tcMar>
                  <w:vAlign w:val="center"/>
                </w:tcPr>
                <w:p w14:paraId="26E55E17">
                  <w:pPr>
                    <w:pStyle w:val="85"/>
                    <w:adjustRightInd w:val="0"/>
                    <w:snapToGrid w:val="0"/>
                    <w:jc w:val="center"/>
                    <w:rPr>
                      <w:rFonts w:eastAsiaTheme="minorEastAsia"/>
                      <w:bCs/>
                      <w:kern w:val="2"/>
                      <w:sz w:val="18"/>
                      <w:szCs w:val="18"/>
                      <w:u w:val="none"/>
                    </w:rPr>
                  </w:pPr>
                  <w:r>
                    <w:rPr>
                      <w:rFonts w:eastAsiaTheme="minorEastAsia"/>
                      <w:bCs/>
                      <w:kern w:val="2"/>
                      <w:sz w:val="18"/>
                      <w:szCs w:val="18"/>
                      <w:u w:val="none"/>
                    </w:rPr>
                    <w:t>施工期占用</w:t>
                  </w:r>
                </w:p>
              </w:tc>
              <w:tc>
                <w:tcPr>
                  <w:tcW w:w="596" w:type="pct"/>
                  <w:tcBorders>
                    <w:right w:val="nil"/>
                  </w:tcBorders>
                  <w:tcMar>
                    <w:left w:w="11" w:type="dxa"/>
                    <w:right w:w="11" w:type="dxa"/>
                  </w:tcMar>
                  <w:vAlign w:val="center"/>
                </w:tcPr>
                <w:p w14:paraId="32672D20">
                  <w:pPr>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红线范围内施工，施工后立即恢复</w:t>
                  </w:r>
                </w:p>
              </w:tc>
            </w:tr>
            <w:tr w14:paraId="1C716B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restart"/>
                  <w:tcBorders>
                    <w:left w:val="nil"/>
                  </w:tcBorders>
                  <w:tcMar>
                    <w:left w:w="11" w:type="dxa"/>
                    <w:right w:w="11" w:type="dxa"/>
                  </w:tcMar>
                  <w:vAlign w:val="center"/>
                </w:tcPr>
                <w:p w14:paraId="2A55F2FB">
                  <w:pPr>
                    <w:widowControl/>
                    <w:adjustRightInd w:val="0"/>
                    <w:snapToGrid w:val="0"/>
                    <w:jc w:val="center"/>
                    <w:rPr>
                      <w:rFonts w:eastAsiaTheme="minorEastAsia"/>
                      <w:bCs/>
                      <w:sz w:val="18"/>
                      <w:szCs w:val="18"/>
                      <w:u w:val="none"/>
                    </w:rPr>
                  </w:pPr>
                  <w:r>
                    <w:rPr>
                      <w:rFonts w:eastAsiaTheme="minorEastAsia"/>
                      <w:bCs/>
                      <w:sz w:val="18"/>
                      <w:szCs w:val="18"/>
                      <w:u w:val="none"/>
                    </w:rPr>
                    <w:t>地表水环境</w:t>
                  </w:r>
                </w:p>
              </w:tc>
              <w:tc>
                <w:tcPr>
                  <w:tcW w:w="692" w:type="pct"/>
                  <w:tcMar>
                    <w:left w:w="11" w:type="dxa"/>
                    <w:right w:w="11" w:type="dxa"/>
                  </w:tcMar>
                  <w:vAlign w:val="center"/>
                </w:tcPr>
                <w:p w14:paraId="60D1617F">
                  <w:pPr>
                    <w:widowControl/>
                    <w:adjustRightInd w:val="0"/>
                    <w:snapToGrid w:val="0"/>
                    <w:jc w:val="center"/>
                    <w:rPr>
                      <w:rFonts w:hint="default" w:ascii="Times New Roman" w:hAnsi="Times New Roman" w:cs="Times New Roman" w:eastAsiaTheme="minorEastAsia"/>
                      <w:bCs/>
                      <w:kern w:val="2"/>
                      <w:sz w:val="18"/>
                      <w:szCs w:val="18"/>
                      <w:u w:val="none"/>
                      <w:lang w:val="en-US" w:eastAsia="zh-CN" w:bidi="ar-SA"/>
                    </w:rPr>
                  </w:pPr>
                  <w:r>
                    <w:rPr>
                      <w:rFonts w:hint="default" w:ascii="Times New Roman" w:hAnsi="Times New Roman" w:cs="Times New Roman" w:eastAsiaTheme="minorEastAsia"/>
                      <w:bCs/>
                      <w:kern w:val="2"/>
                      <w:sz w:val="18"/>
                      <w:szCs w:val="18"/>
                      <w:u w:val="none"/>
                      <w:lang w:val="en-US" w:eastAsia="zh-CN" w:bidi="ar-SA"/>
                    </w:rPr>
                    <w:t>耒阳市三都镇地下水饮用水水源保护区</w:t>
                  </w:r>
                </w:p>
              </w:tc>
              <w:tc>
                <w:tcPr>
                  <w:tcW w:w="1498" w:type="pct"/>
                  <w:tcMar>
                    <w:left w:w="11" w:type="dxa"/>
                    <w:right w:w="11" w:type="dxa"/>
                  </w:tcMar>
                  <w:vAlign w:val="center"/>
                </w:tcPr>
                <w:p w14:paraId="16EEFAAB">
                  <w:pPr>
                    <w:widowControl/>
                    <w:adjustRightInd w:val="0"/>
                    <w:snapToGrid w:val="0"/>
                    <w:jc w:val="center"/>
                    <w:rPr>
                      <w:rFonts w:ascii="Times New Roman" w:hAnsi="Times New Roman" w:cs="Times New Roman" w:eastAsiaTheme="minorEastAsia"/>
                      <w:bCs/>
                      <w:kern w:val="2"/>
                      <w:sz w:val="18"/>
                      <w:szCs w:val="18"/>
                      <w:u w:val="none"/>
                      <w:lang w:val="en-US" w:eastAsia="zh-CN" w:bidi="ar-SA"/>
                    </w:rPr>
                  </w:pPr>
                  <w:r>
                    <w:rPr>
                      <w:rFonts w:hint="eastAsia" w:eastAsiaTheme="minorEastAsia"/>
                      <w:bCs/>
                      <w:sz w:val="18"/>
                      <w:szCs w:val="18"/>
                      <w:u w:val="none"/>
                      <w:lang w:val="en-US" w:eastAsia="zh-CN"/>
                    </w:rPr>
                    <w:t>乡镇级千吨万人饮用水水源保护区</w:t>
                  </w:r>
                </w:p>
              </w:tc>
              <w:tc>
                <w:tcPr>
                  <w:tcW w:w="990" w:type="pct"/>
                  <w:tcMar>
                    <w:left w:w="11" w:type="dxa"/>
                    <w:right w:w="11" w:type="dxa"/>
                  </w:tcMar>
                  <w:vAlign w:val="center"/>
                </w:tcPr>
                <w:p w14:paraId="5E540E49">
                  <w:pPr>
                    <w:widowControl/>
                    <w:adjustRightInd w:val="0"/>
                    <w:snapToGrid w:val="0"/>
                    <w:jc w:val="center"/>
                    <w:rPr>
                      <w:rFonts w:ascii="Times New Roman" w:hAnsi="Times New Roman" w:cs="Times New Roman" w:eastAsiaTheme="minorEastAsia"/>
                      <w:bCs/>
                      <w:kern w:val="2"/>
                      <w:sz w:val="18"/>
                      <w:szCs w:val="18"/>
                      <w:u w:val="none"/>
                      <w:lang w:val="en-US" w:eastAsia="zh-CN" w:bidi="ar-SA"/>
                    </w:rPr>
                  </w:pPr>
                  <w:r>
                    <w:rPr>
                      <w:rFonts w:hint="eastAsia" w:eastAsiaTheme="minorEastAsia"/>
                      <w:bCs/>
                      <w:sz w:val="18"/>
                      <w:szCs w:val="18"/>
                      <w:u w:val="none"/>
                      <w:lang w:val="en-US" w:eastAsia="zh-CN"/>
                    </w:rPr>
                    <w:t>DZ17东面830</w:t>
                  </w:r>
                  <w:r>
                    <w:rPr>
                      <w:rFonts w:eastAsiaTheme="minorEastAsia"/>
                      <w:bCs/>
                      <w:sz w:val="18"/>
                      <w:szCs w:val="18"/>
                      <w:u w:val="none"/>
                    </w:rPr>
                    <w:t>m</w:t>
                  </w:r>
                </w:p>
              </w:tc>
              <w:tc>
                <w:tcPr>
                  <w:tcW w:w="935" w:type="pct"/>
                  <w:tcMar>
                    <w:left w:w="11" w:type="dxa"/>
                    <w:right w:w="11" w:type="dxa"/>
                  </w:tcMar>
                  <w:vAlign w:val="center"/>
                </w:tcPr>
                <w:p w14:paraId="292729FA">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与DZ17不存在水力联系</w:t>
                  </w:r>
                </w:p>
              </w:tc>
              <w:tc>
                <w:tcPr>
                  <w:tcW w:w="596" w:type="pct"/>
                  <w:tcBorders>
                    <w:right w:val="nil"/>
                  </w:tcBorders>
                  <w:tcMar>
                    <w:left w:w="11" w:type="dxa"/>
                    <w:right w:w="11" w:type="dxa"/>
                  </w:tcMar>
                  <w:vAlign w:val="center"/>
                </w:tcPr>
                <w:p w14:paraId="25AE8C9A">
                  <w:pPr>
                    <w:widowControl/>
                    <w:adjustRightInd w:val="0"/>
                    <w:snapToGrid w:val="0"/>
                    <w:jc w:val="center"/>
                    <w:rPr>
                      <w:rFonts w:eastAsiaTheme="minorEastAsia"/>
                      <w:bCs/>
                      <w:sz w:val="18"/>
                      <w:szCs w:val="18"/>
                      <w:u w:val="none"/>
                    </w:rPr>
                  </w:pPr>
                  <w:r>
                    <w:rPr>
                      <w:rFonts w:eastAsiaTheme="minorEastAsia"/>
                      <w:bCs/>
                      <w:sz w:val="18"/>
                      <w:szCs w:val="18"/>
                      <w:u w:val="none"/>
                    </w:rPr>
                    <w:t>《地表水环境质量标准》（GB3838-2002）II类标准</w:t>
                  </w:r>
                </w:p>
              </w:tc>
            </w:tr>
            <w:tr w14:paraId="389652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3F9B494F">
                  <w:pPr>
                    <w:widowControl/>
                    <w:adjustRightInd w:val="0"/>
                    <w:snapToGrid w:val="0"/>
                    <w:jc w:val="center"/>
                    <w:rPr>
                      <w:rFonts w:eastAsiaTheme="minorEastAsia"/>
                      <w:bCs/>
                      <w:sz w:val="18"/>
                      <w:szCs w:val="18"/>
                      <w:u w:val="none"/>
                    </w:rPr>
                  </w:pPr>
                  <w:bookmarkStart w:id="295" w:name="_Hlk122426236"/>
                </w:p>
              </w:tc>
              <w:tc>
                <w:tcPr>
                  <w:tcW w:w="692" w:type="pct"/>
                  <w:tcMar>
                    <w:left w:w="11" w:type="dxa"/>
                    <w:right w:w="11" w:type="dxa"/>
                  </w:tcMar>
                  <w:vAlign w:val="center"/>
                </w:tcPr>
                <w:p w14:paraId="09747E90">
                  <w:pPr>
                    <w:widowControl/>
                    <w:adjustRightInd w:val="0"/>
                    <w:snapToGrid w:val="0"/>
                    <w:jc w:val="center"/>
                    <w:rPr>
                      <w:rFonts w:hint="eastAsia" w:eastAsiaTheme="minorEastAsia"/>
                      <w:bCs/>
                      <w:sz w:val="18"/>
                      <w:szCs w:val="18"/>
                      <w:u w:val="none"/>
                      <w:lang w:val="en-US" w:eastAsia="zh-CN"/>
                    </w:rPr>
                  </w:pPr>
                  <w:r>
                    <w:rPr>
                      <w:rFonts w:hint="eastAsia" w:eastAsiaTheme="minorEastAsia"/>
                      <w:bCs/>
                      <w:sz w:val="18"/>
                      <w:szCs w:val="18"/>
                      <w:u w:val="none"/>
                      <w:lang w:val="en-US" w:eastAsia="zh-CN"/>
                    </w:rPr>
                    <w:t>凉水冲水库</w:t>
                  </w:r>
                </w:p>
              </w:tc>
              <w:tc>
                <w:tcPr>
                  <w:tcW w:w="1498" w:type="pct"/>
                  <w:tcMar>
                    <w:left w:w="11" w:type="dxa"/>
                    <w:right w:w="11" w:type="dxa"/>
                  </w:tcMar>
                  <w:vAlign w:val="center"/>
                </w:tcPr>
                <w:p w14:paraId="266A145F">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中型水库，灌溉、发电</w:t>
                  </w:r>
                </w:p>
              </w:tc>
              <w:tc>
                <w:tcPr>
                  <w:tcW w:w="990" w:type="pct"/>
                  <w:tcMar>
                    <w:left w:w="11" w:type="dxa"/>
                    <w:right w:w="11" w:type="dxa"/>
                  </w:tcMar>
                  <w:vAlign w:val="center"/>
                </w:tcPr>
                <w:p w14:paraId="64DBFAAF">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DZ17东面610m</w:t>
                  </w:r>
                </w:p>
              </w:tc>
              <w:tc>
                <w:tcPr>
                  <w:tcW w:w="935" w:type="pct"/>
                  <w:vMerge w:val="restart"/>
                  <w:tcMar>
                    <w:left w:w="11" w:type="dxa"/>
                    <w:right w:w="11" w:type="dxa"/>
                  </w:tcMar>
                  <w:vAlign w:val="center"/>
                </w:tcPr>
                <w:p w14:paraId="13F6DFCE">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施工期水土流失造成水质受到影响</w:t>
                  </w:r>
                </w:p>
              </w:tc>
              <w:tc>
                <w:tcPr>
                  <w:tcW w:w="596" w:type="pct"/>
                  <w:vMerge w:val="restart"/>
                  <w:tcBorders>
                    <w:right w:val="nil"/>
                  </w:tcBorders>
                  <w:tcMar>
                    <w:left w:w="11" w:type="dxa"/>
                    <w:right w:w="11" w:type="dxa"/>
                  </w:tcMar>
                  <w:vAlign w:val="center"/>
                </w:tcPr>
                <w:p w14:paraId="34D15A7F">
                  <w:pPr>
                    <w:widowControl/>
                    <w:adjustRightInd w:val="0"/>
                    <w:snapToGrid w:val="0"/>
                    <w:jc w:val="center"/>
                    <w:rPr>
                      <w:rFonts w:eastAsiaTheme="minorEastAsia"/>
                      <w:bCs/>
                      <w:sz w:val="18"/>
                      <w:szCs w:val="18"/>
                      <w:u w:val="none"/>
                    </w:rPr>
                  </w:pPr>
                  <w:r>
                    <w:rPr>
                      <w:rFonts w:eastAsiaTheme="minorEastAsia"/>
                      <w:bCs/>
                      <w:sz w:val="18"/>
                      <w:szCs w:val="18"/>
                      <w:u w:val="none"/>
                    </w:rPr>
                    <w:t>《地表水环境质量标准》（GB3838-2002）III类标准</w:t>
                  </w:r>
                </w:p>
              </w:tc>
            </w:tr>
            <w:tr w14:paraId="5850E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0D3B4C39">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1A001C15">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杨梅岭水库</w:t>
                  </w:r>
                </w:p>
              </w:tc>
              <w:tc>
                <w:tcPr>
                  <w:tcW w:w="1498" w:type="pct"/>
                  <w:tcMar>
                    <w:left w:w="11" w:type="dxa"/>
                    <w:right w:w="11" w:type="dxa"/>
                  </w:tcMar>
                  <w:vAlign w:val="center"/>
                </w:tcPr>
                <w:p w14:paraId="2EBF04D9">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751A140E">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DZ6西北面570m</w:t>
                  </w:r>
                </w:p>
              </w:tc>
              <w:tc>
                <w:tcPr>
                  <w:tcW w:w="935" w:type="pct"/>
                  <w:vMerge w:val="continue"/>
                  <w:tcMar>
                    <w:left w:w="11" w:type="dxa"/>
                    <w:right w:w="11" w:type="dxa"/>
                  </w:tcMar>
                  <w:vAlign w:val="center"/>
                </w:tcPr>
                <w:p w14:paraId="7DF72395">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4367A6DC">
                  <w:pPr>
                    <w:widowControl/>
                    <w:adjustRightInd w:val="0"/>
                    <w:snapToGrid w:val="0"/>
                    <w:jc w:val="center"/>
                    <w:rPr>
                      <w:rFonts w:eastAsiaTheme="minorEastAsia"/>
                      <w:bCs/>
                      <w:sz w:val="18"/>
                      <w:szCs w:val="18"/>
                      <w:u w:val="none"/>
                    </w:rPr>
                  </w:pPr>
                </w:p>
              </w:tc>
            </w:tr>
            <w:tr w14:paraId="6DAB7B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4ACDF55A">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73426C50">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龙塘里水库</w:t>
                  </w:r>
                </w:p>
              </w:tc>
              <w:tc>
                <w:tcPr>
                  <w:tcW w:w="1498" w:type="pct"/>
                  <w:tcMar>
                    <w:left w:w="11" w:type="dxa"/>
                    <w:right w:w="11" w:type="dxa"/>
                  </w:tcMar>
                  <w:vAlign w:val="center"/>
                </w:tcPr>
                <w:p w14:paraId="0B4F132B">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60CECB0C">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DZ20西北面750m</w:t>
                  </w:r>
                </w:p>
              </w:tc>
              <w:tc>
                <w:tcPr>
                  <w:tcW w:w="935" w:type="pct"/>
                  <w:vMerge w:val="continue"/>
                  <w:tcMar>
                    <w:left w:w="11" w:type="dxa"/>
                    <w:right w:w="11" w:type="dxa"/>
                  </w:tcMar>
                  <w:vAlign w:val="center"/>
                </w:tcPr>
                <w:p w14:paraId="23EFA256">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69AC009F">
                  <w:pPr>
                    <w:widowControl/>
                    <w:adjustRightInd w:val="0"/>
                    <w:snapToGrid w:val="0"/>
                    <w:jc w:val="center"/>
                    <w:rPr>
                      <w:rFonts w:eastAsiaTheme="minorEastAsia"/>
                      <w:bCs/>
                      <w:sz w:val="18"/>
                      <w:szCs w:val="18"/>
                      <w:u w:val="none"/>
                    </w:rPr>
                  </w:pPr>
                </w:p>
              </w:tc>
            </w:tr>
            <w:tr w14:paraId="38EA5F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77B12486">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60BF8CEF">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芷江水库</w:t>
                  </w:r>
                </w:p>
              </w:tc>
              <w:tc>
                <w:tcPr>
                  <w:tcW w:w="1498" w:type="pct"/>
                  <w:tcMar>
                    <w:left w:w="11" w:type="dxa"/>
                    <w:right w:w="11" w:type="dxa"/>
                  </w:tcMar>
                  <w:vAlign w:val="center"/>
                </w:tcPr>
                <w:p w14:paraId="25B4BC44">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2F9845AD">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DZ5西北面900m</w:t>
                  </w:r>
                </w:p>
              </w:tc>
              <w:tc>
                <w:tcPr>
                  <w:tcW w:w="935" w:type="pct"/>
                  <w:vMerge w:val="continue"/>
                  <w:tcMar>
                    <w:left w:w="11" w:type="dxa"/>
                    <w:right w:w="11" w:type="dxa"/>
                  </w:tcMar>
                  <w:vAlign w:val="center"/>
                </w:tcPr>
                <w:p w14:paraId="5BFF2686">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18BE5FB8">
                  <w:pPr>
                    <w:widowControl/>
                    <w:adjustRightInd w:val="0"/>
                    <w:snapToGrid w:val="0"/>
                    <w:jc w:val="center"/>
                    <w:rPr>
                      <w:rFonts w:eastAsiaTheme="minorEastAsia"/>
                      <w:bCs/>
                      <w:sz w:val="18"/>
                      <w:szCs w:val="18"/>
                      <w:u w:val="none"/>
                    </w:rPr>
                  </w:pPr>
                </w:p>
              </w:tc>
            </w:tr>
            <w:tr w14:paraId="270165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5" w:type="pct"/>
                  <w:vMerge w:val="continue"/>
                  <w:tcBorders>
                    <w:left w:val="nil"/>
                  </w:tcBorders>
                  <w:tcMar>
                    <w:left w:w="11" w:type="dxa"/>
                    <w:right w:w="11" w:type="dxa"/>
                  </w:tcMar>
                  <w:vAlign w:val="center"/>
                </w:tcPr>
                <w:p w14:paraId="2DD8A8CB">
                  <w:pPr>
                    <w:widowControl/>
                    <w:adjustRightInd w:val="0"/>
                    <w:snapToGrid w:val="0"/>
                    <w:jc w:val="center"/>
                    <w:rPr>
                      <w:rFonts w:eastAsiaTheme="minorEastAsia"/>
                      <w:bCs/>
                      <w:sz w:val="18"/>
                      <w:szCs w:val="18"/>
                      <w:u w:val="none"/>
                    </w:rPr>
                  </w:pPr>
                </w:p>
              </w:tc>
              <w:tc>
                <w:tcPr>
                  <w:tcW w:w="692" w:type="pct"/>
                  <w:tcMar>
                    <w:left w:w="11" w:type="dxa"/>
                    <w:right w:w="11" w:type="dxa"/>
                  </w:tcMar>
                  <w:vAlign w:val="center"/>
                </w:tcPr>
                <w:p w14:paraId="7F732016">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东山冲水库</w:t>
                  </w:r>
                </w:p>
              </w:tc>
              <w:tc>
                <w:tcPr>
                  <w:tcW w:w="1498" w:type="pct"/>
                  <w:tcMar>
                    <w:left w:w="11" w:type="dxa"/>
                    <w:right w:w="11" w:type="dxa"/>
                  </w:tcMar>
                  <w:vAlign w:val="center"/>
                </w:tcPr>
                <w:p w14:paraId="4CE83767">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小型水库，灌溉</w:t>
                  </w:r>
                </w:p>
              </w:tc>
              <w:tc>
                <w:tcPr>
                  <w:tcW w:w="990" w:type="pct"/>
                  <w:tcMar>
                    <w:left w:w="11" w:type="dxa"/>
                    <w:right w:w="11" w:type="dxa"/>
                  </w:tcMar>
                  <w:vAlign w:val="center"/>
                </w:tcPr>
                <w:p w14:paraId="5D4CB7E8">
                  <w:pPr>
                    <w:widowControl/>
                    <w:adjustRightInd w:val="0"/>
                    <w:snapToGrid w:val="0"/>
                    <w:jc w:val="center"/>
                    <w:rPr>
                      <w:rFonts w:hint="default" w:eastAsiaTheme="minorEastAsia"/>
                      <w:bCs/>
                      <w:sz w:val="18"/>
                      <w:szCs w:val="18"/>
                      <w:u w:val="none"/>
                      <w:lang w:val="en-US" w:eastAsia="zh-CN"/>
                    </w:rPr>
                  </w:pPr>
                  <w:r>
                    <w:rPr>
                      <w:rFonts w:hint="eastAsia" w:eastAsiaTheme="minorEastAsia"/>
                      <w:bCs/>
                      <w:sz w:val="18"/>
                      <w:szCs w:val="18"/>
                      <w:u w:val="none"/>
                      <w:lang w:val="en-US" w:eastAsia="zh-CN"/>
                    </w:rPr>
                    <w:t>DZ24北面650m</w:t>
                  </w:r>
                </w:p>
              </w:tc>
              <w:tc>
                <w:tcPr>
                  <w:tcW w:w="935" w:type="pct"/>
                  <w:vMerge w:val="continue"/>
                  <w:tcMar>
                    <w:left w:w="11" w:type="dxa"/>
                    <w:right w:w="11" w:type="dxa"/>
                  </w:tcMar>
                  <w:vAlign w:val="center"/>
                </w:tcPr>
                <w:p w14:paraId="140B70B3">
                  <w:pPr>
                    <w:widowControl/>
                    <w:adjustRightInd w:val="0"/>
                    <w:snapToGrid w:val="0"/>
                    <w:jc w:val="center"/>
                    <w:rPr>
                      <w:rFonts w:eastAsiaTheme="minorEastAsia"/>
                      <w:bCs/>
                      <w:sz w:val="18"/>
                      <w:szCs w:val="18"/>
                      <w:u w:val="none"/>
                    </w:rPr>
                  </w:pPr>
                </w:p>
              </w:tc>
              <w:tc>
                <w:tcPr>
                  <w:tcW w:w="596" w:type="pct"/>
                  <w:vMerge w:val="continue"/>
                  <w:tcBorders>
                    <w:right w:val="nil"/>
                  </w:tcBorders>
                  <w:tcMar>
                    <w:left w:w="11" w:type="dxa"/>
                    <w:right w:w="11" w:type="dxa"/>
                  </w:tcMar>
                  <w:vAlign w:val="center"/>
                </w:tcPr>
                <w:p w14:paraId="2D893DED">
                  <w:pPr>
                    <w:widowControl/>
                    <w:adjustRightInd w:val="0"/>
                    <w:snapToGrid w:val="0"/>
                    <w:jc w:val="center"/>
                    <w:rPr>
                      <w:rFonts w:eastAsiaTheme="minorEastAsia"/>
                      <w:bCs/>
                      <w:sz w:val="18"/>
                      <w:szCs w:val="18"/>
                      <w:u w:val="none"/>
                    </w:rPr>
                  </w:pPr>
                </w:p>
              </w:tc>
            </w:tr>
          </w:tbl>
          <w:p w14:paraId="58D115D8">
            <w:pPr>
              <w:spacing w:line="240" w:lineRule="auto"/>
              <w:jc w:val="center"/>
              <w:rPr>
                <w:b/>
                <w:bCs/>
                <w:szCs w:val="21"/>
                <w:u w:val="none"/>
              </w:rPr>
            </w:pPr>
            <w:r>
              <w:rPr>
                <w:rFonts w:hint="eastAsia"/>
                <w:b/>
                <w:bCs/>
                <w:color w:val="FF0000"/>
                <w:szCs w:val="21"/>
                <w:u w:val="none"/>
              </w:rPr>
              <w:t>表</w:t>
            </w:r>
            <w:r>
              <w:rPr>
                <w:rFonts w:hint="eastAsia"/>
                <w:b/>
                <w:bCs/>
                <w:color w:val="FF0000"/>
                <w:szCs w:val="21"/>
                <w:u w:val="none"/>
                <w:lang w:val="en-US" w:eastAsia="zh-CN"/>
              </w:rPr>
              <w:t xml:space="preserve">3-10  </w:t>
            </w:r>
            <w:r>
              <w:rPr>
                <w:rFonts w:hint="eastAsia"/>
                <w:b/>
                <w:bCs/>
                <w:color w:val="FF0000"/>
                <w:szCs w:val="21"/>
                <w:u w:val="none"/>
              </w:rPr>
              <w:t>大气环境和声</w:t>
            </w:r>
            <w:r>
              <w:rPr>
                <w:rFonts w:hint="eastAsia"/>
                <w:b/>
                <w:bCs/>
                <w:color w:val="FF0000"/>
                <w:szCs w:val="21"/>
                <w:u w:val="none"/>
                <w:lang w:eastAsia="zh-CN"/>
              </w:rPr>
              <w:t>环境</w:t>
            </w:r>
            <w:r>
              <w:rPr>
                <w:rFonts w:hAnsi="宋体"/>
                <w:b/>
                <w:bCs/>
                <w:color w:val="FF0000"/>
                <w:szCs w:val="21"/>
                <w:u w:val="none"/>
              </w:rPr>
              <w:t>保护目标一览表</w:t>
            </w:r>
          </w:p>
          <w:bookmarkEnd w:id="295"/>
          <w:tbl>
            <w:tblPr>
              <w:tblStyle w:val="32"/>
              <w:tblW w:w="0" w:type="auto"/>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40" w:type="dxa"/>
                <w:bottom w:w="0" w:type="dxa"/>
                <w:right w:w="40" w:type="dxa"/>
              </w:tblCellMar>
            </w:tblPr>
            <w:tblGrid>
              <w:gridCol w:w="559"/>
              <w:gridCol w:w="567"/>
              <w:gridCol w:w="851"/>
              <w:gridCol w:w="850"/>
              <w:gridCol w:w="851"/>
              <w:gridCol w:w="992"/>
              <w:gridCol w:w="1134"/>
              <w:gridCol w:w="851"/>
              <w:gridCol w:w="650"/>
              <w:gridCol w:w="663"/>
            </w:tblGrid>
            <w:tr w14:paraId="7F65E6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restart"/>
                  <w:tcBorders>
                    <w:tl2br w:val="nil"/>
                    <w:tr2bl w:val="nil"/>
                  </w:tcBorders>
                  <w:shd w:val="clear" w:color="auto" w:fill="auto"/>
                  <w:vAlign w:val="center"/>
                </w:tcPr>
                <w:p w14:paraId="187A8EFB">
                  <w:pPr>
                    <w:widowControl/>
                    <w:adjustRightInd w:val="0"/>
                    <w:snapToGrid w:val="0"/>
                    <w:jc w:val="center"/>
                    <w:rPr>
                      <w:rFonts w:eastAsia="等线"/>
                      <w:kern w:val="0"/>
                      <w:sz w:val="18"/>
                      <w:szCs w:val="18"/>
                      <w:u w:val="none"/>
                    </w:rPr>
                  </w:pPr>
                  <w:bookmarkStart w:id="296" w:name="_Hlk122426222"/>
                  <w:r>
                    <w:rPr>
                      <w:kern w:val="0"/>
                      <w:sz w:val="18"/>
                      <w:szCs w:val="18"/>
                      <w:u w:val="none"/>
                    </w:rPr>
                    <w:t>环境</w:t>
                  </w:r>
                </w:p>
                <w:p w14:paraId="6D78FCC0">
                  <w:pPr>
                    <w:adjustRightInd w:val="0"/>
                    <w:snapToGrid w:val="0"/>
                    <w:jc w:val="center"/>
                    <w:rPr>
                      <w:rFonts w:eastAsia="等线"/>
                      <w:kern w:val="0"/>
                      <w:sz w:val="18"/>
                      <w:szCs w:val="18"/>
                      <w:u w:val="none"/>
                    </w:rPr>
                  </w:pPr>
                  <w:r>
                    <w:rPr>
                      <w:kern w:val="0"/>
                      <w:sz w:val="18"/>
                      <w:szCs w:val="18"/>
                      <w:u w:val="none"/>
                    </w:rPr>
                    <w:t>要素</w:t>
                  </w:r>
                </w:p>
              </w:tc>
              <w:tc>
                <w:tcPr>
                  <w:tcW w:w="567" w:type="dxa"/>
                  <w:vMerge w:val="restart"/>
                  <w:tcBorders>
                    <w:tl2br w:val="nil"/>
                    <w:tr2bl w:val="nil"/>
                  </w:tcBorders>
                  <w:shd w:val="clear" w:color="auto" w:fill="auto"/>
                  <w:vAlign w:val="center"/>
                </w:tcPr>
                <w:p w14:paraId="5E90B0D2">
                  <w:pPr>
                    <w:widowControl/>
                    <w:adjustRightInd w:val="0"/>
                    <w:snapToGrid w:val="0"/>
                    <w:jc w:val="center"/>
                    <w:rPr>
                      <w:rFonts w:eastAsia="等线"/>
                      <w:kern w:val="0"/>
                      <w:sz w:val="18"/>
                      <w:szCs w:val="18"/>
                      <w:u w:val="none"/>
                    </w:rPr>
                  </w:pPr>
                  <w:r>
                    <w:rPr>
                      <w:kern w:val="0"/>
                      <w:sz w:val="18"/>
                      <w:szCs w:val="18"/>
                      <w:u w:val="none"/>
                    </w:rPr>
                    <w:t>敏感保护目标</w:t>
                  </w:r>
                </w:p>
              </w:tc>
              <w:tc>
                <w:tcPr>
                  <w:tcW w:w="1701" w:type="dxa"/>
                  <w:gridSpan w:val="2"/>
                  <w:tcBorders>
                    <w:tl2br w:val="nil"/>
                    <w:tr2bl w:val="nil"/>
                  </w:tcBorders>
                  <w:shd w:val="clear" w:color="auto" w:fill="auto"/>
                  <w:vAlign w:val="center"/>
                </w:tcPr>
                <w:p w14:paraId="49034004">
                  <w:pPr>
                    <w:widowControl/>
                    <w:adjustRightInd w:val="0"/>
                    <w:snapToGrid w:val="0"/>
                    <w:jc w:val="center"/>
                    <w:rPr>
                      <w:rFonts w:eastAsia="等线"/>
                      <w:kern w:val="0"/>
                      <w:sz w:val="18"/>
                      <w:szCs w:val="18"/>
                      <w:u w:val="none"/>
                    </w:rPr>
                  </w:pPr>
                  <w:r>
                    <w:rPr>
                      <w:kern w:val="0"/>
                      <w:sz w:val="18"/>
                      <w:szCs w:val="18"/>
                      <w:u w:val="none"/>
                    </w:rPr>
                    <w:t>地理坐标</w:t>
                  </w:r>
                </w:p>
              </w:tc>
              <w:tc>
                <w:tcPr>
                  <w:tcW w:w="851" w:type="dxa"/>
                  <w:vMerge w:val="restart"/>
                  <w:tcBorders>
                    <w:tl2br w:val="nil"/>
                    <w:tr2bl w:val="nil"/>
                  </w:tcBorders>
                  <w:shd w:val="clear" w:color="auto" w:fill="auto"/>
                  <w:vAlign w:val="center"/>
                </w:tcPr>
                <w:p w14:paraId="40EB9C85">
                  <w:pPr>
                    <w:widowControl/>
                    <w:adjustRightInd w:val="0"/>
                    <w:snapToGrid w:val="0"/>
                    <w:jc w:val="center"/>
                    <w:rPr>
                      <w:rFonts w:eastAsia="等线"/>
                      <w:kern w:val="0"/>
                      <w:sz w:val="18"/>
                      <w:szCs w:val="18"/>
                      <w:u w:val="none"/>
                    </w:rPr>
                  </w:pPr>
                  <w:r>
                    <w:rPr>
                      <w:kern w:val="0"/>
                      <w:sz w:val="18"/>
                      <w:szCs w:val="18"/>
                      <w:u w:val="none"/>
                    </w:rPr>
                    <w:t>高程</w:t>
                  </w:r>
                  <w:r>
                    <w:rPr>
                      <w:rFonts w:eastAsia="等线"/>
                      <w:kern w:val="0"/>
                      <w:sz w:val="18"/>
                      <w:szCs w:val="18"/>
                      <w:u w:val="none"/>
                    </w:rPr>
                    <w:t>/m</w:t>
                  </w:r>
                </w:p>
              </w:tc>
              <w:tc>
                <w:tcPr>
                  <w:tcW w:w="992" w:type="dxa"/>
                  <w:vMerge w:val="restart"/>
                  <w:tcBorders>
                    <w:tl2br w:val="nil"/>
                    <w:tr2bl w:val="nil"/>
                  </w:tcBorders>
                  <w:shd w:val="clear" w:color="auto" w:fill="auto"/>
                  <w:vAlign w:val="center"/>
                </w:tcPr>
                <w:p w14:paraId="4C6647FB">
                  <w:pPr>
                    <w:widowControl/>
                    <w:adjustRightInd w:val="0"/>
                    <w:snapToGrid w:val="0"/>
                    <w:jc w:val="center"/>
                    <w:rPr>
                      <w:rFonts w:eastAsia="等线"/>
                      <w:kern w:val="0"/>
                      <w:sz w:val="18"/>
                      <w:szCs w:val="18"/>
                      <w:u w:val="none"/>
                    </w:rPr>
                  </w:pPr>
                  <w:r>
                    <w:rPr>
                      <w:kern w:val="0"/>
                      <w:sz w:val="18"/>
                      <w:szCs w:val="18"/>
                      <w:u w:val="none"/>
                    </w:rPr>
                    <w:t>规模</w:t>
                  </w:r>
                </w:p>
              </w:tc>
              <w:tc>
                <w:tcPr>
                  <w:tcW w:w="1134" w:type="dxa"/>
                  <w:vMerge w:val="restart"/>
                  <w:tcBorders>
                    <w:tl2br w:val="nil"/>
                    <w:tr2bl w:val="nil"/>
                  </w:tcBorders>
                  <w:shd w:val="clear" w:color="auto" w:fill="auto"/>
                  <w:vAlign w:val="center"/>
                </w:tcPr>
                <w:p w14:paraId="0144BA3D">
                  <w:pPr>
                    <w:widowControl/>
                    <w:adjustRightInd w:val="0"/>
                    <w:snapToGrid w:val="0"/>
                    <w:jc w:val="center"/>
                    <w:rPr>
                      <w:rFonts w:eastAsia="等线"/>
                      <w:kern w:val="0"/>
                      <w:sz w:val="18"/>
                      <w:szCs w:val="18"/>
                      <w:u w:val="none"/>
                    </w:rPr>
                  </w:pPr>
                  <w:r>
                    <w:rPr>
                      <w:kern w:val="0"/>
                      <w:sz w:val="18"/>
                      <w:szCs w:val="18"/>
                      <w:u w:val="none"/>
                    </w:rPr>
                    <w:t>位置</w:t>
                  </w:r>
                </w:p>
              </w:tc>
              <w:tc>
                <w:tcPr>
                  <w:tcW w:w="851" w:type="dxa"/>
                  <w:vMerge w:val="restart"/>
                  <w:tcBorders>
                    <w:tl2br w:val="nil"/>
                    <w:tr2bl w:val="nil"/>
                  </w:tcBorders>
                  <w:shd w:val="clear" w:color="auto" w:fill="auto"/>
                  <w:vAlign w:val="center"/>
                </w:tcPr>
                <w:p w14:paraId="1D6C2DBD">
                  <w:pPr>
                    <w:widowControl/>
                    <w:adjustRightInd w:val="0"/>
                    <w:snapToGrid w:val="0"/>
                    <w:jc w:val="center"/>
                    <w:rPr>
                      <w:rFonts w:eastAsia="等线"/>
                      <w:kern w:val="0"/>
                      <w:sz w:val="18"/>
                      <w:szCs w:val="18"/>
                      <w:u w:val="none"/>
                    </w:rPr>
                  </w:pPr>
                  <w:r>
                    <w:rPr>
                      <w:rFonts w:hint="eastAsia"/>
                      <w:kern w:val="0"/>
                      <w:sz w:val="18"/>
                      <w:szCs w:val="18"/>
                      <w:u w:val="none"/>
                      <w:lang w:val="en-US" w:eastAsia="zh-CN"/>
                    </w:rPr>
                    <w:t>最近</w:t>
                  </w:r>
                  <w:r>
                    <w:rPr>
                      <w:kern w:val="0"/>
                      <w:sz w:val="18"/>
                      <w:szCs w:val="18"/>
                      <w:u w:val="none"/>
                    </w:rPr>
                    <w:t>距离</w:t>
                  </w:r>
                  <w:r>
                    <w:rPr>
                      <w:rFonts w:eastAsia="等线"/>
                      <w:kern w:val="0"/>
                      <w:sz w:val="18"/>
                      <w:szCs w:val="18"/>
                      <w:u w:val="none"/>
                    </w:rPr>
                    <w:t>/m</w:t>
                  </w:r>
                </w:p>
              </w:tc>
              <w:tc>
                <w:tcPr>
                  <w:tcW w:w="650" w:type="dxa"/>
                  <w:vMerge w:val="restart"/>
                  <w:tcBorders>
                    <w:tl2br w:val="nil"/>
                    <w:tr2bl w:val="nil"/>
                  </w:tcBorders>
                  <w:shd w:val="clear" w:color="auto" w:fill="auto"/>
                  <w:vAlign w:val="center"/>
                </w:tcPr>
                <w:p w14:paraId="2A1FF580">
                  <w:pPr>
                    <w:widowControl/>
                    <w:adjustRightInd w:val="0"/>
                    <w:snapToGrid w:val="0"/>
                    <w:jc w:val="center"/>
                    <w:rPr>
                      <w:rFonts w:eastAsia="等线"/>
                      <w:kern w:val="0"/>
                      <w:sz w:val="18"/>
                      <w:szCs w:val="18"/>
                      <w:u w:val="none"/>
                    </w:rPr>
                  </w:pPr>
                  <w:r>
                    <w:rPr>
                      <w:kern w:val="0"/>
                      <w:sz w:val="18"/>
                      <w:szCs w:val="18"/>
                      <w:u w:val="none"/>
                    </w:rPr>
                    <w:t>影响源和时段</w:t>
                  </w:r>
                </w:p>
              </w:tc>
              <w:tc>
                <w:tcPr>
                  <w:tcW w:w="663" w:type="dxa"/>
                  <w:vMerge w:val="restart"/>
                  <w:tcBorders>
                    <w:tl2br w:val="nil"/>
                    <w:tr2bl w:val="nil"/>
                  </w:tcBorders>
                  <w:shd w:val="clear" w:color="auto" w:fill="auto"/>
                  <w:vAlign w:val="center"/>
                </w:tcPr>
                <w:p w14:paraId="0BFBBE72">
                  <w:pPr>
                    <w:widowControl/>
                    <w:adjustRightInd w:val="0"/>
                    <w:snapToGrid w:val="0"/>
                    <w:jc w:val="center"/>
                    <w:rPr>
                      <w:rFonts w:eastAsia="等线"/>
                      <w:kern w:val="0"/>
                      <w:sz w:val="18"/>
                      <w:szCs w:val="18"/>
                      <w:u w:val="none"/>
                    </w:rPr>
                  </w:pPr>
                  <w:r>
                    <w:rPr>
                      <w:kern w:val="0"/>
                      <w:sz w:val="18"/>
                      <w:szCs w:val="18"/>
                      <w:u w:val="none"/>
                    </w:rPr>
                    <w:t>保护要求</w:t>
                  </w:r>
                </w:p>
              </w:tc>
            </w:tr>
            <w:tr w14:paraId="398764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shd w:val="clear" w:color="auto" w:fill="auto"/>
                  <w:vAlign w:val="center"/>
                </w:tcPr>
                <w:p w14:paraId="519E3B6E">
                  <w:pPr>
                    <w:widowControl/>
                    <w:adjustRightInd w:val="0"/>
                    <w:snapToGrid w:val="0"/>
                    <w:jc w:val="center"/>
                    <w:rPr>
                      <w:rFonts w:eastAsia="等线"/>
                      <w:kern w:val="0"/>
                      <w:sz w:val="18"/>
                      <w:szCs w:val="18"/>
                      <w:u w:val="none"/>
                    </w:rPr>
                  </w:pPr>
                </w:p>
              </w:tc>
              <w:tc>
                <w:tcPr>
                  <w:tcW w:w="567" w:type="dxa"/>
                  <w:vMerge w:val="continue"/>
                  <w:tcBorders>
                    <w:tl2br w:val="nil"/>
                    <w:tr2bl w:val="nil"/>
                  </w:tcBorders>
                  <w:vAlign w:val="center"/>
                </w:tcPr>
                <w:p w14:paraId="7265E0ED">
                  <w:pPr>
                    <w:widowControl/>
                    <w:adjustRightInd w:val="0"/>
                    <w:snapToGrid w:val="0"/>
                    <w:jc w:val="center"/>
                    <w:rPr>
                      <w:rFonts w:eastAsia="等线"/>
                      <w:kern w:val="0"/>
                      <w:sz w:val="18"/>
                      <w:szCs w:val="18"/>
                      <w:u w:val="none"/>
                    </w:rPr>
                  </w:pPr>
                </w:p>
              </w:tc>
              <w:tc>
                <w:tcPr>
                  <w:tcW w:w="851" w:type="dxa"/>
                  <w:tcBorders>
                    <w:tl2br w:val="nil"/>
                    <w:tr2bl w:val="nil"/>
                  </w:tcBorders>
                  <w:shd w:val="clear" w:color="auto" w:fill="auto"/>
                  <w:vAlign w:val="center"/>
                </w:tcPr>
                <w:p w14:paraId="5553CA7F">
                  <w:pPr>
                    <w:widowControl/>
                    <w:adjustRightInd w:val="0"/>
                    <w:snapToGrid w:val="0"/>
                    <w:jc w:val="center"/>
                    <w:rPr>
                      <w:rFonts w:eastAsia="等线"/>
                      <w:kern w:val="0"/>
                      <w:sz w:val="18"/>
                      <w:szCs w:val="18"/>
                      <w:u w:val="none"/>
                    </w:rPr>
                  </w:pPr>
                  <w:r>
                    <w:rPr>
                      <w:kern w:val="0"/>
                      <w:sz w:val="18"/>
                      <w:szCs w:val="18"/>
                      <w:u w:val="none"/>
                    </w:rPr>
                    <w:t>经度</w:t>
                  </w:r>
                </w:p>
              </w:tc>
              <w:tc>
                <w:tcPr>
                  <w:tcW w:w="850" w:type="dxa"/>
                  <w:tcBorders>
                    <w:tl2br w:val="nil"/>
                    <w:tr2bl w:val="nil"/>
                  </w:tcBorders>
                  <w:shd w:val="clear" w:color="auto" w:fill="auto"/>
                  <w:vAlign w:val="center"/>
                </w:tcPr>
                <w:p w14:paraId="02B5013D">
                  <w:pPr>
                    <w:widowControl/>
                    <w:adjustRightInd w:val="0"/>
                    <w:snapToGrid w:val="0"/>
                    <w:jc w:val="center"/>
                    <w:rPr>
                      <w:rFonts w:eastAsia="等线"/>
                      <w:kern w:val="0"/>
                      <w:sz w:val="18"/>
                      <w:szCs w:val="18"/>
                      <w:u w:val="none"/>
                    </w:rPr>
                  </w:pPr>
                  <w:r>
                    <w:rPr>
                      <w:kern w:val="0"/>
                      <w:sz w:val="18"/>
                      <w:szCs w:val="18"/>
                      <w:u w:val="none"/>
                    </w:rPr>
                    <w:t>纬度</w:t>
                  </w:r>
                </w:p>
              </w:tc>
              <w:tc>
                <w:tcPr>
                  <w:tcW w:w="851" w:type="dxa"/>
                  <w:vMerge w:val="continue"/>
                  <w:tcBorders>
                    <w:tl2br w:val="nil"/>
                    <w:tr2bl w:val="nil"/>
                  </w:tcBorders>
                  <w:vAlign w:val="center"/>
                </w:tcPr>
                <w:p w14:paraId="1907D0AC">
                  <w:pPr>
                    <w:widowControl/>
                    <w:adjustRightInd w:val="0"/>
                    <w:snapToGrid w:val="0"/>
                    <w:jc w:val="center"/>
                    <w:rPr>
                      <w:rFonts w:eastAsia="等线"/>
                      <w:kern w:val="0"/>
                      <w:sz w:val="18"/>
                      <w:szCs w:val="18"/>
                      <w:u w:val="none"/>
                    </w:rPr>
                  </w:pPr>
                </w:p>
              </w:tc>
              <w:tc>
                <w:tcPr>
                  <w:tcW w:w="992" w:type="dxa"/>
                  <w:vMerge w:val="continue"/>
                  <w:tcBorders>
                    <w:tl2br w:val="nil"/>
                    <w:tr2bl w:val="nil"/>
                  </w:tcBorders>
                  <w:vAlign w:val="center"/>
                </w:tcPr>
                <w:p w14:paraId="0F31DD1D">
                  <w:pPr>
                    <w:widowControl/>
                    <w:adjustRightInd w:val="0"/>
                    <w:snapToGrid w:val="0"/>
                    <w:jc w:val="center"/>
                    <w:rPr>
                      <w:rFonts w:eastAsia="等线"/>
                      <w:kern w:val="0"/>
                      <w:sz w:val="18"/>
                      <w:szCs w:val="18"/>
                      <w:u w:val="none"/>
                    </w:rPr>
                  </w:pPr>
                </w:p>
              </w:tc>
              <w:tc>
                <w:tcPr>
                  <w:tcW w:w="1134" w:type="dxa"/>
                  <w:vMerge w:val="continue"/>
                  <w:tcBorders>
                    <w:tl2br w:val="nil"/>
                    <w:tr2bl w:val="nil"/>
                  </w:tcBorders>
                  <w:vAlign w:val="center"/>
                </w:tcPr>
                <w:p w14:paraId="212934E0">
                  <w:pPr>
                    <w:widowControl/>
                    <w:adjustRightInd w:val="0"/>
                    <w:snapToGrid w:val="0"/>
                    <w:jc w:val="center"/>
                    <w:rPr>
                      <w:rFonts w:eastAsia="等线"/>
                      <w:kern w:val="0"/>
                      <w:sz w:val="18"/>
                      <w:szCs w:val="18"/>
                      <w:u w:val="none"/>
                    </w:rPr>
                  </w:pPr>
                </w:p>
              </w:tc>
              <w:tc>
                <w:tcPr>
                  <w:tcW w:w="851" w:type="dxa"/>
                  <w:vMerge w:val="continue"/>
                  <w:tcBorders>
                    <w:tl2br w:val="nil"/>
                    <w:tr2bl w:val="nil"/>
                  </w:tcBorders>
                  <w:vAlign w:val="center"/>
                </w:tcPr>
                <w:p w14:paraId="0A063809">
                  <w:pPr>
                    <w:widowControl/>
                    <w:adjustRightInd w:val="0"/>
                    <w:snapToGrid w:val="0"/>
                    <w:jc w:val="center"/>
                    <w:rPr>
                      <w:rFonts w:eastAsia="等线"/>
                      <w:kern w:val="0"/>
                      <w:sz w:val="18"/>
                      <w:szCs w:val="18"/>
                      <w:u w:val="none"/>
                    </w:rPr>
                  </w:pPr>
                </w:p>
              </w:tc>
              <w:tc>
                <w:tcPr>
                  <w:tcW w:w="650" w:type="dxa"/>
                  <w:vMerge w:val="continue"/>
                  <w:tcBorders>
                    <w:tl2br w:val="nil"/>
                    <w:tr2bl w:val="nil"/>
                  </w:tcBorders>
                  <w:vAlign w:val="center"/>
                </w:tcPr>
                <w:p w14:paraId="25569AD6">
                  <w:pPr>
                    <w:widowControl/>
                    <w:adjustRightInd w:val="0"/>
                    <w:snapToGrid w:val="0"/>
                    <w:jc w:val="center"/>
                    <w:rPr>
                      <w:rFonts w:eastAsia="等线"/>
                      <w:kern w:val="0"/>
                      <w:sz w:val="18"/>
                      <w:szCs w:val="18"/>
                      <w:u w:val="none"/>
                    </w:rPr>
                  </w:pPr>
                </w:p>
              </w:tc>
              <w:tc>
                <w:tcPr>
                  <w:tcW w:w="663" w:type="dxa"/>
                  <w:vMerge w:val="continue"/>
                  <w:tcBorders>
                    <w:tl2br w:val="nil"/>
                    <w:tr2bl w:val="nil"/>
                  </w:tcBorders>
                  <w:vAlign w:val="center"/>
                </w:tcPr>
                <w:p w14:paraId="4A9CF2BF">
                  <w:pPr>
                    <w:widowControl/>
                    <w:adjustRightInd w:val="0"/>
                    <w:snapToGrid w:val="0"/>
                    <w:jc w:val="center"/>
                    <w:rPr>
                      <w:rFonts w:eastAsia="等线"/>
                      <w:kern w:val="0"/>
                      <w:sz w:val="18"/>
                      <w:szCs w:val="18"/>
                      <w:u w:val="none"/>
                    </w:rPr>
                  </w:pPr>
                </w:p>
              </w:tc>
            </w:tr>
            <w:tr w14:paraId="475460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restart"/>
                  <w:tcBorders>
                    <w:tl2br w:val="nil"/>
                    <w:tr2bl w:val="nil"/>
                  </w:tcBorders>
                  <w:shd w:val="clear" w:color="auto" w:fill="auto"/>
                  <w:vAlign w:val="center"/>
                </w:tcPr>
                <w:p w14:paraId="38A11145">
                  <w:pPr>
                    <w:widowControl/>
                    <w:adjustRightInd w:val="0"/>
                    <w:snapToGrid w:val="0"/>
                    <w:jc w:val="center"/>
                    <w:rPr>
                      <w:rFonts w:eastAsia="等线"/>
                      <w:kern w:val="0"/>
                      <w:sz w:val="18"/>
                      <w:szCs w:val="18"/>
                      <w:u w:val="none"/>
                    </w:rPr>
                  </w:pPr>
                  <w:r>
                    <w:rPr>
                      <w:kern w:val="0"/>
                      <w:sz w:val="18"/>
                      <w:szCs w:val="18"/>
                      <w:u w:val="none"/>
                    </w:rPr>
                    <w:t>大气</w:t>
                  </w:r>
                  <w:r>
                    <w:rPr>
                      <w:rFonts w:hint="eastAsia"/>
                      <w:kern w:val="0"/>
                      <w:sz w:val="18"/>
                      <w:szCs w:val="18"/>
                      <w:u w:val="none"/>
                    </w:rPr>
                    <w:t>环境</w:t>
                  </w:r>
                </w:p>
              </w:tc>
              <w:tc>
                <w:tcPr>
                  <w:tcW w:w="567" w:type="dxa"/>
                  <w:tcBorders>
                    <w:tl2br w:val="nil"/>
                    <w:tr2bl w:val="nil"/>
                  </w:tcBorders>
                  <w:shd w:val="clear" w:color="auto" w:fill="auto"/>
                  <w:noWrap/>
                  <w:vAlign w:val="center"/>
                </w:tcPr>
                <w:p w14:paraId="02AEA554">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851" w:type="dxa"/>
                  <w:tcBorders>
                    <w:tl2br w:val="nil"/>
                    <w:tr2bl w:val="nil"/>
                  </w:tcBorders>
                  <w:shd w:val="clear" w:color="auto" w:fill="auto"/>
                  <w:noWrap/>
                  <w:vAlign w:val="center"/>
                </w:tcPr>
                <w:p w14:paraId="76DB84A5">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113°5′41.91895″</w:t>
                  </w:r>
                </w:p>
              </w:tc>
              <w:tc>
                <w:tcPr>
                  <w:tcW w:w="850" w:type="dxa"/>
                  <w:tcBorders>
                    <w:tl2br w:val="nil"/>
                    <w:tr2bl w:val="nil"/>
                  </w:tcBorders>
                  <w:shd w:val="clear" w:color="auto" w:fill="auto"/>
                  <w:noWrap/>
                  <w:vAlign w:val="center"/>
                </w:tcPr>
                <w:p w14:paraId="0DD63D7F">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26°29′18.64788″</w:t>
                  </w:r>
                </w:p>
              </w:tc>
              <w:tc>
                <w:tcPr>
                  <w:tcW w:w="851" w:type="dxa"/>
                  <w:tcBorders>
                    <w:tl2br w:val="nil"/>
                    <w:tr2bl w:val="nil"/>
                  </w:tcBorders>
                  <w:shd w:val="clear" w:color="auto" w:fill="auto"/>
                  <w:noWrap/>
                  <w:vAlign w:val="center"/>
                </w:tcPr>
                <w:p w14:paraId="525DCB21">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243</w:t>
                  </w:r>
                </w:p>
              </w:tc>
              <w:tc>
                <w:tcPr>
                  <w:tcW w:w="992" w:type="dxa"/>
                  <w:tcBorders>
                    <w:tl2br w:val="nil"/>
                    <w:tr2bl w:val="nil"/>
                  </w:tcBorders>
                  <w:shd w:val="clear" w:color="auto" w:fill="auto"/>
                  <w:noWrap/>
                  <w:vAlign w:val="center"/>
                </w:tcPr>
                <w:p w14:paraId="4BE28ECB">
                  <w:pPr>
                    <w:widowControl/>
                    <w:adjustRightInd w:val="0"/>
                    <w:snapToGrid w:val="0"/>
                    <w:jc w:val="center"/>
                    <w:rPr>
                      <w:rFonts w:ascii="Times New Roman" w:hAnsi="Times New Roman" w:eastAsia="宋体" w:cs="Times New Roman"/>
                      <w:kern w:val="0"/>
                      <w:sz w:val="18"/>
                      <w:szCs w:val="18"/>
                      <w:u w:val="none"/>
                      <w:lang w:val="en-US" w:eastAsia="zh-CN" w:bidi="ar-SA"/>
                    </w:rPr>
                  </w:pPr>
                  <w:r>
                    <w:rPr>
                      <w:kern w:val="0"/>
                      <w:sz w:val="18"/>
                      <w:szCs w:val="18"/>
                      <w:u w:val="none"/>
                    </w:rPr>
                    <w:t>约</w:t>
                  </w:r>
                  <w:r>
                    <w:rPr>
                      <w:rFonts w:hint="eastAsia"/>
                      <w:kern w:val="0"/>
                      <w:sz w:val="18"/>
                      <w:szCs w:val="18"/>
                      <w:u w:val="none"/>
                      <w:lang w:val="en-US" w:eastAsia="zh-CN"/>
                    </w:rPr>
                    <w:t>3</w:t>
                  </w:r>
                  <w:r>
                    <w:rPr>
                      <w:kern w:val="0"/>
                      <w:sz w:val="18"/>
                      <w:szCs w:val="18"/>
                      <w:u w:val="none"/>
                    </w:rPr>
                    <w:t>户居民</w:t>
                  </w:r>
                </w:p>
              </w:tc>
              <w:tc>
                <w:tcPr>
                  <w:tcW w:w="1134" w:type="dxa"/>
                  <w:tcBorders>
                    <w:tl2br w:val="nil"/>
                    <w:tr2bl w:val="nil"/>
                  </w:tcBorders>
                  <w:shd w:val="clear" w:color="auto" w:fill="auto"/>
                  <w:noWrap/>
                  <w:vAlign w:val="center"/>
                </w:tcPr>
                <w:p w14:paraId="64BCA4E0">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DZ6东北面</w:t>
                  </w:r>
                </w:p>
              </w:tc>
              <w:tc>
                <w:tcPr>
                  <w:tcW w:w="851" w:type="dxa"/>
                  <w:tcBorders>
                    <w:tl2br w:val="nil"/>
                    <w:tr2bl w:val="nil"/>
                  </w:tcBorders>
                  <w:shd w:val="clear" w:color="auto" w:fill="auto"/>
                  <w:noWrap/>
                  <w:vAlign w:val="center"/>
                </w:tcPr>
                <w:p w14:paraId="5959854F">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495</w:t>
                  </w:r>
                </w:p>
              </w:tc>
              <w:tc>
                <w:tcPr>
                  <w:tcW w:w="650" w:type="dxa"/>
                  <w:vMerge w:val="restart"/>
                  <w:tcBorders>
                    <w:tl2br w:val="nil"/>
                    <w:tr2bl w:val="nil"/>
                  </w:tcBorders>
                  <w:shd w:val="clear" w:color="auto" w:fill="auto"/>
                  <w:vAlign w:val="center"/>
                </w:tcPr>
                <w:p w14:paraId="348F4AB1">
                  <w:pPr>
                    <w:widowControl/>
                    <w:adjustRightInd w:val="0"/>
                    <w:snapToGrid w:val="0"/>
                    <w:jc w:val="center"/>
                    <w:rPr>
                      <w:kern w:val="0"/>
                      <w:sz w:val="18"/>
                      <w:szCs w:val="18"/>
                      <w:u w:val="none"/>
                    </w:rPr>
                  </w:pPr>
                  <w:r>
                    <w:rPr>
                      <w:kern w:val="0"/>
                      <w:sz w:val="18"/>
                      <w:szCs w:val="18"/>
                      <w:u w:val="none"/>
                    </w:rPr>
                    <w:t>施工期施工扬尘</w:t>
                  </w:r>
                </w:p>
              </w:tc>
              <w:tc>
                <w:tcPr>
                  <w:tcW w:w="663" w:type="dxa"/>
                  <w:vMerge w:val="restart"/>
                  <w:tcBorders>
                    <w:tl2br w:val="nil"/>
                    <w:tr2bl w:val="nil"/>
                  </w:tcBorders>
                  <w:shd w:val="clear" w:color="auto" w:fill="auto"/>
                  <w:vAlign w:val="center"/>
                </w:tcPr>
                <w:p w14:paraId="505A2811">
                  <w:pPr>
                    <w:widowControl/>
                    <w:adjustRightInd w:val="0"/>
                    <w:snapToGrid w:val="0"/>
                    <w:jc w:val="center"/>
                    <w:rPr>
                      <w:kern w:val="0"/>
                      <w:sz w:val="18"/>
                      <w:szCs w:val="18"/>
                      <w:u w:val="none"/>
                    </w:rPr>
                  </w:pPr>
                  <w:r>
                    <w:rPr>
                      <w:kern w:val="0"/>
                      <w:sz w:val="18"/>
                      <w:szCs w:val="18"/>
                      <w:u w:val="none"/>
                    </w:rPr>
                    <w:t>《环境空气质量标准》（</w:t>
                  </w:r>
                  <w:r>
                    <w:rPr>
                      <w:rFonts w:hint="eastAsia"/>
                      <w:kern w:val="0"/>
                      <w:sz w:val="18"/>
                      <w:szCs w:val="18"/>
                      <w:u w:val="none"/>
                      <w:lang w:val="en-US" w:eastAsia="zh-CN"/>
                    </w:rPr>
                    <w:t>GB</w:t>
                  </w:r>
                  <w:r>
                    <w:rPr>
                      <w:rFonts w:eastAsia="等线"/>
                      <w:kern w:val="0"/>
                      <w:sz w:val="18"/>
                      <w:szCs w:val="18"/>
                      <w:u w:val="none"/>
                    </w:rPr>
                    <w:t>3095-2012</w:t>
                  </w:r>
                  <w:r>
                    <w:rPr>
                      <w:kern w:val="0"/>
                      <w:sz w:val="18"/>
                      <w:szCs w:val="18"/>
                      <w:u w:val="none"/>
                    </w:rPr>
                    <w:t>）</w:t>
                  </w:r>
                  <w:r>
                    <w:rPr>
                      <w:rFonts w:hint="eastAsia"/>
                      <w:kern w:val="0"/>
                      <w:sz w:val="18"/>
                      <w:szCs w:val="18"/>
                      <w:u w:val="none"/>
                      <w:lang w:val="en-US" w:eastAsia="zh-CN"/>
                    </w:rPr>
                    <w:t>及修改单的</w:t>
                  </w:r>
                  <w:r>
                    <w:rPr>
                      <w:rFonts w:hint="eastAsia" w:eastAsia="等线"/>
                      <w:kern w:val="0"/>
                      <w:sz w:val="18"/>
                      <w:szCs w:val="18"/>
                      <w:u w:val="none"/>
                      <w:lang w:val="en-US" w:eastAsia="zh-CN"/>
                    </w:rPr>
                    <w:t>二级</w:t>
                  </w:r>
                  <w:r>
                    <w:rPr>
                      <w:kern w:val="0"/>
                      <w:sz w:val="18"/>
                      <w:szCs w:val="18"/>
                      <w:u w:val="none"/>
                    </w:rPr>
                    <w:t>标准</w:t>
                  </w:r>
                </w:p>
              </w:tc>
            </w:tr>
            <w:tr w14:paraId="5C3822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385F35B7">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4E3A0A5F">
                  <w:pPr>
                    <w:widowControl/>
                    <w:adjustRightInd w:val="0"/>
                    <w:snapToGrid w:val="0"/>
                    <w:jc w:val="center"/>
                    <w:rPr>
                      <w:kern w:val="0"/>
                      <w:sz w:val="18"/>
                      <w:szCs w:val="18"/>
                      <w:u w:val="none"/>
                    </w:rPr>
                  </w:pPr>
                  <w:r>
                    <w:rPr>
                      <w:rFonts w:hint="eastAsia"/>
                      <w:kern w:val="0"/>
                      <w:sz w:val="18"/>
                      <w:szCs w:val="18"/>
                      <w:u w:val="none"/>
                      <w:lang w:val="en-US" w:eastAsia="zh-CN"/>
                    </w:rPr>
                    <w:t>乌龟冲居民</w:t>
                  </w:r>
                </w:p>
              </w:tc>
              <w:tc>
                <w:tcPr>
                  <w:tcW w:w="851" w:type="dxa"/>
                  <w:tcBorders>
                    <w:tl2br w:val="nil"/>
                    <w:tr2bl w:val="nil"/>
                  </w:tcBorders>
                  <w:shd w:val="clear" w:color="auto" w:fill="auto"/>
                  <w:noWrap/>
                  <w:vAlign w:val="center"/>
                </w:tcPr>
                <w:p w14:paraId="1C8A27F7">
                  <w:pPr>
                    <w:widowControl/>
                    <w:adjustRightInd w:val="0"/>
                    <w:snapToGrid w:val="0"/>
                    <w:jc w:val="center"/>
                    <w:rPr>
                      <w:kern w:val="0"/>
                      <w:sz w:val="18"/>
                      <w:szCs w:val="18"/>
                      <w:u w:val="none"/>
                    </w:rPr>
                  </w:pPr>
                  <w:r>
                    <w:rPr>
                      <w:rFonts w:hint="eastAsia"/>
                      <w:kern w:val="0"/>
                      <w:sz w:val="18"/>
                      <w:szCs w:val="18"/>
                      <w:u w:val="none"/>
                      <w:lang w:val="en-US" w:eastAsia="zh-CN"/>
                    </w:rPr>
                    <w:t>E</w:t>
                  </w:r>
                  <w:r>
                    <w:rPr>
                      <w:rFonts w:hint="default"/>
                      <w:kern w:val="0"/>
                      <w:sz w:val="18"/>
                      <w:szCs w:val="18"/>
                      <w:u w:val="none"/>
                      <w:lang w:val="en-US" w:eastAsia="zh-CN"/>
                    </w:rPr>
                    <w:t>113°8′17.49566″</w:t>
                  </w:r>
                </w:p>
              </w:tc>
              <w:tc>
                <w:tcPr>
                  <w:tcW w:w="850" w:type="dxa"/>
                  <w:tcBorders>
                    <w:tl2br w:val="nil"/>
                    <w:tr2bl w:val="nil"/>
                  </w:tcBorders>
                  <w:shd w:val="clear" w:color="auto" w:fill="auto"/>
                  <w:noWrap/>
                  <w:vAlign w:val="center"/>
                </w:tcPr>
                <w:p w14:paraId="67706DD8">
                  <w:pPr>
                    <w:widowControl/>
                    <w:adjustRightInd w:val="0"/>
                    <w:snapToGrid w:val="0"/>
                    <w:jc w:val="center"/>
                    <w:rPr>
                      <w:kern w:val="0"/>
                      <w:sz w:val="18"/>
                      <w:szCs w:val="18"/>
                      <w:u w:val="none"/>
                    </w:rPr>
                  </w:pPr>
                  <w:r>
                    <w:rPr>
                      <w:rFonts w:hint="eastAsia"/>
                      <w:kern w:val="0"/>
                      <w:sz w:val="18"/>
                      <w:szCs w:val="18"/>
                      <w:u w:val="none"/>
                      <w:lang w:val="en-US" w:eastAsia="zh-CN"/>
                    </w:rPr>
                    <w:t>N</w:t>
                  </w:r>
                  <w:r>
                    <w:rPr>
                      <w:rFonts w:hint="default"/>
                      <w:kern w:val="0"/>
                      <w:sz w:val="18"/>
                      <w:szCs w:val="18"/>
                      <w:u w:val="none"/>
                      <w:lang w:val="en-US" w:eastAsia="zh-CN"/>
                    </w:rPr>
                    <w:t>26°28′51.55328″</w:t>
                  </w:r>
                </w:p>
              </w:tc>
              <w:tc>
                <w:tcPr>
                  <w:tcW w:w="851" w:type="dxa"/>
                  <w:tcBorders>
                    <w:tl2br w:val="nil"/>
                    <w:tr2bl w:val="nil"/>
                  </w:tcBorders>
                  <w:shd w:val="clear" w:color="auto" w:fill="auto"/>
                  <w:noWrap/>
                  <w:vAlign w:val="center"/>
                </w:tcPr>
                <w:p w14:paraId="62811963">
                  <w:pPr>
                    <w:widowControl/>
                    <w:adjustRightInd w:val="0"/>
                    <w:snapToGrid w:val="0"/>
                    <w:jc w:val="center"/>
                    <w:rPr>
                      <w:rFonts w:hint="default" w:eastAsia="宋体"/>
                      <w:kern w:val="0"/>
                      <w:sz w:val="18"/>
                      <w:szCs w:val="18"/>
                      <w:u w:val="none"/>
                      <w:lang w:val="en-US" w:eastAsia="zh-CN"/>
                    </w:rPr>
                  </w:pPr>
                  <w:r>
                    <w:rPr>
                      <w:rFonts w:hint="eastAsia" w:cs="Times New Roman"/>
                      <w:kern w:val="0"/>
                      <w:sz w:val="18"/>
                      <w:szCs w:val="18"/>
                      <w:u w:val="none"/>
                      <w:lang w:val="en-US" w:eastAsia="zh-CN" w:bidi="ar-SA"/>
                    </w:rPr>
                    <w:t>251</w:t>
                  </w:r>
                </w:p>
              </w:tc>
              <w:tc>
                <w:tcPr>
                  <w:tcW w:w="992" w:type="dxa"/>
                  <w:tcBorders>
                    <w:tl2br w:val="nil"/>
                    <w:tr2bl w:val="nil"/>
                  </w:tcBorders>
                  <w:shd w:val="clear" w:color="auto" w:fill="auto"/>
                  <w:noWrap/>
                  <w:vAlign w:val="center"/>
                </w:tcPr>
                <w:p w14:paraId="1DAB58D9">
                  <w:pPr>
                    <w:widowControl/>
                    <w:adjustRightInd w:val="0"/>
                    <w:snapToGrid w:val="0"/>
                    <w:jc w:val="center"/>
                    <w:rPr>
                      <w:kern w:val="0"/>
                      <w:sz w:val="18"/>
                      <w:szCs w:val="18"/>
                      <w:u w:val="none"/>
                    </w:rPr>
                  </w:pPr>
                  <w:r>
                    <w:rPr>
                      <w:kern w:val="0"/>
                      <w:sz w:val="18"/>
                      <w:szCs w:val="18"/>
                      <w:u w:val="none"/>
                    </w:rPr>
                    <w:t>约11户居民</w:t>
                  </w:r>
                </w:p>
              </w:tc>
              <w:tc>
                <w:tcPr>
                  <w:tcW w:w="1134" w:type="dxa"/>
                  <w:tcBorders>
                    <w:tl2br w:val="nil"/>
                    <w:tr2bl w:val="nil"/>
                  </w:tcBorders>
                  <w:shd w:val="clear" w:color="auto" w:fill="auto"/>
                  <w:noWrap/>
                  <w:vAlign w:val="center"/>
                </w:tcPr>
                <w:p w14:paraId="33CC8187">
                  <w:pPr>
                    <w:widowControl/>
                    <w:adjustRightInd w:val="0"/>
                    <w:snapToGrid w:val="0"/>
                    <w:jc w:val="center"/>
                    <w:rPr>
                      <w:kern w:val="0"/>
                      <w:sz w:val="18"/>
                      <w:szCs w:val="18"/>
                      <w:u w:val="none"/>
                    </w:rPr>
                  </w:pPr>
                  <w:r>
                    <w:rPr>
                      <w:rFonts w:hint="eastAsia"/>
                      <w:kern w:val="0"/>
                      <w:sz w:val="18"/>
                      <w:szCs w:val="18"/>
                      <w:u w:val="none"/>
                      <w:lang w:val="en-US" w:eastAsia="zh-CN"/>
                    </w:rPr>
                    <w:t>DZ22北面</w:t>
                  </w:r>
                </w:p>
              </w:tc>
              <w:tc>
                <w:tcPr>
                  <w:tcW w:w="851" w:type="dxa"/>
                  <w:tcBorders>
                    <w:tl2br w:val="nil"/>
                    <w:tr2bl w:val="nil"/>
                  </w:tcBorders>
                  <w:shd w:val="clear" w:color="auto" w:fill="auto"/>
                  <w:noWrap/>
                  <w:vAlign w:val="center"/>
                </w:tcPr>
                <w:p w14:paraId="3C5146A4">
                  <w:pPr>
                    <w:widowControl/>
                    <w:adjustRightInd w:val="0"/>
                    <w:snapToGrid w:val="0"/>
                    <w:jc w:val="center"/>
                    <w:rPr>
                      <w:rFonts w:hint="default"/>
                      <w:kern w:val="0"/>
                      <w:sz w:val="18"/>
                      <w:szCs w:val="18"/>
                      <w:u w:val="none"/>
                      <w:lang w:val="en-US"/>
                    </w:rPr>
                  </w:pPr>
                  <w:r>
                    <w:rPr>
                      <w:rFonts w:hint="eastAsia"/>
                      <w:kern w:val="0"/>
                      <w:sz w:val="18"/>
                      <w:szCs w:val="18"/>
                      <w:u w:val="none"/>
                      <w:lang w:val="en-US" w:eastAsia="zh-CN"/>
                    </w:rPr>
                    <w:t>320</w:t>
                  </w:r>
                </w:p>
              </w:tc>
              <w:tc>
                <w:tcPr>
                  <w:tcW w:w="650" w:type="dxa"/>
                  <w:vMerge w:val="continue"/>
                  <w:tcBorders>
                    <w:tl2br w:val="nil"/>
                    <w:tr2bl w:val="nil"/>
                  </w:tcBorders>
                  <w:vAlign w:val="center"/>
                </w:tcPr>
                <w:p w14:paraId="17EF208D">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289A56D2">
                  <w:pPr>
                    <w:widowControl/>
                    <w:adjustRightInd w:val="0"/>
                    <w:snapToGrid w:val="0"/>
                    <w:jc w:val="center"/>
                    <w:rPr>
                      <w:rFonts w:eastAsia="等线"/>
                      <w:kern w:val="0"/>
                      <w:sz w:val="18"/>
                      <w:szCs w:val="18"/>
                      <w:u w:val="none"/>
                    </w:rPr>
                  </w:pPr>
                </w:p>
              </w:tc>
            </w:tr>
            <w:tr w14:paraId="1426AC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2E737A62">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78EE105D">
                  <w:pPr>
                    <w:widowControl/>
                    <w:adjustRightInd w:val="0"/>
                    <w:snapToGrid w:val="0"/>
                    <w:jc w:val="center"/>
                    <w:rPr>
                      <w:kern w:val="0"/>
                      <w:sz w:val="18"/>
                      <w:szCs w:val="18"/>
                      <w:u w:val="none"/>
                    </w:rPr>
                  </w:pPr>
                  <w:r>
                    <w:rPr>
                      <w:rFonts w:hint="eastAsia"/>
                      <w:kern w:val="0"/>
                      <w:sz w:val="18"/>
                      <w:szCs w:val="18"/>
                      <w:u w:val="none"/>
                      <w:lang w:val="en-US" w:eastAsia="zh-CN"/>
                    </w:rPr>
                    <w:t>坪里居民</w:t>
                  </w:r>
                </w:p>
              </w:tc>
              <w:tc>
                <w:tcPr>
                  <w:tcW w:w="851" w:type="dxa"/>
                  <w:tcBorders>
                    <w:tl2br w:val="nil"/>
                    <w:tr2bl w:val="nil"/>
                  </w:tcBorders>
                  <w:shd w:val="clear" w:color="auto" w:fill="auto"/>
                  <w:noWrap/>
                  <w:vAlign w:val="center"/>
                </w:tcPr>
                <w:p w14:paraId="6A8A09D1">
                  <w:pPr>
                    <w:widowControl/>
                    <w:adjustRightInd w:val="0"/>
                    <w:snapToGrid w:val="0"/>
                    <w:jc w:val="center"/>
                    <w:rPr>
                      <w:kern w:val="0"/>
                      <w:sz w:val="18"/>
                      <w:szCs w:val="18"/>
                      <w:u w:val="none"/>
                    </w:rPr>
                  </w:pPr>
                  <w:r>
                    <w:rPr>
                      <w:rFonts w:hint="eastAsia"/>
                      <w:kern w:val="0"/>
                      <w:sz w:val="18"/>
                      <w:szCs w:val="18"/>
                      <w:u w:val="none"/>
                      <w:lang w:val="en-US" w:eastAsia="zh-CN"/>
                    </w:rPr>
                    <w:t>E</w:t>
                  </w:r>
                  <w:r>
                    <w:rPr>
                      <w:rFonts w:hint="default"/>
                      <w:kern w:val="0"/>
                      <w:sz w:val="18"/>
                      <w:szCs w:val="18"/>
                      <w:u w:val="none"/>
                      <w:lang w:val="en-US" w:eastAsia="zh-CN"/>
                    </w:rPr>
                    <w:t>113°3′33.10854″</w:t>
                  </w:r>
                </w:p>
              </w:tc>
              <w:tc>
                <w:tcPr>
                  <w:tcW w:w="850" w:type="dxa"/>
                  <w:tcBorders>
                    <w:tl2br w:val="nil"/>
                    <w:tr2bl w:val="nil"/>
                  </w:tcBorders>
                  <w:shd w:val="clear" w:color="auto" w:fill="auto"/>
                  <w:noWrap/>
                  <w:vAlign w:val="center"/>
                </w:tcPr>
                <w:p w14:paraId="2306E209">
                  <w:pPr>
                    <w:widowControl/>
                    <w:adjustRightInd w:val="0"/>
                    <w:snapToGrid w:val="0"/>
                    <w:jc w:val="center"/>
                    <w:rPr>
                      <w:kern w:val="0"/>
                      <w:sz w:val="18"/>
                      <w:szCs w:val="18"/>
                      <w:u w:val="none"/>
                    </w:rPr>
                  </w:pPr>
                  <w:r>
                    <w:rPr>
                      <w:rFonts w:hint="eastAsia"/>
                      <w:kern w:val="0"/>
                      <w:sz w:val="18"/>
                      <w:szCs w:val="18"/>
                      <w:u w:val="none"/>
                      <w:lang w:val="en-US" w:eastAsia="zh-CN"/>
                    </w:rPr>
                    <w:t>N</w:t>
                  </w:r>
                  <w:r>
                    <w:rPr>
                      <w:rFonts w:hint="default"/>
                      <w:kern w:val="0"/>
                      <w:sz w:val="18"/>
                      <w:szCs w:val="18"/>
                      <w:u w:val="none"/>
                      <w:lang w:val="en-US" w:eastAsia="zh-CN"/>
                    </w:rPr>
                    <w:t>26°27′47.53431″</w:t>
                  </w:r>
                </w:p>
              </w:tc>
              <w:tc>
                <w:tcPr>
                  <w:tcW w:w="851" w:type="dxa"/>
                  <w:tcBorders>
                    <w:tl2br w:val="nil"/>
                    <w:tr2bl w:val="nil"/>
                  </w:tcBorders>
                  <w:shd w:val="clear" w:color="auto" w:fill="auto"/>
                  <w:noWrap/>
                  <w:vAlign w:val="center"/>
                </w:tcPr>
                <w:p w14:paraId="381BDF3D">
                  <w:pPr>
                    <w:widowControl/>
                    <w:adjustRightInd w:val="0"/>
                    <w:snapToGrid w:val="0"/>
                    <w:jc w:val="center"/>
                    <w:rPr>
                      <w:rFonts w:hint="default" w:eastAsia="宋体"/>
                      <w:kern w:val="0"/>
                      <w:sz w:val="18"/>
                      <w:szCs w:val="18"/>
                      <w:u w:val="none"/>
                      <w:lang w:val="en-US" w:eastAsia="zh-CN"/>
                    </w:rPr>
                  </w:pPr>
                  <w:r>
                    <w:rPr>
                      <w:rFonts w:hint="eastAsia"/>
                      <w:kern w:val="0"/>
                      <w:sz w:val="18"/>
                      <w:szCs w:val="18"/>
                      <w:u w:val="none"/>
                      <w:lang w:val="en-US" w:eastAsia="zh-CN"/>
                    </w:rPr>
                    <w:t>234</w:t>
                  </w:r>
                </w:p>
              </w:tc>
              <w:tc>
                <w:tcPr>
                  <w:tcW w:w="992" w:type="dxa"/>
                  <w:tcBorders>
                    <w:tl2br w:val="nil"/>
                    <w:tr2bl w:val="nil"/>
                  </w:tcBorders>
                  <w:shd w:val="clear" w:color="auto" w:fill="auto"/>
                  <w:noWrap/>
                  <w:vAlign w:val="center"/>
                </w:tcPr>
                <w:p w14:paraId="0B31C46F">
                  <w:pPr>
                    <w:widowControl/>
                    <w:adjustRightInd w:val="0"/>
                    <w:snapToGrid w:val="0"/>
                    <w:jc w:val="center"/>
                    <w:rPr>
                      <w:kern w:val="0"/>
                      <w:sz w:val="18"/>
                      <w:szCs w:val="18"/>
                      <w:u w:val="none"/>
                    </w:rPr>
                  </w:pPr>
                  <w:r>
                    <w:rPr>
                      <w:kern w:val="0"/>
                      <w:sz w:val="18"/>
                      <w:szCs w:val="18"/>
                      <w:u w:val="none"/>
                    </w:rPr>
                    <w:t>约</w:t>
                  </w:r>
                  <w:r>
                    <w:rPr>
                      <w:rFonts w:hint="eastAsia"/>
                      <w:kern w:val="0"/>
                      <w:sz w:val="18"/>
                      <w:szCs w:val="18"/>
                      <w:u w:val="none"/>
                      <w:lang w:val="en-US" w:eastAsia="zh-CN"/>
                    </w:rPr>
                    <w:t>20</w:t>
                  </w:r>
                  <w:r>
                    <w:rPr>
                      <w:kern w:val="0"/>
                      <w:sz w:val="18"/>
                      <w:szCs w:val="18"/>
                      <w:u w:val="none"/>
                    </w:rPr>
                    <w:t>户居民</w:t>
                  </w:r>
                </w:p>
              </w:tc>
              <w:tc>
                <w:tcPr>
                  <w:tcW w:w="1134" w:type="dxa"/>
                  <w:tcBorders>
                    <w:tl2br w:val="nil"/>
                    <w:tr2bl w:val="nil"/>
                  </w:tcBorders>
                  <w:shd w:val="clear" w:color="auto" w:fill="auto"/>
                  <w:noWrap/>
                  <w:vAlign w:val="center"/>
                </w:tcPr>
                <w:p w14:paraId="2B68F40C">
                  <w:pPr>
                    <w:widowControl/>
                    <w:adjustRightInd w:val="0"/>
                    <w:snapToGrid w:val="0"/>
                    <w:jc w:val="center"/>
                    <w:rPr>
                      <w:kern w:val="0"/>
                      <w:sz w:val="18"/>
                      <w:szCs w:val="18"/>
                      <w:u w:val="none"/>
                    </w:rPr>
                  </w:pPr>
                  <w:r>
                    <w:rPr>
                      <w:rFonts w:hint="eastAsia"/>
                      <w:kern w:val="0"/>
                      <w:sz w:val="18"/>
                      <w:szCs w:val="18"/>
                      <w:u w:val="none"/>
                      <w:lang w:val="en-US" w:eastAsia="zh-CN"/>
                    </w:rPr>
                    <w:t>升压站西南面</w:t>
                  </w:r>
                </w:p>
              </w:tc>
              <w:tc>
                <w:tcPr>
                  <w:tcW w:w="851" w:type="dxa"/>
                  <w:tcBorders>
                    <w:tl2br w:val="nil"/>
                    <w:tr2bl w:val="nil"/>
                  </w:tcBorders>
                  <w:shd w:val="clear" w:color="auto" w:fill="auto"/>
                  <w:noWrap/>
                  <w:vAlign w:val="center"/>
                </w:tcPr>
                <w:p w14:paraId="175F4362">
                  <w:pPr>
                    <w:widowControl/>
                    <w:adjustRightInd w:val="0"/>
                    <w:snapToGrid w:val="0"/>
                    <w:jc w:val="center"/>
                    <w:rPr>
                      <w:kern w:val="0"/>
                      <w:sz w:val="18"/>
                      <w:szCs w:val="18"/>
                      <w:u w:val="none"/>
                    </w:rPr>
                  </w:pPr>
                  <w:r>
                    <w:rPr>
                      <w:rFonts w:hint="eastAsia"/>
                      <w:kern w:val="0"/>
                      <w:sz w:val="18"/>
                      <w:szCs w:val="18"/>
                      <w:u w:val="none"/>
                      <w:lang w:val="en-US" w:eastAsia="zh-CN"/>
                    </w:rPr>
                    <w:t>385</w:t>
                  </w:r>
                </w:p>
              </w:tc>
              <w:tc>
                <w:tcPr>
                  <w:tcW w:w="650" w:type="dxa"/>
                  <w:vMerge w:val="continue"/>
                  <w:tcBorders>
                    <w:tl2br w:val="nil"/>
                    <w:tr2bl w:val="nil"/>
                  </w:tcBorders>
                  <w:vAlign w:val="center"/>
                </w:tcPr>
                <w:p w14:paraId="5AB423F8">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551F3140">
                  <w:pPr>
                    <w:widowControl/>
                    <w:adjustRightInd w:val="0"/>
                    <w:snapToGrid w:val="0"/>
                    <w:jc w:val="center"/>
                    <w:rPr>
                      <w:rFonts w:eastAsia="等线"/>
                      <w:kern w:val="0"/>
                      <w:sz w:val="18"/>
                      <w:szCs w:val="18"/>
                      <w:u w:val="none"/>
                    </w:rPr>
                  </w:pPr>
                </w:p>
              </w:tc>
            </w:tr>
            <w:tr w14:paraId="35CC17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0842201D">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449486FE">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泉岭村居民</w:t>
                  </w:r>
                </w:p>
              </w:tc>
              <w:tc>
                <w:tcPr>
                  <w:tcW w:w="851" w:type="dxa"/>
                  <w:tcBorders>
                    <w:tl2br w:val="nil"/>
                    <w:tr2bl w:val="nil"/>
                  </w:tcBorders>
                  <w:shd w:val="clear" w:color="auto" w:fill="auto"/>
                  <w:noWrap/>
                  <w:vAlign w:val="center"/>
                </w:tcPr>
                <w:p w14:paraId="06582086">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5</w:t>
                  </w:r>
                  <w:r>
                    <w:rPr>
                      <w:rFonts w:hint="default"/>
                      <w:kern w:val="0"/>
                      <w:sz w:val="18"/>
                      <w:szCs w:val="18"/>
                      <w:u w:val="none"/>
                      <w:lang w:val="en-US" w:eastAsia="zh-CN"/>
                    </w:rPr>
                    <w:t>′</w:t>
                  </w:r>
                  <w:r>
                    <w:rPr>
                      <w:rFonts w:hint="eastAsia"/>
                      <w:kern w:val="0"/>
                      <w:sz w:val="18"/>
                      <w:szCs w:val="18"/>
                      <w:u w:val="none"/>
                      <w:lang w:val="en-US" w:eastAsia="zh-CN"/>
                    </w:rPr>
                    <w:t>51.53628</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602A302F">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8</w:t>
                  </w:r>
                  <w:r>
                    <w:rPr>
                      <w:rFonts w:hint="default"/>
                      <w:kern w:val="0"/>
                      <w:sz w:val="18"/>
                      <w:szCs w:val="18"/>
                      <w:u w:val="none"/>
                      <w:lang w:val="en-US" w:eastAsia="zh-CN"/>
                    </w:rPr>
                    <w:t>′</w:t>
                  </w:r>
                  <w:r>
                    <w:rPr>
                      <w:rFonts w:hint="eastAsia"/>
                      <w:kern w:val="0"/>
                      <w:sz w:val="18"/>
                      <w:szCs w:val="18"/>
                      <w:u w:val="none"/>
                      <w:lang w:val="en-US" w:eastAsia="zh-CN"/>
                    </w:rPr>
                    <w:t>46.69633</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1FF126A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237</w:t>
                  </w:r>
                </w:p>
              </w:tc>
              <w:tc>
                <w:tcPr>
                  <w:tcW w:w="992" w:type="dxa"/>
                  <w:tcBorders>
                    <w:tl2br w:val="nil"/>
                    <w:tr2bl w:val="nil"/>
                  </w:tcBorders>
                  <w:shd w:val="clear" w:color="auto" w:fill="auto"/>
                  <w:noWrap/>
                  <w:vAlign w:val="center"/>
                </w:tcPr>
                <w:p w14:paraId="1A72E1B6">
                  <w:pPr>
                    <w:widowControl/>
                    <w:adjustRightInd w:val="0"/>
                    <w:snapToGrid w:val="0"/>
                    <w:jc w:val="center"/>
                    <w:rPr>
                      <w:kern w:val="0"/>
                      <w:sz w:val="18"/>
                      <w:szCs w:val="18"/>
                      <w:u w:val="none"/>
                    </w:rPr>
                  </w:pPr>
                  <w:r>
                    <w:rPr>
                      <w:rFonts w:hint="eastAsia"/>
                      <w:kern w:val="0"/>
                      <w:sz w:val="18"/>
                      <w:szCs w:val="18"/>
                      <w:u w:val="none"/>
                      <w:lang w:val="en-US" w:eastAsia="zh-CN"/>
                    </w:rPr>
                    <w:t xml:space="preserve">1户居民 </w:t>
                  </w:r>
                </w:p>
              </w:tc>
              <w:tc>
                <w:tcPr>
                  <w:tcW w:w="1134" w:type="dxa"/>
                  <w:tcBorders>
                    <w:tl2br w:val="nil"/>
                    <w:tr2bl w:val="nil"/>
                  </w:tcBorders>
                  <w:shd w:val="clear" w:color="auto" w:fill="auto"/>
                  <w:noWrap/>
                  <w:vAlign w:val="center"/>
                </w:tcPr>
                <w:p w14:paraId="1B06F8E9">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DZ6南面</w:t>
                  </w:r>
                </w:p>
              </w:tc>
              <w:tc>
                <w:tcPr>
                  <w:tcW w:w="851" w:type="dxa"/>
                  <w:tcBorders>
                    <w:tl2br w:val="nil"/>
                    <w:tr2bl w:val="nil"/>
                  </w:tcBorders>
                  <w:shd w:val="clear" w:color="auto" w:fill="auto"/>
                  <w:noWrap/>
                  <w:vAlign w:val="center"/>
                </w:tcPr>
                <w:p w14:paraId="5BEFD7C4">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490</w:t>
                  </w:r>
                </w:p>
              </w:tc>
              <w:tc>
                <w:tcPr>
                  <w:tcW w:w="650" w:type="dxa"/>
                  <w:vMerge w:val="continue"/>
                  <w:tcBorders>
                    <w:tl2br w:val="nil"/>
                    <w:tr2bl w:val="nil"/>
                  </w:tcBorders>
                  <w:vAlign w:val="center"/>
                </w:tcPr>
                <w:p w14:paraId="72E830A5">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254913CE">
                  <w:pPr>
                    <w:widowControl/>
                    <w:adjustRightInd w:val="0"/>
                    <w:snapToGrid w:val="0"/>
                    <w:jc w:val="center"/>
                    <w:rPr>
                      <w:rFonts w:eastAsia="等线"/>
                      <w:kern w:val="0"/>
                      <w:sz w:val="18"/>
                      <w:szCs w:val="18"/>
                      <w:u w:val="none"/>
                    </w:rPr>
                  </w:pPr>
                </w:p>
              </w:tc>
            </w:tr>
            <w:tr w14:paraId="23D398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1E69ED64">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45411BB0">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下石岭居民</w:t>
                  </w:r>
                </w:p>
              </w:tc>
              <w:tc>
                <w:tcPr>
                  <w:tcW w:w="851" w:type="dxa"/>
                  <w:tcBorders>
                    <w:tl2br w:val="nil"/>
                    <w:tr2bl w:val="nil"/>
                  </w:tcBorders>
                  <w:shd w:val="clear" w:color="auto" w:fill="auto"/>
                  <w:noWrap/>
                  <w:vAlign w:val="center"/>
                </w:tcPr>
                <w:p w14:paraId="053C8538">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6</w:t>
                  </w:r>
                  <w:r>
                    <w:rPr>
                      <w:rFonts w:hint="default"/>
                      <w:kern w:val="0"/>
                      <w:sz w:val="18"/>
                      <w:szCs w:val="18"/>
                      <w:u w:val="none"/>
                      <w:lang w:val="en-US" w:eastAsia="zh-CN"/>
                    </w:rPr>
                    <w:t>′</w:t>
                  </w:r>
                  <w:r>
                    <w:rPr>
                      <w:rFonts w:hint="eastAsia"/>
                      <w:kern w:val="0"/>
                      <w:sz w:val="18"/>
                      <w:szCs w:val="18"/>
                      <w:u w:val="none"/>
                      <w:lang w:val="en-US" w:eastAsia="zh-CN"/>
                    </w:rPr>
                    <w:t>13.88015</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3BA0190D">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9</w:t>
                  </w:r>
                  <w:r>
                    <w:rPr>
                      <w:rFonts w:hint="default"/>
                      <w:kern w:val="0"/>
                      <w:sz w:val="18"/>
                      <w:szCs w:val="18"/>
                      <w:u w:val="none"/>
                      <w:lang w:val="en-US" w:eastAsia="zh-CN"/>
                    </w:rPr>
                    <w:t>′</w:t>
                  </w:r>
                  <w:r>
                    <w:rPr>
                      <w:rFonts w:hint="eastAsia"/>
                      <w:kern w:val="0"/>
                      <w:sz w:val="18"/>
                      <w:szCs w:val="18"/>
                      <w:u w:val="none"/>
                      <w:lang w:val="en-US" w:eastAsia="zh-CN"/>
                    </w:rPr>
                    <w:t>48.89998</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0FB0AB4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298</w:t>
                  </w:r>
                </w:p>
              </w:tc>
              <w:tc>
                <w:tcPr>
                  <w:tcW w:w="992" w:type="dxa"/>
                  <w:tcBorders>
                    <w:tl2br w:val="nil"/>
                    <w:tr2bl w:val="nil"/>
                  </w:tcBorders>
                  <w:shd w:val="clear" w:color="auto" w:fill="auto"/>
                  <w:noWrap/>
                  <w:vAlign w:val="center"/>
                </w:tcPr>
                <w:p w14:paraId="3FB4D465">
                  <w:pPr>
                    <w:widowControl/>
                    <w:adjustRightInd w:val="0"/>
                    <w:snapToGrid w:val="0"/>
                    <w:jc w:val="center"/>
                    <w:rPr>
                      <w:kern w:val="0"/>
                      <w:sz w:val="18"/>
                      <w:szCs w:val="18"/>
                      <w:u w:val="none"/>
                    </w:rPr>
                  </w:pPr>
                  <w:r>
                    <w:rPr>
                      <w:rFonts w:hint="eastAsia"/>
                      <w:kern w:val="0"/>
                      <w:sz w:val="18"/>
                      <w:szCs w:val="18"/>
                      <w:u w:val="none"/>
                      <w:lang w:val="en-US" w:eastAsia="zh-CN"/>
                    </w:rPr>
                    <w:t>1户居民</w:t>
                  </w:r>
                </w:p>
              </w:tc>
              <w:tc>
                <w:tcPr>
                  <w:tcW w:w="1134" w:type="dxa"/>
                  <w:tcBorders>
                    <w:tl2br w:val="nil"/>
                    <w:tr2bl w:val="nil"/>
                  </w:tcBorders>
                  <w:shd w:val="clear" w:color="auto" w:fill="auto"/>
                  <w:noWrap/>
                  <w:vAlign w:val="center"/>
                </w:tcPr>
                <w:p w14:paraId="32BE82CE">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DZ7北面</w:t>
                  </w:r>
                </w:p>
              </w:tc>
              <w:tc>
                <w:tcPr>
                  <w:tcW w:w="851" w:type="dxa"/>
                  <w:tcBorders>
                    <w:tl2br w:val="nil"/>
                    <w:tr2bl w:val="nil"/>
                  </w:tcBorders>
                  <w:shd w:val="clear" w:color="auto" w:fill="auto"/>
                  <w:noWrap/>
                  <w:vAlign w:val="center"/>
                </w:tcPr>
                <w:p w14:paraId="72FCEEB1">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485</w:t>
                  </w:r>
                </w:p>
              </w:tc>
              <w:tc>
                <w:tcPr>
                  <w:tcW w:w="650" w:type="dxa"/>
                  <w:vMerge w:val="continue"/>
                  <w:tcBorders>
                    <w:tl2br w:val="nil"/>
                    <w:tr2bl w:val="nil"/>
                  </w:tcBorders>
                  <w:vAlign w:val="center"/>
                </w:tcPr>
                <w:p w14:paraId="34A118BE">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3EA1BE44">
                  <w:pPr>
                    <w:widowControl/>
                    <w:adjustRightInd w:val="0"/>
                    <w:snapToGrid w:val="0"/>
                    <w:jc w:val="center"/>
                    <w:rPr>
                      <w:rFonts w:eastAsia="等线"/>
                      <w:kern w:val="0"/>
                      <w:sz w:val="18"/>
                      <w:szCs w:val="18"/>
                      <w:u w:val="none"/>
                    </w:rPr>
                  </w:pPr>
                </w:p>
              </w:tc>
            </w:tr>
            <w:tr w14:paraId="6610DF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061FAAFA">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0A56A651">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大屋岭居民</w:t>
                  </w:r>
                </w:p>
              </w:tc>
              <w:tc>
                <w:tcPr>
                  <w:tcW w:w="851" w:type="dxa"/>
                  <w:tcBorders>
                    <w:tl2br w:val="nil"/>
                    <w:tr2bl w:val="nil"/>
                  </w:tcBorders>
                  <w:shd w:val="clear" w:color="auto" w:fill="auto"/>
                  <w:noWrap/>
                  <w:vAlign w:val="center"/>
                </w:tcPr>
                <w:p w14:paraId="32F7E9C1">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735.22417</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6FEADB08">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759.18912</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0B011DCC">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248</w:t>
                  </w:r>
                </w:p>
              </w:tc>
              <w:tc>
                <w:tcPr>
                  <w:tcW w:w="992" w:type="dxa"/>
                  <w:tcBorders>
                    <w:tl2br w:val="nil"/>
                    <w:tr2bl w:val="nil"/>
                  </w:tcBorders>
                  <w:shd w:val="clear" w:color="auto" w:fill="auto"/>
                  <w:noWrap/>
                  <w:vAlign w:val="center"/>
                </w:tcPr>
                <w:p w14:paraId="06073589">
                  <w:pPr>
                    <w:widowControl/>
                    <w:adjustRightInd w:val="0"/>
                    <w:snapToGrid w:val="0"/>
                    <w:jc w:val="center"/>
                    <w:rPr>
                      <w:kern w:val="0"/>
                      <w:sz w:val="18"/>
                      <w:szCs w:val="18"/>
                      <w:u w:val="none"/>
                    </w:rPr>
                  </w:pPr>
                  <w:r>
                    <w:rPr>
                      <w:rFonts w:hint="eastAsia"/>
                      <w:kern w:val="0"/>
                      <w:sz w:val="18"/>
                      <w:szCs w:val="18"/>
                      <w:u w:val="none"/>
                      <w:lang w:val="en-US" w:eastAsia="zh-CN"/>
                    </w:rPr>
                    <w:t>约20户</w:t>
                  </w:r>
                </w:p>
              </w:tc>
              <w:tc>
                <w:tcPr>
                  <w:tcW w:w="1134" w:type="dxa"/>
                  <w:tcBorders>
                    <w:tl2br w:val="nil"/>
                    <w:tr2bl w:val="nil"/>
                  </w:tcBorders>
                  <w:shd w:val="clear" w:color="auto" w:fill="auto"/>
                  <w:noWrap/>
                  <w:vAlign w:val="center"/>
                </w:tcPr>
                <w:p w14:paraId="2290F68C">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DZ14北面</w:t>
                  </w:r>
                </w:p>
              </w:tc>
              <w:tc>
                <w:tcPr>
                  <w:tcW w:w="851" w:type="dxa"/>
                  <w:tcBorders>
                    <w:tl2br w:val="nil"/>
                    <w:tr2bl w:val="nil"/>
                  </w:tcBorders>
                  <w:shd w:val="clear" w:color="auto" w:fill="auto"/>
                  <w:noWrap/>
                  <w:vAlign w:val="center"/>
                </w:tcPr>
                <w:p w14:paraId="67B91F0F">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480</w:t>
                  </w:r>
                </w:p>
              </w:tc>
              <w:tc>
                <w:tcPr>
                  <w:tcW w:w="650" w:type="dxa"/>
                  <w:vMerge w:val="continue"/>
                  <w:tcBorders>
                    <w:tl2br w:val="nil"/>
                    <w:tr2bl w:val="nil"/>
                  </w:tcBorders>
                  <w:vAlign w:val="center"/>
                </w:tcPr>
                <w:p w14:paraId="4B6B887F">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1A741B61">
                  <w:pPr>
                    <w:widowControl/>
                    <w:adjustRightInd w:val="0"/>
                    <w:snapToGrid w:val="0"/>
                    <w:jc w:val="center"/>
                    <w:rPr>
                      <w:rFonts w:eastAsia="等线"/>
                      <w:kern w:val="0"/>
                      <w:sz w:val="18"/>
                      <w:szCs w:val="18"/>
                      <w:u w:val="none"/>
                    </w:rPr>
                  </w:pPr>
                </w:p>
              </w:tc>
            </w:tr>
            <w:tr w14:paraId="745ADB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05A05520">
                  <w:pPr>
                    <w:widowControl/>
                    <w:adjustRightInd w:val="0"/>
                    <w:snapToGrid w:val="0"/>
                    <w:jc w:val="center"/>
                    <w:rPr>
                      <w:rFonts w:eastAsia="等线"/>
                      <w:kern w:val="0"/>
                      <w:sz w:val="18"/>
                      <w:szCs w:val="18"/>
                      <w:u w:val="none"/>
                    </w:rPr>
                  </w:pPr>
                </w:p>
              </w:tc>
              <w:tc>
                <w:tcPr>
                  <w:tcW w:w="6096" w:type="dxa"/>
                  <w:gridSpan w:val="7"/>
                  <w:tcBorders>
                    <w:tl2br w:val="nil"/>
                    <w:tr2bl w:val="nil"/>
                  </w:tcBorders>
                  <w:shd w:val="clear" w:color="auto" w:fill="auto"/>
                  <w:noWrap/>
                  <w:vAlign w:val="center"/>
                </w:tcPr>
                <w:p w14:paraId="4E03934A">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运输道路沿线居民</w:t>
                  </w:r>
                </w:p>
              </w:tc>
              <w:tc>
                <w:tcPr>
                  <w:tcW w:w="650" w:type="dxa"/>
                  <w:vMerge w:val="continue"/>
                  <w:tcBorders>
                    <w:tl2br w:val="nil"/>
                    <w:tr2bl w:val="nil"/>
                  </w:tcBorders>
                  <w:vAlign w:val="center"/>
                </w:tcPr>
                <w:p w14:paraId="289F86F6">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6D64E58C">
                  <w:pPr>
                    <w:widowControl/>
                    <w:adjustRightInd w:val="0"/>
                    <w:snapToGrid w:val="0"/>
                    <w:jc w:val="center"/>
                    <w:rPr>
                      <w:rFonts w:eastAsia="等线"/>
                      <w:kern w:val="0"/>
                      <w:sz w:val="18"/>
                      <w:szCs w:val="18"/>
                      <w:u w:val="none"/>
                    </w:rPr>
                  </w:pPr>
                </w:p>
              </w:tc>
            </w:tr>
            <w:tr w14:paraId="0F4A8D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restart"/>
                  <w:tcBorders>
                    <w:tl2br w:val="nil"/>
                    <w:tr2bl w:val="nil"/>
                  </w:tcBorders>
                  <w:shd w:val="clear" w:color="auto" w:fill="auto"/>
                  <w:vAlign w:val="center"/>
                </w:tcPr>
                <w:p w14:paraId="507A7EEA">
                  <w:pPr>
                    <w:widowControl/>
                    <w:adjustRightInd w:val="0"/>
                    <w:snapToGrid w:val="0"/>
                    <w:jc w:val="center"/>
                    <w:rPr>
                      <w:rFonts w:eastAsia="等线"/>
                      <w:kern w:val="0"/>
                      <w:sz w:val="18"/>
                      <w:szCs w:val="18"/>
                      <w:u w:val="none"/>
                    </w:rPr>
                  </w:pPr>
                  <w:r>
                    <w:rPr>
                      <w:kern w:val="0"/>
                      <w:sz w:val="18"/>
                      <w:szCs w:val="18"/>
                      <w:u w:val="none"/>
                    </w:rPr>
                    <w:t>声环境</w:t>
                  </w:r>
                </w:p>
              </w:tc>
              <w:tc>
                <w:tcPr>
                  <w:tcW w:w="567" w:type="dxa"/>
                  <w:tcBorders>
                    <w:tl2br w:val="nil"/>
                    <w:tr2bl w:val="nil"/>
                  </w:tcBorders>
                  <w:shd w:val="clear" w:color="auto" w:fill="auto"/>
                  <w:noWrap/>
                  <w:vAlign w:val="center"/>
                </w:tcPr>
                <w:p w14:paraId="53788E28">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851" w:type="dxa"/>
                  <w:tcBorders>
                    <w:tl2br w:val="nil"/>
                    <w:tr2bl w:val="nil"/>
                  </w:tcBorders>
                  <w:shd w:val="clear" w:color="auto" w:fill="auto"/>
                  <w:noWrap/>
                  <w:vAlign w:val="center"/>
                </w:tcPr>
                <w:p w14:paraId="3D711C60">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113°5′41.91895″</w:t>
                  </w:r>
                </w:p>
              </w:tc>
              <w:tc>
                <w:tcPr>
                  <w:tcW w:w="850" w:type="dxa"/>
                  <w:tcBorders>
                    <w:tl2br w:val="nil"/>
                    <w:tr2bl w:val="nil"/>
                  </w:tcBorders>
                  <w:shd w:val="clear" w:color="auto" w:fill="auto"/>
                  <w:noWrap/>
                  <w:vAlign w:val="center"/>
                </w:tcPr>
                <w:p w14:paraId="5A49F5BA">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26°29′18.64788″</w:t>
                  </w:r>
                </w:p>
              </w:tc>
              <w:tc>
                <w:tcPr>
                  <w:tcW w:w="851" w:type="dxa"/>
                  <w:tcBorders>
                    <w:tl2br w:val="nil"/>
                    <w:tr2bl w:val="nil"/>
                  </w:tcBorders>
                  <w:shd w:val="clear" w:color="auto" w:fill="auto"/>
                  <w:noWrap/>
                  <w:vAlign w:val="center"/>
                </w:tcPr>
                <w:p w14:paraId="4A39BA5F">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243</w:t>
                  </w:r>
                </w:p>
              </w:tc>
              <w:tc>
                <w:tcPr>
                  <w:tcW w:w="992" w:type="dxa"/>
                  <w:tcBorders>
                    <w:tl2br w:val="nil"/>
                    <w:tr2bl w:val="nil"/>
                  </w:tcBorders>
                  <w:shd w:val="clear" w:color="auto" w:fill="auto"/>
                  <w:noWrap/>
                  <w:vAlign w:val="center"/>
                </w:tcPr>
                <w:p w14:paraId="75312A3F">
                  <w:pPr>
                    <w:widowControl/>
                    <w:adjustRightInd w:val="0"/>
                    <w:snapToGrid w:val="0"/>
                    <w:jc w:val="center"/>
                    <w:rPr>
                      <w:rFonts w:ascii="Times New Roman" w:hAnsi="Times New Roman" w:eastAsia="宋体" w:cs="Times New Roman"/>
                      <w:kern w:val="0"/>
                      <w:sz w:val="18"/>
                      <w:szCs w:val="18"/>
                      <w:u w:val="none"/>
                      <w:lang w:val="en-US" w:eastAsia="zh-CN" w:bidi="ar-SA"/>
                    </w:rPr>
                  </w:pPr>
                  <w:r>
                    <w:rPr>
                      <w:kern w:val="0"/>
                      <w:sz w:val="18"/>
                      <w:szCs w:val="18"/>
                      <w:u w:val="none"/>
                    </w:rPr>
                    <w:t>约</w:t>
                  </w:r>
                  <w:r>
                    <w:rPr>
                      <w:rFonts w:hint="eastAsia"/>
                      <w:kern w:val="0"/>
                      <w:sz w:val="18"/>
                      <w:szCs w:val="18"/>
                      <w:u w:val="none"/>
                      <w:lang w:val="en-US" w:eastAsia="zh-CN"/>
                    </w:rPr>
                    <w:t>3</w:t>
                  </w:r>
                  <w:r>
                    <w:rPr>
                      <w:kern w:val="0"/>
                      <w:sz w:val="18"/>
                      <w:szCs w:val="18"/>
                      <w:u w:val="none"/>
                    </w:rPr>
                    <w:t>户居民</w:t>
                  </w:r>
                </w:p>
              </w:tc>
              <w:tc>
                <w:tcPr>
                  <w:tcW w:w="1134" w:type="dxa"/>
                  <w:tcBorders>
                    <w:tl2br w:val="nil"/>
                    <w:tr2bl w:val="nil"/>
                  </w:tcBorders>
                  <w:shd w:val="clear" w:color="auto" w:fill="auto"/>
                  <w:noWrap/>
                  <w:vAlign w:val="center"/>
                </w:tcPr>
                <w:p w14:paraId="64924F5E">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DZ6东北面</w:t>
                  </w:r>
                </w:p>
              </w:tc>
              <w:tc>
                <w:tcPr>
                  <w:tcW w:w="851" w:type="dxa"/>
                  <w:tcBorders>
                    <w:tl2br w:val="nil"/>
                    <w:tr2bl w:val="nil"/>
                  </w:tcBorders>
                  <w:shd w:val="clear" w:color="auto" w:fill="auto"/>
                  <w:noWrap/>
                  <w:vAlign w:val="center"/>
                </w:tcPr>
                <w:p w14:paraId="51F10D51">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495</w:t>
                  </w:r>
                </w:p>
              </w:tc>
              <w:tc>
                <w:tcPr>
                  <w:tcW w:w="650" w:type="dxa"/>
                  <w:vMerge w:val="restart"/>
                  <w:tcBorders>
                    <w:tl2br w:val="nil"/>
                    <w:tr2bl w:val="nil"/>
                  </w:tcBorders>
                  <w:shd w:val="clear" w:color="auto" w:fill="auto"/>
                  <w:vAlign w:val="center"/>
                </w:tcPr>
                <w:p w14:paraId="6FDFB87A">
                  <w:pPr>
                    <w:widowControl/>
                    <w:adjustRightInd w:val="0"/>
                    <w:snapToGrid w:val="0"/>
                    <w:jc w:val="center"/>
                    <w:rPr>
                      <w:kern w:val="0"/>
                      <w:sz w:val="18"/>
                      <w:szCs w:val="18"/>
                      <w:u w:val="none"/>
                    </w:rPr>
                  </w:pPr>
                  <w:r>
                    <w:rPr>
                      <w:rFonts w:hint="eastAsia"/>
                      <w:kern w:val="0"/>
                      <w:sz w:val="18"/>
                      <w:szCs w:val="18"/>
                      <w:u w:val="none"/>
                      <w:lang w:val="en-US" w:eastAsia="zh-CN"/>
                    </w:rPr>
                    <w:t>施工期噪声、</w:t>
                  </w:r>
                  <w:r>
                    <w:rPr>
                      <w:kern w:val="0"/>
                      <w:sz w:val="18"/>
                      <w:szCs w:val="18"/>
                      <w:u w:val="none"/>
                    </w:rPr>
                    <w:t>运营期风机噪声影响</w:t>
                  </w:r>
                </w:p>
              </w:tc>
              <w:tc>
                <w:tcPr>
                  <w:tcW w:w="663" w:type="dxa"/>
                  <w:vMerge w:val="restart"/>
                  <w:tcBorders>
                    <w:tl2br w:val="nil"/>
                    <w:tr2bl w:val="nil"/>
                  </w:tcBorders>
                  <w:shd w:val="clear" w:color="auto" w:fill="auto"/>
                  <w:vAlign w:val="center"/>
                </w:tcPr>
                <w:p w14:paraId="2212AEA3">
                  <w:pPr>
                    <w:widowControl/>
                    <w:adjustRightInd w:val="0"/>
                    <w:snapToGrid w:val="0"/>
                    <w:jc w:val="center"/>
                    <w:rPr>
                      <w:rFonts w:eastAsia="等线"/>
                      <w:kern w:val="0"/>
                      <w:sz w:val="18"/>
                      <w:szCs w:val="18"/>
                      <w:u w:val="none"/>
                    </w:rPr>
                  </w:pPr>
                  <w:r>
                    <w:rPr>
                      <w:kern w:val="0"/>
                      <w:sz w:val="18"/>
                      <w:szCs w:val="18"/>
                      <w:u w:val="none"/>
                    </w:rPr>
                    <w:t>《声环境质量标准》（</w:t>
                  </w:r>
                  <w:r>
                    <w:rPr>
                      <w:rFonts w:eastAsia="等线"/>
                      <w:kern w:val="0"/>
                      <w:sz w:val="18"/>
                      <w:szCs w:val="18"/>
                      <w:u w:val="none"/>
                    </w:rPr>
                    <w:t>3096-2008</w:t>
                  </w:r>
                  <w:r>
                    <w:rPr>
                      <w:kern w:val="0"/>
                      <w:sz w:val="18"/>
                      <w:szCs w:val="18"/>
                      <w:u w:val="none"/>
                    </w:rPr>
                    <w:t>）</w:t>
                  </w:r>
                  <w:r>
                    <w:rPr>
                      <w:rFonts w:eastAsia="等线"/>
                      <w:kern w:val="0"/>
                      <w:sz w:val="18"/>
                      <w:szCs w:val="18"/>
                      <w:u w:val="none"/>
                    </w:rPr>
                    <w:t>2</w:t>
                  </w:r>
                  <w:r>
                    <w:rPr>
                      <w:kern w:val="0"/>
                      <w:sz w:val="18"/>
                      <w:szCs w:val="18"/>
                      <w:u w:val="none"/>
                    </w:rPr>
                    <w:t>类标准</w:t>
                  </w:r>
                </w:p>
              </w:tc>
            </w:tr>
            <w:tr w14:paraId="58A16A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528A33AD">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78097F4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乌龟冲居民</w:t>
                  </w:r>
                </w:p>
              </w:tc>
              <w:tc>
                <w:tcPr>
                  <w:tcW w:w="851" w:type="dxa"/>
                  <w:tcBorders>
                    <w:tl2br w:val="nil"/>
                    <w:tr2bl w:val="nil"/>
                  </w:tcBorders>
                  <w:shd w:val="clear" w:color="auto" w:fill="auto"/>
                  <w:noWrap/>
                  <w:vAlign w:val="center"/>
                </w:tcPr>
                <w:p w14:paraId="709C5BEE">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113°8′17.49566″</w:t>
                  </w:r>
                </w:p>
              </w:tc>
              <w:tc>
                <w:tcPr>
                  <w:tcW w:w="850" w:type="dxa"/>
                  <w:tcBorders>
                    <w:tl2br w:val="nil"/>
                    <w:tr2bl w:val="nil"/>
                  </w:tcBorders>
                  <w:shd w:val="clear" w:color="auto" w:fill="auto"/>
                  <w:noWrap/>
                  <w:vAlign w:val="center"/>
                </w:tcPr>
                <w:p w14:paraId="26607D0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26°28′51.55328″</w:t>
                  </w:r>
                </w:p>
              </w:tc>
              <w:tc>
                <w:tcPr>
                  <w:tcW w:w="851" w:type="dxa"/>
                  <w:tcBorders>
                    <w:tl2br w:val="nil"/>
                    <w:tr2bl w:val="nil"/>
                  </w:tcBorders>
                  <w:shd w:val="clear" w:color="auto" w:fill="auto"/>
                  <w:noWrap/>
                  <w:vAlign w:val="center"/>
                </w:tcPr>
                <w:p w14:paraId="37B1C6B1">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251</w:t>
                  </w:r>
                </w:p>
              </w:tc>
              <w:tc>
                <w:tcPr>
                  <w:tcW w:w="992" w:type="dxa"/>
                  <w:tcBorders>
                    <w:tl2br w:val="nil"/>
                    <w:tr2bl w:val="nil"/>
                  </w:tcBorders>
                  <w:shd w:val="clear" w:color="auto" w:fill="auto"/>
                  <w:noWrap/>
                  <w:vAlign w:val="center"/>
                </w:tcPr>
                <w:p w14:paraId="48EDCA19">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w:t>
                  </w:r>
                  <w:r>
                    <w:rPr>
                      <w:kern w:val="0"/>
                      <w:sz w:val="18"/>
                      <w:szCs w:val="18"/>
                      <w:u w:val="none"/>
                    </w:rPr>
                    <w:t>户居民</w:t>
                  </w:r>
                </w:p>
              </w:tc>
              <w:tc>
                <w:tcPr>
                  <w:tcW w:w="1134" w:type="dxa"/>
                  <w:tcBorders>
                    <w:tl2br w:val="nil"/>
                    <w:tr2bl w:val="nil"/>
                  </w:tcBorders>
                  <w:shd w:val="clear" w:color="auto" w:fill="auto"/>
                  <w:noWrap/>
                  <w:vAlign w:val="center"/>
                </w:tcPr>
                <w:p w14:paraId="17A50486">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DZ22北面</w:t>
                  </w:r>
                </w:p>
              </w:tc>
              <w:tc>
                <w:tcPr>
                  <w:tcW w:w="851" w:type="dxa"/>
                  <w:tcBorders>
                    <w:tl2br w:val="nil"/>
                    <w:tr2bl w:val="nil"/>
                  </w:tcBorders>
                  <w:shd w:val="clear" w:color="auto" w:fill="auto"/>
                  <w:noWrap/>
                  <w:vAlign w:val="center"/>
                </w:tcPr>
                <w:p w14:paraId="637C1FB6">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320</w:t>
                  </w:r>
                </w:p>
              </w:tc>
              <w:tc>
                <w:tcPr>
                  <w:tcW w:w="650" w:type="dxa"/>
                  <w:vMerge w:val="continue"/>
                  <w:tcBorders>
                    <w:tl2br w:val="nil"/>
                    <w:tr2bl w:val="nil"/>
                  </w:tcBorders>
                  <w:vAlign w:val="center"/>
                </w:tcPr>
                <w:p w14:paraId="187DD58C">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65929B99">
                  <w:pPr>
                    <w:widowControl/>
                    <w:adjustRightInd w:val="0"/>
                    <w:snapToGrid w:val="0"/>
                    <w:jc w:val="center"/>
                    <w:rPr>
                      <w:rFonts w:eastAsia="等线"/>
                      <w:kern w:val="0"/>
                      <w:sz w:val="18"/>
                      <w:szCs w:val="18"/>
                      <w:u w:val="none"/>
                    </w:rPr>
                  </w:pPr>
                </w:p>
              </w:tc>
            </w:tr>
            <w:tr w14:paraId="2F0EC9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6056E925">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70735CBE">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泉岭村居民</w:t>
                  </w:r>
                </w:p>
              </w:tc>
              <w:tc>
                <w:tcPr>
                  <w:tcW w:w="851" w:type="dxa"/>
                  <w:tcBorders>
                    <w:tl2br w:val="nil"/>
                    <w:tr2bl w:val="nil"/>
                  </w:tcBorders>
                  <w:shd w:val="clear" w:color="auto" w:fill="auto"/>
                  <w:noWrap/>
                  <w:vAlign w:val="center"/>
                </w:tcPr>
                <w:p w14:paraId="124BF553">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5</w:t>
                  </w:r>
                  <w:r>
                    <w:rPr>
                      <w:rFonts w:hint="default"/>
                      <w:kern w:val="0"/>
                      <w:sz w:val="18"/>
                      <w:szCs w:val="18"/>
                      <w:u w:val="none"/>
                      <w:lang w:val="en-US" w:eastAsia="zh-CN"/>
                    </w:rPr>
                    <w:t>′</w:t>
                  </w:r>
                  <w:r>
                    <w:rPr>
                      <w:rFonts w:hint="eastAsia"/>
                      <w:kern w:val="0"/>
                      <w:sz w:val="18"/>
                      <w:szCs w:val="18"/>
                      <w:u w:val="none"/>
                      <w:lang w:val="en-US" w:eastAsia="zh-CN"/>
                    </w:rPr>
                    <w:t>51.53628</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751F385C">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8</w:t>
                  </w:r>
                  <w:r>
                    <w:rPr>
                      <w:rFonts w:hint="default"/>
                      <w:kern w:val="0"/>
                      <w:sz w:val="18"/>
                      <w:szCs w:val="18"/>
                      <w:u w:val="none"/>
                      <w:lang w:val="en-US" w:eastAsia="zh-CN"/>
                    </w:rPr>
                    <w:t>′</w:t>
                  </w:r>
                  <w:r>
                    <w:rPr>
                      <w:rFonts w:hint="eastAsia"/>
                      <w:kern w:val="0"/>
                      <w:sz w:val="18"/>
                      <w:szCs w:val="18"/>
                      <w:u w:val="none"/>
                      <w:lang w:val="en-US" w:eastAsia="zh-CN"/>
                    </w:rPr>
                    <w:t>46.69633</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4011F17B">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237</w:t>
                  </w:r>
                </w:p>
              </w:tc>
              <w:tc>
                <w:tcPr>
                  <w:tcW w:w="992" w:type="dxa"/>
                  <w:tcBorders>
                    <w:tl2br w:val="nil"/>
                    <w:tr2bl w:val="nil"/>
                  </w:tcBorders>
                  <w:shd w:val="clear" w:color="auto" w:fill="auto"/>
                  <w:noWrap/>
                  <w:vAlign w:val="center"/>
                </w:tcPr>
                <w:p w14:paraId="2B9AD3A9">
                  <w:pPr>
                    <w:widowControl/>
                    <w:adjustRightInd w:val="0"/>
                    <w:snapToGrid w:val="0"/>
                    <w:jc w:val="center"/>
                    <w:rPr>
                      <w:rFonts w:hint="default" w:eastAsia="宋体"/>
                      <w:kern w:val="0"/>
                      <w:sz w:val="18"/>
                      <w:szCs w:val="18"/>
                      <w:u w:val="none"/>
                      <w:lang w:val="en-US" w:eastAsia="zh-CN"/>
                    </w:rPr>
                  </w:pPr>
                  <w:r>
                    <w:rPr>
                      <w:rFonts w:hint="eastAsia"/>
                      <w:kern w:val="0"/>
                      <w:sz w:val="18"/>
                      <w:szCs w:val="18"/>
                      <w:u w:val="none"/>
                      <w:lang w:val="en-US" w:eastAsia="zh-CN"/>
                    </w:rPr>
                    <w:t xml:space="preserve">1户居民 </w:t>
                  </w:r>
                </w:p>
              </w:tc>
              <w:tc>
                <w:tcPr>
                  <w:tcW w:w="1134" w:type="dxa"/>
                  <w:tcBorders>
                    <w:tl2br w:val="nil"/>
                    <w:tr2bl w:val="nil"/>
                  </w:tcBorders>
                  <w:shd w:val="clear" w:color="auto" w:fill="auto"/>
                  <w:noWrap/>
                  <w:vAlign w:val="center"/>
                </w:tcPr>
                <w:p w14:paraId="33726802">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DZ6南面</w:t>
                  </w:r>
                </w:p>
              </w:tc>
              <w:tc>
                <w:tcPr>
                  <w:tcW w:w="851" w:type="dxa"/>
                  <w:tcBorders>
                    <w:tl2br w:val="nil"/>
                    <w:tr2bl w:val="nil"/>
                  </w:tcBorders>
                  <w:shd w:val="clear" w:color="auto" w:fill="auto"/>
                  <w:noWrap/>
                  <w:vAlign w:val="center"/>
                </w:tcPr>
                <w:p w14:paraId="1BEE763F">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490</w:t>
                  </w:r>
                </w:p>
              </w:tc>
              <w:tc>
                <w:tcPr>
                  <w:tcW w:w="650" w:type="dxa"/>
                  <w:vMerge w:val="continue"/>
                  <w:tcBorders>
                    <w:tl2br w:val="nil"/>
                    <w:tr2bl w:val="nil"/>
                  </w:tcBorders>
                  <w:vAlign w:val="center"/>
                </w:tcPr>
                <w:p w14:paraId="3B558093">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21440FBA">
                  <w:pPr>
                    <w:widowControl/>
                    <w:adjustRightInd w:val="0"/>
                    <w:snapToGrid w:val="0"/>
                    <w:jc w:val="center"/>
                    <w:rPr>
                      <w:rFonts w:eastAsia="等线"/>
                      <w:kern w:val="0"/>
                      <w:sz w:val="18"/>
                      <w:szCs w:val="18"/>
                      <w:u w:val="none"/>
                    </w:rPr>
                  </w:pPr>
                </w:p>
              </w:tc>
            </w:tr>
            <w:tr w14:paraId="4205CB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7BBF404D">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3C0A2E2B">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下石岭居民</w:t>
                  </w:r>
                </w:p>
              </w:tc>
              <w:tc>
                <w:tcPr>
                  <w:tcW w:w="851" w:type="dxa"/>
                  <w:tcBorders>
                    <w:tl2br w:val="nil"/>
                    <w:tr2bl w:val="nil"/>
                  </w:tcBorders>
                  <w:shd w:val="clear" w:color="auto" w:fill="auto"/>
                  <w:noWrap/>
                  <w:vAlign w:val="center"/>
                </w:tcPr>
                <w:p w14:paraId="55FDCCE3">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6</w:t>
                  </w:r>
                  <w:r>
                    <w:rPr>
                      <w:rFonts w:hint="default"/>
                      <w:kern w:val="0"/>
                      <w:sz w:val="18"/>
                      <w:szCs w:val="18"/>
                      <w:u w:val="none"/>
                      <w:lang w:val="en-US" w:eastAsia="zh-CN"/>
                    </w:rPr>
                    <w:t>′</w:t>
                  </w:r>
                  <w:r>
                    <w:rPr>
                      <w:rFonts w:hint="eastAsia"/>
                      <w:kern w:val="0"/>
                      <w:sz w:val="18"/>
                      <w:szCs w:val="18"/>
                      <w:u w:val="none"/>
                      <w:lang w:val="en-US" w:eastAsia="zh-CN"/>
                    </w:rPr>
                    <w:t>13.88015</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10113D8A">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9</w:t>
                  </w:r>
                  <w:r>
                    <w:rPr>
                      <w:rFonts w:hint="default"/>
                      <w:kern w:val="0"/>
                      <w:sz w:val="18"/>
                      <w:szCs w:val="18"/>
                      <w:u w:val="none"/>
                      <w:lang w:val="en-US" w:eastAsia="zh-CN"/>
                    </w:rPr>
                    <w:t>′</w:t>
                  </w:r>
                  <w:r>
                    <w:rPr>
                      <w:rFonts w:hint="eastAsia"/>
                      <w:kern w:val="0"/>
                      <w:sz w:val="18"/>
                      <w:szCs w:val="18"/>
                      <w:u w:val="none"/>
                      <w:lang w:val="en-US" w:eastAsia="zh-CN"/>
                    </w:rPr>
                    <w:t>48.89998</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7612B137">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298</w:t>
                  </w:r>
                </w:p>
              </w:tc>
              <w:tc>
                <w:tcPr>
                  <w:tcW w:w="992" w:type="dxa"/>
                  <w:tcBorders>
                    <w:tl2br w:val="nil"/>
                    <w:tr2bl w:val="nil"/>
                  </w:tcBorders>
                  <w:shd w:val="clear" w:color="auto" w:fill="auto"/>
                  <w:noWrap/>
                  <w:vAlign w:val="center"/>
                </w:tcPr>
                <w:p w14:paraId="2EEA40BC">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1户居民</w:t>
                  </w:r>
                </w:p>
              </w:tc>
              <w:tc>
                <w:tcPr>
                  <w:tcW w:w="1134" w:type="dxa"/>
                  <w:tcBorders>
                    <w:tl2br w:val="nil"/>
                    <w:tr2bl w:val="nil"/>
                  </w:tcBorders>
                  <w:shd w:val="clear" w:color="auto" w:fill="auto"/>
                  <w:noWrap/>
                  <w:vAlign w:val="center"/>
                </w:tcPr>
                <w:p w14:paraId="09970D6E">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DZ7北面</w:t>
                  </w:r>
                </w:p>
              </w:tc>
              <w:tc>
                <w:tcPr>
                  <w:tcW w:w="851" w:type="dxa"/>
                  <w:tcBorders>
                    <w:tl2br w:val="nil"/>
                    <w:tr2bl w:val="nil"/>
                  </w:tcBorders>
                  <w:shd w:val="clear" w:color="auto" w:fill="auto"/>
                  <w:noWrap/>
                  <w:vAlign w:val="center"/>
                </w:tcPr>
                <w:p w14:paraId="420976BB">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485</w:t>
                  </w:r>
                </w:p>
              </w:tc>
              <w:tc>
                <w:tcPr>
                  <w:tcW w:w="650" w:type="dxa"/>
                  <w:vMerge w:val="continue"/>
                  <w:tcBorders>
                    <w:tl2br w:val="nil"/>
                    <w:tr2bl w:val="nil"/>
                  </w:tcBorders>
                  <w:vAlign w:val="center"/>
                </w:tcPr>
                <w:p w14:paraId="2A47B615">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435E58D3">
                  <w:pPr>
                    <w:widowControl/>
                    <w:adjustRightInd w:val="0"/>
                    <w:snapToGrid w:val="0"/>
                    <w:jc w:val="center"/>
                    <w:rPr>
                      <w:rFonts w:eastAsia="等线"/>
                      <w:kern w:val="0"/>
                      <w:sz w:val="18"/>
                      <w:szCs w:val="18"/>
                      <w:u w:val="none"/>
                    </w:rPr>
                  </w:pPr>
                </w:p>
              </w:tc>
            </w:tr>
            <w:tr w14:paraId="7DB76D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2CD59EE6">
                  <w:pPr>
                    <w:widowControl/>
                    <w:adjustRightInd w:val="0"/>
                    <w:snapToGrid w:val="0"/>
                    <w:jc w:val="center"/>
                    <w:rPr>
                      <w:rFonts w:eastAsia="等线"/>
                      <w:kern w:val="0"/>
                      <w:sz w:val="18"/>
                      <w:szCs w:val="18"/>
                      <w:u w:val="none"/>
                    </w:rPr>
                  </w:pPr>
                </w:p>
              </w:tc>
              <w:tc>
                <w:tcPr>
                  <w:tcW w:w="567" w:type="dxa"/>
                  <w:tcBorders>
                    <w:tl2br w:val="nil"/>
                    <w:tr2bl w:val="nil"/>
                  </w:tcBorders>
                  <w:shd w:val="clear" w:color="auto" w:fill="auto"/>
                  <w:noWrap/>
                  <w:vAlign w:val="center"/>
                </w:tcPr>
                <w:p w14:paraId="346EF604">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大屋岭居民</w:t>
                  </w:r>
                </w:p>
              </w:tc>
              <w:tc>
                <w:tcPr>
                  <w:tcW w:w="851" w:type="dxa"/>
                  <w:tcBorders>
                    <w:tl2br w:val="nil"/>
                    <w:tr2bl w:val="nil"/>
                  </w:tcBorders>
                  <w:shd w:val="clear" w:color="auto" w:fill="auto"/>
                  <w:noWrap/>
                  <w:vAlign w:val="center"/>
                </w:tcPr>
                <w:p w14:paraId="4B666CFB">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E</w:t>
                  </w:r>
                  <w:r>
                    <w:rPr>
                      <w:rFonts w:hint="default"/>
                      <w:kern w:val="0"/>
                      <w:sz w:val="18"/>
                      <w:szCs w:val="18"/>
                      <w:u w:val="none"/>
                      <w:lang w:val="en-US" w:eastAsia="zh-CN"/>
                    </w:rPr>
                    <w:t>113°</w:t>
                  </w:r>
                  <w:r>
                    <w:rPr>
                      <w:rFonts w:hint="eastAsia"/>
                      <w:kern w:val="0"/>
                      <w:sz w:val="18"/>
                      <w:szCs w:val="18"/>
                      <w:u w:val="none"/>
                      <w:lang w:val="en-US" w:eastAsia="zh-CN"/>
                    </w:rPr>
                    <w:t>735.22417</w:t>
                  </w:r>
                  <w:r>
                    <w:rPr>
                      <w:rFonts w:hint="default"/>
                      <w:kern w:val="0"/>
                      <w:sz w:val="18"/>
                      <w:szCs w:val="18"/>
                      <w:u w:val="none"/>
                      <w:lang w:val="en-US" w:eastAsia="zh-CN"/>
                    </w:rPr>
                    <w:t>″</w:t>
                  </w:r>
                </w:p>
              </w:tc>
              <w:tc>
                <w:tcPr>
                  <w:tcW w:w="850" w:type="dxa"/>
                  <w:tcBorders>
                    <w:tl2br w:val="nil"/>
                    <w:tr2bl w:val="nil"/>
                  </w:tcBorders>
                  <w:shd w:val="clear" w:color="auto" w:fill="auto"/>
                  <w:noWrap/>
                  <w:vAlign w:val="center"/>
                </w:tcPr>
                <w:p w14:paraId="6D6776CD">
                  <w:pPr>
                    <w:widowControl/>
                    <w:adjustRightInd w:val="0"/>
                    <w:snapToGrid w:val="0"/>
                    <w:jc w:val="center"/>
                    <w:rPr>
                      <w:rFonts w:hint="eastAsia"/>
                      <w:kern w:val="0"/>
                      <w:sz w:val="18"/>
                      <w:szCs w:val="18"/>
                      <w:u w:val="none"/>
                      <w:lang w:val="en-US" w:eastAsia="zh-CN"/>
                    </w:rPr>
                  </w:pPr>
                  <w:r>
                    <w:rPr>
                      <w:rFonts w:hint="eastAsia"/>
                      <w:kern w:val="0"/>
                      <w:sz w:val="18"/>
                      <w:szCs w:val="18"/>
                      <w:u w:val="none"/>
                      <w:lang w:val="en-US" w:eastAsia="zh-CN"/>
                    </w:rPr>
                    <w:t>N</w:t>
                  </w:r>
                  <w:r>
                    <w:rPr>
                      <w:rFonts w:hint="default"/>
                      <w:kern w:val="0"/>
                      <w:sz w:val="18"/>
                      <w:szCs w:val="18"/>
                      <w:u w:val="none"/>
                      <w:lang w:val="en-US" w:eastAsia="zh-CN"/>
                    </w:rPr>
                    <w:t>26°2</w:t>
                  </w:r>
                  <w:r>
                    <w:rPr>
                      <w:rFonts w:hint="eastAsia"/>
                      <w:kern w:val="0"/>
                      <w:sz w:val="18"/>
                      <w:szCs w:val="18"/>
                      <w:u w:val="none"/>
                      <w:lang w:val="en-US" w:eastAsia="zh-CN"/>
                    </w:rPr>
                    <w:t>759.18912</w:t>
                  </w:r>
                  <w:r>
                    <w:rPr>
                      <w:rFonts w:hint="default"/>
                      <w:kern w:val="0"/>
                      <w:sz w:val="18"/>
                      <w:szCs w:val="18"/>
                      <w:u w:val="none"/>
                      <w:lang w:val="en-US" w:eastAsia="zh-CN"/>
                    </w:rPr>
                    <w:t>″</w:t>
                  </w:r>
                </w:p>
              </w:tc>
              <w:tc>
                <w:tcPr>
                  <w:tcW w:w="851" w:type="dxa"/>
                  <w:tcBorders>
                    <w:tl2br w:val="nil"/>
                    <w:tr2bl w:val="nil"/>
                  </w:tcBorders>
                  <w:shd w:val="clear" w:color="auto" w:fill="auto"/>
                  <w:noWrap/>
                  <w:vAlign w:val="center"/>
                </w:tcPr>
                <w:p w14:paraId="4875C964">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248</w:t>
                  </w:r>
                </w:p>
              </w:tc>
              <w:tc>
                <w:tcPr>
                  <w:tcW w:w="992" w:type="dxa"/>
                  <w:tcBorders>
                    <w:tl2br w:val="nil"/>
                    <w:tr2bl w:val="nil"/>
                  </w:tcBorders>
                  <w:shd w:val="clear" w:color="auto" w:fill="auto"/>
                  <w:noWrap/>
                  <w:vAlign w:val="center"/>
                </w:tcPr>
                <w:p w14:paraId="58FDFF66">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约20户</w:t>
                  </w:r>
                </w:p>
              </w:tc>
              <w:tc>
                <w:tcPr>
                  <w:tcW w:w="1134" w:type="dxa"/>
                  <w:tcBorders>
                    <w:tl2br w:val="nil"/>
                    <w:tr2bl w:val="nil"/>
                  </w:tcBorders>
                  <w:shd w:val="clear" w:color="auto" w:fill="auto"/>
                  <w:noWrap/>
                  <w:vAlign w:val="center"/>
                </w:tcPr>
                <w:p w14:paraId="7A05B24B">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DZ14北面</w:t>
                  </w:r>
                </w:p>
              </w:tc>
              <w:tc>
                <w:tcPr>
                  <w:tcW w:w="851" w:type="dxa"/>
                  <w:tcBorders>
                    <w:tl2br w:val="nil"/>
                    <w:tr2bl w:val="nil"/>
                  </w:tcBorders>
                  <w:shd w:val="clear" w:color="auto" w:fill="auto"/>
                  <w:noWrap/>
                  <w:vAlign w:val="center"/>
                </w:tcPr>
                <w:p w14:paraId="20C73325">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480</w:t>
                  </w:r>
                </w:p>
              </w:tc>
              <w:tc>
                <w:tcPr>
                  <w:tcW w:w="650" w:type="dxa"/>
                  <w:vMerge w:val="continue"/>
                  <w:tcBorders>
                    <w:tl2br w:val="nil"/>
                    <w:tr2bl w:val="nil"/>
                  </w:tcBorders>
                  <w:vAlign w:val="center"/>
                </w:tcPr>
                <w:p w14:paraId="122C0CCB">
                  <w:pPr>
                    <w:widowControl/>
                    <w:adjustRightInd w:val="0"/>
                    <w:snapToGrid w:val="0"/>
                    <w:jc w:val="center"/>
                    <w:rPr>
                      <w:kern w:val="0"/>
                      <w:sz w:val="18"/>
                      <w:szCs w:val="18"/>
                      <w:u w:val="none"/>
                    </w:rPr>
                  </w:pPr>
                </w:p>
              </w:tc>
              <w:tc>
                <w:tcPr>
                  <w:tcW w:w="663" w:type="dxa"/>
                  <w:vMerge w:val="continue"/>
                  <w:tcBorders>
                    <w:tl2br w:val="nil"/>
                    <w:tr2bl w:val="nil"/>
                  </w:tcBorders>
                  <w:vAlign w:val="center"/>
                </w:tcPr>
                <w:p w14:paraId="47253BB6">
                  <w:pPr>
                    <w:widowControl/>
                    <w:adjustRightInd w:val="0"/>
                    <w:snapToGrid w:val="0"/>
                    <w:jc w:val="center"/>
                    <w:rPr>
                      <w:rFonts w:eastAsia="等线"/>
                      <w:kern w:val="0"/>
                      <w:sz w:val="18"/>
                      <w:szCs w:val="18"/>
                      <w:u w:val="none"/>
                    </w:rPr>
                  </w:pPr>
                </w:p>
              </w:tc>
            </w:tr>
            <w:tr w14:paraId="2355AE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40" w:type="dxa"/>
                  <w:bottom w:w="0" w:type="dxa"/>
                  <w:right w:w="40" w:type="dxa"/>
                </w:tblCellMar>
              </w:tblPrEx>
              <w:trPr>
                <w:trHeight w:val="23" w:hRule="atLeast"/>
              </w:trPr>
              <w:tc>
                <w:tcPr>
                  <w:tcW w:w="559" w:type="dxa"/>
                  <w:vMerge w:val="continue"/>
                  <w:tcBorders>
                    <w:tl2br w:val="nil"/>
                    <w:tr2bl w:val="nil"/>
                  </w:tcBorders>
                  <w:vAlign w:val="center"/>
                </w:tcPr>
                <w:p w14:paraId="3A96F83A">
                  <w:pPr>
                    <w:widowControl/>
                    <w:adjustRightInd w:val="0"/>
                    <w:snapToGrid w:val="0"/>
                    <w:jc w:val="center"/>
                    <w:rPr>
                      <w:rFonts w:eastAsia="等线"/>
                      <w:kern w:val="0"/>
                      <w:sz w:val="18"/>
                      <w:szCs w:val="18"/>
                      <w:u w:val="none"/>
                    </w:rPr>
                  </w:pPr>
                </w:p>
              </w:tc>
              <w:tc>
                <w:tcPr>
                  <w:tcW w:w="6096" w:type="dxa"/>
                  <w:gridSpan w:val="7"/>
                  <w:tcBorders>
                    <w:tl2br w:val="nil"/>
                    <w:tr2bl w:val="nil"/>
                  </w:tcBorders>
                  <w:shd w:val="clear" w:color="auto" w:fill="auto"/>
                  <w:noWrap/>
                  <w:vAlign w:val="center"/>
                </w:tcPr>
                <w:p w14:paraId="26FAD09E">
                  <w:pPr>
                    <w:widowControl/>
                    <w:adjustRightInd w:val="0"/>
                    <w:snapToGrid w:val="0"/>
                    <w:jc w:val="center"/>
                    <w:rPr>
                      <w:rFonts w:hint="default"/>
                      <w:kern w:val="0"/>
                      <w:sz w:val="18"/>
                      <w:szCs w:val="18"/>
                      <w:u w:val="none"/>
                      <w:lang w:val="en-US" w:eastAsia="zh-CN"/>
                    </w:rPr>
                  </w:pPr>
                  <w:r>
                    <w:rPr>
                      <w:rFonts w:hint="eastAsia"/>
                      <w:kern w:val="0"/>
                      <w:sz w:val="18"/>
                      <w:szCs w:val="18"/>
                      <w:u w:val="none"/>
                      <w:lang w:val="en-US" w:eastAsia="zh-CN"/>
                    </w:rPr>
                    <w:t>运输道路沿线居民</w:t>
                  </w:r>
                </w:p>
              </w:tc>
              <w:tc>
                <w:tcPr>
                  <w:tcW w:w="650" w:type="dxa"/>
                  <w:tcBorders>
                    <w:tl2br w:val="nil"/>
                    <w:tr2bl w:val="nil"/>
                  </w:tcBorders>
                  <w:vAlign w:val="center"/>
                </w:tcPr>
                <w:p w14:paraId="6CCF964B">
                  <w:pPr>
                    <w:widowControl/>
                    <w:adjustRightInd w:val="0"/>
                    <w:snapToGrid w:val="0"/>
                    <w:jc w:val="center"/>
                    <w:rPr>
                      <w:rFonts w:hint="default" w:eastAsia="宋体"/>
                      <w:kern w:val="0"/>
                      <w:sz w:val="18"/>
                      <w:szCs w:val="18"/>
                      <w:u w:val="none"/>
                      <w:lang w:val="en-US" w:eastAsia="zh-CN"/>
                    </w:rPr>
                  </w:pPr>
                  <w:r>
                    <w:rPr>
                      <w:rFonts w:hint="eastAsia"/>
                      <w:kern w:val="0"/>
                      <w:sz w:val="18"/>
                      <w:szCs w:val="18"/>
                      <w:u w:val="none"/>
                      <w:lang w:val="en-US" w:eastAsia="zh-CN"/>
                    </w:rPr>
                    <w:t>施工期噪声</w:t>
                  </w:r>
                </w:p>
              </w:tc>
              <w:tc>
                <w:tcPr>
                  <w:tcW w:w="663" w:type="dxa"/>
                  <w:vMerge w:val="continue"/>
                  <w:tcBorders>
                    <w:tl2br w:val="nil"/>
                    <w:tr2bl w:val="nil"/>
                  </w:tcBorders>
                  <w:vAlign w:val="center"/>
                </w:tcPr>
                <w:p w14:paraId="1C2EE35C">
                  <w:pPr>
                    <w:widowControl/>
                    <w:adjustRightInd w:val="0"/>
                    <w:snapToGrid w:val="0"/>
                    <w:jc w:val="center"/>
                    <w:rPr>
                      <w:rFonts w:eastAsia="等线"/>
                      <w:kern w:val="0"/>
                      <w:sz w:val="18"/>
                      <w:szCs w:val="18"/>
                      <w:u w:val="none"/>
                    </w:rPr>
                  </w:pPr>
                </w:p>
              </w:tc>
            </w:tr>
            <w:bookmarkEnd w:id="296"/>
          </w:tbl>
          <w:p w14:paraId="2C438830">
            <w:pPr>
              <w:spacing w:line="360" w:lineRule="auto"/>
              <w:jc w:val="center"/>
              <w:rPr>
                <w:b/>
                <w:bCs/>
                <w:u w:val="none"/>
              </w:rPr>
            </w:pPr>
          </w:p>
        </w:tc>
      </w:tr>
      <w:tr w14:paraId="1E7AD3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4" w:type="dxa"/>
            <w:vAlign w:val="center"/>
          </w:tcPr>
          <w:p w14:paraId="34A7C7D3">
            <w:pPr>
              <w:jc w:val="center"/>
              <w:rPr>
                <w:b/>
                <w:bCs/>
                <w:sz w:val="24"/>
                <w:szCs w:val="32"/>
                <w:u w:val="none"/>
              </w:rPr>
            </w:pPr>
            <w:r>
              <w:rPr>
                <w:rFonts w:hint="eastAsia"/>
                <w:b/>
                <w:bCs/>
                <w:sz w:val="24"/>
                <w:szCs w:val="32"/>
                <w:u w:val="none"/>
              </w:rPr>
              <w:t>评价</w:t>
            </w:r>
          </w:p>
          <w:p w14:paraId="1C90E229">
            <w:pPr>
              <w:jc w:val="center"/>
              <w:rPr>
                <w:b/>
                <w:bCs/>
                <w:sz w:val="24"/>
                <w:szCs w:val="32"/>
                <w:u w:val="none"/>
              </w:rPr>
            </w:pPr>
            <w:r>
              <w:rPr>
                <w:rFonts w:hint="eastAsia"/>
                <w:b/>
                <w:bCs/>
                <w:sz w:val="24"/>
                <w:szCs w:val="32"/>
                <w:u w:val="none"/>
              </w:rPr>
              <w:t>标准</w:t>
            </w:r>
          </w:p>
        </w:tc>
        <w:tc>
          <w:tcPr>
            <w:tcW w:w="8284" w:type="dxa"/>
            <w:vAlign w:val="center"/>
          </w:tcPr>
          <w:p w14:paraId="456AB6AD">
            <w:pPr>
              <w:spacing w:line="360" w:lineRule="auto"/>
              <w:rPr>
                <w:rFonts w:hint="eastAsia"/>
                <w:b/>
                <w:bCs/>
                <w:sz w:val="24"/>
                <w:u w:val="none"/>
              </w:rPr>
            </w:pPr>
            <w:r>
              <w:rPr>
                <w:rFonts w:hint="eastAsia"/>
                <w:b/>
                <w:bCs/>
                <w:sz w:val="24"/>
                <w:u w:val="none"/>
              </w:rPr>
              <w:t>3.10环境质量标准</w:t>
            </w:r>
          </w:p>
          <w:p w14:paraId="29699E79">
            <w:pPr>
              <w:spacing w:line="360" w:lineRule="auto"/>
              <w:ind w:firstLine="482" w:firstLineChars="200"/>
              <w:rPr>
                <w:b/>
                <w:bCs/>
                <w:sz w:val="24"/>
                <w:szCs w:val="32"/>
                <w:u w:val="none"/>
              </w:rPr>
            </w:pPr>
            <w:r>
              <w:rPr>
                <w:rFonts w:hint="eastAsia"/>
                <w:b/>
                <w:bCs/>
                <w:sz w:val="24"/>
                <w:szCs w:val="32"/>
                <w:u w:val="none"/>
              </w:rPr>
              <w:t>（1）环境空气</w:t>
            </w:r>
          </w:p>
          <w:p w14:paraId="407CA221">
            <w:pPr>
              <w:spacing w:line="360" w:lineRule="auto"/>
              <w:ind w:firstLine="480" w:firstLineChars="200"/>
              <w:rPr>
                <w:sz w:val="24"/>
                <w:szCs w:val="32"/>
                <w:u w:val="none"/>
              </w:rPr>
            </w:pPr>
            <w:r>
              <w:rPr>
                <w:rFonts w:hint="eastAsia"/>
                <w:sz w:val="24"/>
                <w:szCs w:val="32"/>
                <w:u w:val="none"/>
              </w:rPr>
              <w:t>环境</w:t>
            </w:r>
            <w:r>
              <w:rPr>
                <w:rFonts w:hint="eastAsia"/>
                <w:sz w:val="24"/>
                <w:szCs w:val="32"/>
                <w:u w:val="none"/>
                <w:lang w:val="en-US" w:eastAsia="zh-CN"/>
              </w:rPr>
              <w:t>空气</w:t>
            </w:r>
            <w:r>
              <w:rPr>
                <w:rFonts w:hint="eastAsia"/>
                <w:sz w:val="24"/>
                <w:szCs w:val="32"/>
                <w:u w:val="none"/>
              </w:rPr>
              <w:t>执行《环境空气质量标准》（GB3095-2012）中二级标准及2018年修改单要求，见表3</w:t>
            </w:r>
            <w:r>
              <w:rPr>
                <w:rFonts w:hint="eastAsia"/>
                <w:sz w:val="24"/>
                <w:szCs w:val="32"/>
                <w:u w:val="none"/>
                <w:lang w:val="en-US" w:eastAsia="zh-CN"/>
              </w:rPr>
              <w:t>-</w:t>
            </w:r>
            <w:r>
              <w:rPr>
                <w:sz w:val="24"/>
                <w:szCs w:val="32"/>
                <w:u w:val="none"/>
              </w:rPr>
              <w:t>1</w:t>
            </w:r>
            <w:r>
              <w:rPr>
                <w:rFonts w:hint="eastAsia"/>
                <w:sz w:val="24"/>
                <w:szCs w:val="32"/>
                <w:u w:val="none"/>
                <w:lang w:val="en-US" w:eastAsia="zh-CN"/>
              </w:rPr>
              <w:t>1</w:t>
            </w:r>
            <w:r>
              <w:rPr>
                <w:rFonts w:hint="eastAsia"/>
                <w:sz w:val="24"/>
                <w:szCs w:val="32"/>
                <w:u w:val="none"/>
              </w:rPr>
              <w:t>。</w:t>
            </w:r>
          </w:p>
          <w:p w14:paraId="06BABB03">
            <w:pPr>
              <w:spacing w:line="240" w:lineRule="auto"/>
              <w:jc w:val="center"/>
              <w:rPr>
                <w:b/>
                <w:szCs w:val="21"/>
                <w:u w:val="none"/>
              </w:rPr>
            </w:pPr>
            <w:r>
              <w:rPr>
                <w:b/>
                <w:szCs w:val="21"/>
                <w:u w:val="none"/>
              </w:rPr>
              <w:t>表</w:t>
            </w:r>
            <w:r>
              <w:rPr>
                <w:rFonts w:hint="eastAsia"/>
                <w:b/>
                <w:szCs w:val="21"/>
                <w:u w:val="none"/>
              </w:rPr>
              <w:t>3</w:t>
            </w:r>
            <w:r>
              <w:rPr>
                <w:rFonts w:hint="eastAsia"/>
                <w:b/>
                <w:szCs w:val="21"/>
                <w:u w:val="none"/>
                <w:lang w:val="en-US" w:eastAsia="zh-CN"/>
              </w:rPr>
              <w:t>-</w:t>
            </w:r>
            <w:r>
              <w:rPr>
                <w:b/>
                <w:szCs w:val="21"/>
                <w:u w:val="none"/>
              </w:rPr>
              <w:t>1</w:t>
            </w:r>
            <w:r>
              <w:rPr>
                <w:rFonts w:hint="eastAsia"/>
                <w:b/>
                <w:szCs w:val="21"/>
                <w:u w:val="none"/>
                <w:lang w:val="en-US" w:eastAsia="zh-CN"/>
              </w:rPr>
              <w:t xml:space="preserve">1  </w:t>
            </w:r>
            <w:r>
              <w:rPr>
                <w:b/>
                <w:szCs w:val="21"/>
                <w:u w:val="none"/>
              </w:rPr>
              <w:t>环境空气质量标准</w:t>
            </w:r>
            <w:r>
              <w:rPr>
                <w:rFonts w:hint="eastAsia"/>
                <w:b/>
                <w:szCs w:val="21"/>
                <w:u w:val="none"/>
                <w:lang w:val="en-US" w:eastAsia="zh-CN"/>
              </w:rPr>
              <w:t xml:space="preserve">  </w:t>
            </w:r>
            <w:r>
              <w:rPr>
                <w:b/>
                <w:szCs w:val="21"/>
                <w:u w:val="none"/>
              </w:rPr>
              <w:t>单位：μg/m</w:t>
            </w:r>
            <w:r>
              <w:rPr>
                <w:b/>
                <w:szCs w:val="21"/>
                <w:u w:val="none"/>
                <w:vertAlign w:val="superscript"/>
              </w:rPr>
              <w:t>3</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102"/>
              <w:gridCol w:w="2517"/>
              <w:gridCol w:w="2862"/>
              <w:gridCol w:w="1584"/>
            </w:tblGrid>
            <w:tr w14:paraId="6679ED7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vMerge w:val="restart"/>
                  <w:tcBorders>
                    <w:tl2br w:val="nil"/>
                    <w:tr2bl w:val="nil"/>
                  </w:tcBorders>
                  <w:vAlign w:val="center"/>
                </w:tcPr>
                <w:p w14:paraId="1A2B327B">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污染因子</w:t>
                  </w:r>
                </w:p>
              </w:tc>
              <w:tc>
                <w:tcPr>
                  <w:tcW w:w="3334" w:type="pct"/>
                  <w:gridSpan w:val="2"/>
                  <w:tcBorders>
                    <w:tl2br w:val="nil"/>
                    <w:tr2bl w:val="nil"/>
                  </w:tcBorders>
                  <w:vAlign w:val="center"/>
                </w:tcPr>
                <w:p w14:paraId="10A3458E">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标准限值</w:t>
                  </w:r>
                </w:p>
              </w:tc>
              <w:tc>
                <w:tcPr>
                  <w:tcW w:w="982" w:type="pct"/>
                  <w:vMerge w:val="restart"/>
                  <w:tcBorders>
                    <w:tl2br w:val="nil"/>
                    <w:tr2bl w:val="nil"/>
                  </w:tcBorders>
                  <w:vAlign w:val="center"/>
                </w:tcPr>
                <w:p w14:paraId="500FA17F">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备注</w:t>
                  </w:r>
                </w:p>
              </w:tc>
            </w:tr>
            <w:tr w14:paraId="581263D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vMerge w:val="continue"/>
                  <w:tcBorders>
                    <w:tl2br w:val="nil"/>
                    <w:tr2bl w:val="nil"/>
                  </w:tcBorders>
                  <w:vAlign w:val="center"/>
                </w:tcPr>
                <w:p w14:paraId="5CB92E4B">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c>
                <w:tcPr>
                  <w:tcW w:w="1560" w:type="pct"/>
                  <w:tcBorders>
                    <w:tl2br w:val="nil"/>
                    <w:tr2bl w:val="nil"/>
                  </w:tcBorders>
                  <w:vAlign w:val="center"/>
                </w:tcPr>
                <w:p w14:paraId="0C92D996">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1小时平均</w:t>
                  </w:r>
                </w:p>
              </w:tc>
              <w:tc>
                <w:tcPr>
                  <w:tcW w:w="1774" w:type="pct"/>
                  <w:tcBorders>
                    <w:tl2br w:val="nil"/>
                    <w:tr2bl w:val="nil"/>
                  </w:tcBorders>
                  <w:vAlign w:val="center"/>
                </w:tcPr>
                <w:p w14:paraId="441C9E3E">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24小时平均</w:t>
                  </w:r>
                </w:p>
              </w:tc>
              <w:tc>
                <w:tcPr>
                  <w:tcW w:w="982" w:type="pct"/>
                  <w:vMerge w:val="continue"/>
                  <w:tcBorders>
                    <w:tl2br w:val="nil"/>
                    <w:tr2bl w:val="nil"/>
                  </w:tcBorders>
                  <w:vAlign w:val="center"/>
                </w:tcPr>
                <w:p w14:paraId="45320384">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715EE40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1E5C8E11">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SO</w:t>
                  </w:r>
                  <w:r>
                    <w:rPr>
                      <w:b w:val="0"/>
                      <w:bCs w:val="0"/>
                      <w:sz w:val="21"/>
                      <w:szCs w:val="21"/>
                      <w:u w:val="none"/>
                      <w:vertAlign w:val="subscript"/>
                    </w:rPr>
                    <w:t>2</w:t>
                  </w:r>
                </w:p>
              </w:tc>
              <w:tc>
                <w:tcPr>
                  <w:tcW w:w="1560" w:type="pct"/>
                  <w:tcBorders>
                    <w:tl2br w:val="nil"/>
                    <w:tr2bl w:val="nil"/>
                  </w:tcBorders>
                  <w:vAlign w:val="center"/>
                </w:tcPr>
                <w:p w14:paraId="252B823B">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500</w:t>
                  </w:r>
                </w:p>
              </w:tc>
              <w:tc>
                <w:tcPr>
                  <w:tcW w:w="1774" w:type="pct"/>
                  <w:tcBorders>
                    <w:tl2br w:val="nil"/>
                    <w:tr2bl w:val="nil"/>
                  </w:tcBorders>
                  <w:vAlign w:val="center"/>
                </w:tcPr>
                <w:p w14:paraId="358A9A21">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150</w:t>
                  </w:r>
                </w:p>
              </w:tc>
              <w:tc>
                <w:tcPr>
                  <w:tcW w:w="982" w:type="pct"/>
                  <w:vMerge w:val="restart"/>
                  <w:tcBorders>
                    <w:tl2br w:val="nil"/>
                    <w:tr2bl w:val="nil"/>
                  </w:tcBorders>
                  <w:vAlign w:val="center"/>
                </w:tcPr>
                <w:p w14:paraId="1F3D7A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u w:val="none"/>
                      <w:lang w:val="en-US" w:eastAsia="zh-CN"/>
                    </w:rPr>
                  </w:pPr>
                  <w:r>
                    <w:rPr>
                      <w:b w:val="0"/>
                      <w:bCs w:val="0"/>
                      <w:sz w:val="21"/>
                      <w:szCs w:val="21"/>
                      <w:u w:val="none"/>
                    </w:rPr>
                    <w:t>《环境空气质量标准》（GB3095-2012）</w:t>
                  </w:r>
                  <w:r>
                    <w:rPr>
                      <w:rFonts w:ascii="Times New Roman" w:hAnsi="Times New Roman" w:eastAsia="宋体" w:cs="Times New Roman"/>
                      <w:b w:val="0"/>
                      <w:bCs w:val="0"/>
                      <w:color w:val="auto"/>
                      <w:sz w:val="21"/>
                      <w:szCs w:val="21"/>
                      <w:u w:val="none"/>
                    </w:rPr>
                    <w:t>二级标准</w:t>
                  </w:r>
                  <w:r>
                    <w:rPr>
                      <w:rFonts w:hint="eastAsia" w:ascii="Times New Roman" w:hAnsi="Times New Roman" w:eastAsia="宋体" w:cs="Times New Roman"/>
                      <w:b w:val="0"/>
                      <w:bCs w:val="0"/>
                      <w:color w:val="auto"/>
                      <w:sz w:val="21"/>
                      <w:szCs w:val="21"/>
                      <w:u w:val="none"/>
                      <w:lang w:val="en-US" w:eastAsia="zh-CN"/>
                    </w:rPr>
                    <w:t>及修改单</w:t>
                  </w:r>
                </w:p>
              </w:tc>
            </w:tr>
            <w:tr w14:paraId="16CC69F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1644CDCD">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NO</w:t>
                  </w:r>
                  <w:r>
                    <w:rPr>
                      <w:b w:val="0"/>
                      <w:bCs w:val="0"/>
                      <w:sz w:val="21"/>
                      <w:szCs w:val="21"/>
                      <w:u w:val="none"/>
                      <w:vertAlign w:val="subscript"/>
                    </w:rPr>
                    <w:t>2</w:t>
                  </w:r>
                </w:p>
              </w:tc>
              <w:tc>
                <w:tcPr>
                  <w:tcW w:w="1560" w:type="pct"/>
                  <w:tcBorders>
                    <w:tl2br w:val="nil"/>
                    <w:tr2bl w:val="nil"/>
                  </w:tcBorders>
                  <w:vAlign w:val="center"/>
                </w:tcPr>
                <w:p w14:paraId="7AA41262">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200</w:t>
                  </w:r>
                </w:p>
              </w:tc>
              <w:tc>
                <w:tcPr>
                  <w:tcW w:w="1774" w:type="pct"/>
                  <w:tcBorders>
                    <w:tl2br w:val="nil"/>
                    <w:tr2bl w:val="nil"/>
                  </w:tcBorders>
                  <w:vAlign w:val="center"/>
                </w:tcPr>
                <w:p w14:paraId="3E569916">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80</w:t>
                  </w:r>
                </w:p>
              </w:tc>
              <w:tc>
                <w:tcPr>
                  <w:tcW w:w="982" w:type="pct"/>
                  <w:vMerge w:val="continue"/>
                  <w:tcBorders>
                    <w:tl2br w:val="nil"/>
                    <w:tr2bl w:val="nil"/>
                  </w:tcBorders>
                  <w:vAlign w:val="center"/>
                </w:tcPr>
                <w:p w14:paraId="0E254D6E">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0BB0619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076BC654">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PM</w:t>
                  </w:r>
                  <w:r>
                    <w:rPr>
                      <w:b w:val="0"/>
                      <w:bCs w:val="0"/>
                      <w:sz w:val="21"/>
                      <w:szCs w:val="21"/>
                      <w:u w:val="none"/>
                      <w:vertAlign w:val="subscript"/>
                    </w:rPr>
                    <w:t>10</w:t>
                  </w:r>
                </w:p>
              </w:tc>
              <w:tc>
                <w:tcPr>
                  <w:tcW w:w="1560" w:type="pct"/>
                  <w:tcBorders>
                    <w:tl2br w:val="nil"/>
                    <w:tr2bl w:val="nil"/>
                  </w:tcBorders>
                  <w:vAlign w:val="center"/>
                </w:tcPr>
                <w:p w14:paraId="750401F7">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w:t>
                  </w:r>
                </w:p>
              </w:tc>
              <w:tc>
                <w:tcPr>
                  <w:tcW w:w="1774" w:type="pct"/>
                  <w:tcBorders>
                    <w:tl2br w:val="nil"/>
                    <w:tr2bl w:val="nil"/>
                  </w:tcBorders>
                  <w:vAlign w:val="center"/>
                </w:tcPr>
                <w:p w14:paraId="6198BF9E">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150</w:t>
                  </w:r>
                </w:p>
              </w:tc>
              <w:tc>
                <w:tcPr>
                  <w:tcW w:w="982" w:type="pct"/>
                  <w:vMerge w:val="continue"/>
                  <w:tcBorders>
                    <w:tl2br w:val="nil"/>
                    <w:tr2bl w:val="nil"/>
                  </w:tcBorders>
                  <w:vAlign w:val="center"/>
                </w:tcPr>
                <w:p w14:paraId="7B89C9F3">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19B7ABE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6CAC521D">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PM</w:t>
                  </w:r>
                  <w:r>
                    <w:rPr>
                      <w:b w:val="0"/>
                      <w:bCs w:val="0"/>
                      <w:sz w:val="21"/>
                      <w:szCs w:val="21"/>
                      <w:u w:val="none"/>
                      <w:vertAlign w:val="subscript"/>
                    </w:rPr>
                    <w:t>2.5</w:t>
                  </w:r>
                </w:p>
              </w:tc>
              <w:tc>
                <w:tcPr>
                  <w:tcW w:w="1560" w:type="pct"/>
                  <w:tcBorders>
                    <w:tl2br w:val="nil"/>
                    <w:tr2bl w:val="nil"/>
                  </w:tcBorders>
                  <w:vAlign w:val="center"/>
                </w:tcPr>
                <w:p w14:paraId="2B9405D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w:t>
                  </w:r>
                </w:p>
              </w:tc>
              <w:tc>
                <w:tcPr>
                  <w:tcW w:w="1774" w:type="pct"/>
                  <w:tcBorders>
                    <w:tl2br w:val="nil"/>
                    <w:tr2bl w:val="nil"/>
                  </w:tcBorders>
                  <w:vAlign w:val="center"/>
                </w:tcPr>
                <w:p w14:paraId="393981F9">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75</w:t>
                  </w:r>
                </w:p>
              </w:tc>
              <w:tc>
                <w:tcPr>
                  <w:tcW w:w="982" w:type="pct"/>
                  <w:vMerge w:val="continue"/>
                  <w:tcBorders>
                    <w:tl2br w:val="nil"/>
                    <w:tr2bl w:val="nil"/>
                  </w:tcBorders>
                  <w:vAlign w:val="center"/>
                </w:tcPr>
                <w:p w14:paraId="732DA67D">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7639F23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34FD4C2F">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CO</w:t>
                  </w:r>
                </w:p>
              </w:tc>
              <w:tc>
                <w:tcPr>
                  <w:tcW w:w="1560" w:type="pct"/>
                  <w:tcBorders>
                    <w:tl2br w:val="nil"/>
                    <w:tr2bl w:val="nil"/>
                  </w:tcBorders>
                  <w:vAlign w:val="center"/>
                </w:tcPr>
                <w:p w14:paraId="0F7F390A">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10000</w:t>
                  </w:r>
                </w:p>
              </w:tc>
              <w:tc>
                <w:tcPr>
                  <w:tcW w:w="1774" w:type="pct"/>
                  <w:tcBorders>
                    <w:tl2br w:val="nil"/>
                    <w:tr2bl w:val="nil"/>
                  </w:tcBorders>
                  <w:vAlign w:val="center"/>
                </w:tcPr>
                <w:p w14:paraId="78F87AFA">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4000</w:t>
                  </w:r>
                </w:p>
              </w:tc>
              <w:tc>
                <w:tcPr>
                  <w:tcW w:w="982" w:type="pct"/>
                  <w:vMerge w:val="continue"/>
                  <w:tcBorders>
                    <w:tl2br w:val="nil"/>
                    <w:tr2bl w:val="nil"/>
                  </w:tcBorders>
                  <w:vAlign w:val="center"/>
                </w:tcPr>
                <w:p w14:paraId="7EC1EF6C">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6DC0BA6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1F6AB7B5">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O</w:t>
                  </w:r>
                  <w:r>
                    <w:rPr>
                      <w:b w:val="0"/>
                      <w:bCs w:val="0"/>
                      <w:sz w:val="21"/>
                      <w:szCs w:val="21"/>
                      <w:u w:val="none"/>
                      <w:vertAlign w:val="subscript"/>
                    </w:rPr>
                    <w:t>3</w:t>
                  </w:r>
                </w:p>
              </w:tc>
              <w:tc>
                <w:tcPr>
                  <w:tcW w:w="1560" w:type="pct"/>
                  <w:tcBorders>
                    <w:tl2br w:val="nil"/>
                    <w:tr2bl w:val="nil"/>
                  </w:tcBorders>
                  <w:vAlign w:val="center"/>
                </w:tcPr>
                <w:p w14:paraId="288A8D51">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200</w:t>
                  </w:r>
                </w:p>
              </w:tc>
              <w:tc>
                <w:tcPr>
                  <w:tcW w:w="1774" w:type="pct"/>
                  <w:tcBorders>
                    <w:tl2br w:val="nil"/>
                    <w:tr2bl w:val="nil"/>
                  </w:tcBorders>
                  <w:vAlign w:val="center"/>
                </w:tcPr>
                <w:p w14:paraId="0E838A6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b w:val="0"/>
                      <w:bCs w:val="0"/>
                      <w:sz w:val="21"/>
                      <w:szCs w:val="21"/>
                      <w:u w:val="none"/>
                    </w:rPr>
                    <w:t>160（日最大</w:t>
                  </w:r>
                  <w:r>
                    <w:rPr>
                      <w:rFonts w:hint="eastAsia"/>
                      <w:b w:val="0"/>
                      <w:bCs w:val="0"/>
                      <w:sz w:val="21"/>
                      <w:szCs w:val="21"/>
                      <w:u w:val="none"/>
                      <w:lang w:val="en-US" w:eastAsia="zh-CN"/>
                    </w:rPr>
                    <w:t>8</w:t>
                  </w:r>
                  <w:r>
                    <w:rPr>
                      <w:b w:val="0"/>
                      <w:bCs w:val="0"/>
                      <w:sz w:val="21"/>
                      <w:szCs w:val="21"/>
                      <w:u w:val="none"/>
                    </w:rPr>
                    <w:t>小时平均）</w:t>
                  </w:r>
                </w:p>
              </w:tc>
              <w:tc>
                <w:tcPr>
                  <w:tcW w:w="982" w:type="pct"/>
                  <w:vMerge w:val="continue"/>
                  <w:tcBorders>
                    <w:tl2br w:val="nil"/>
                    <w:tr2bl w:val="nil"/>
                  </w:tcBorders>
                  <w:vAlign w:val="center"/>
                </w:tcPr>
                <w:p w14:paraId="4AAF17F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r w14:paraId="0E01D92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 w:hRule="atLeast"/>
                <w:jc w:val="center"/>
              </w:trPr>
              <w:tc>
                <w:tcPr>
                  <w:tcW w:w="683" w:type="pct"/>
                  <w:tcBorders>
                    <w:tl2br w:val="nil"/>
                    <w:tr2bl w:val="nil"/>
                  </w:tcBorders>
                  <w:vAlign w:val="center"/>
                </w:tcPr>
                <w:p w14:paraId="5E078DA7">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rFonts w:hint="eastAsia"/>
                      <w:b w:val="0"/>
                      <w:bCs w:val="0"/>
                      <w:sz w:val="21"/>
                      <w:szCs w:val="21"/>
                      <w:u w:val="none"/>
                    </w:rPr>
                    <w:t>T</w:t>
                  </w:r>
                  <w:r>
                    <w:rPr>
                      <w:b w:val="0"/>
                      <w:bCs w:val="0"/>
                      <w:sz w:val="21"/>
                      <w:szCs w:val="21"/>
                      <w:u w:val="none"/>
                    </w:rPr>
                    <w:t>SP</w:t>
                  </w:r>
                </w:p>
              </w:tc>
              <w:tc>
                <w:tcPr>
                  <w:tcW w:w="1560" w:type="pct"/>
                  <w:tcBorders>
                    <w:tl2br w:val="nil"/>
                    <w:tr2bl w:val="nil"/>
                  </w:tcBorders>
                  <w:vAlign w:val="center"/>
                </w:tcPr>
                <w:p w14:paraId="26CA584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rFonts w:hint="eastAsia"/>
                      <w:b w:val="0"/>
                      <w:bCs w:val="0"/>
                      <w:sz w:val="21"/>
                      <w:szCs w:val="21"/>
                      <w:u w:val="none"/>
                    </w:rPr>
                    <w:t>/</w:t>
                  </w:r>
                </w:p>
              </w:tc>
              <w:tc>
                <w:tcPr>
                  <w:tcW w:w="1774" w:type="pct"/>
                  <w:tcBorders>
                    <w:tl2br w:val="nil"/>
                    <w:tr2bl w:val="nil"/>
                  </w:tcBorders>
                  <w:vAlign w:val="center"/>
                </w:tcPr>
                <w:p w14:paraId="1B2E8E40">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r>
                    <w:rPr>
                      <w:rFonts w:hint="eastAsia"/>
                      <w:b w:val="0"/>
                      <w:bCs w:val="0"/>
                      <w:sz w:val="21"/>
                      <w:szCs w:val="21"/>
                      <w:u w:val="none"/>
                    </w:rPr>
                    <w:t>3</w:t>
                  </w:r>
                  <w:r>
                    <w:rPr>
                      <w:b w:val="0"/>
                      <w:bCs w:val="0"/>
                      <w:sz w:val="21"/>
                      <w:szCs w:val="21"/>
                      <w:u w:val="none"/>
                    </w:rPr>
                    <w:t>00</w:t>
                  </w:r>
                </w:p>
              </w:tc>
              <w:tc>
                <w:tcPr>
                  <w:tcW w:w="982" w:type="pct"/>
                  <w:vMerge w:val="continue"/>
                  <w:tcBorders>
                    <w:tl2br w:val="nil"/>
                    <w:tr2bl w:val="nil"/>
                  </w:tcBorders>
                  <w:vAlign w:val="center"/>
                </w:tcPr>
                <w:p w14:paraId="009F8523">
                  <w:pPr>
                    <w:keepNext w:val="0"/>
                    <w:keepLines w:val="0"/>
                    <w:pageBreakBefore w:val="0"/>
                    <w:widowControl w:val="0"/>
                    <w:kinsoku/>
                    <w:wordWrap/>
                    <w:overflowPunct/>
                    <w:topLinePunct w:val="0"/>
                    <w:autoSpaceDE/>
                    <w:autoSpaceDN/>
                    <w:bidi w:val="0"/>
                    <w:adjustRightInd/>
                    <w:snapToGrid/>
                    <w:jc w:val="center"/>
                    <w:textAlignment w:val="auto"/>
                    <w:rPr>
                      <w:b w:val="0"/>
                      <w:bCs w:val="0"/>
                      <w:sz w:val="21"/>
                      <w:szCs w:val="21"/>
                      <w:u w:val="none"/>
                    </w:rPr>
                  </w:pPr>
                </w:p>
              </w:tc>
            </w:tr>
          </w:tbl>
          <w:p w14:paraId="2A3CF2E9">
            <w:pPr>
              <w:spacing w:line="360" w:lineRule="auto"/>
              <w:ind w:firstLine="482" w:firstLineChars="200"/>
              <w:rPr>
                <w:b/>
                <w:bCs/>
                <w:sz w:val="24"/>
                <w:szCs w:val="32"/>
                <w:u w:val="none"/>
              </w:rPr>
            </w:pPr>
            <w:r>
              <w:rPr>
                <w:rFonts w:hint="eastAsia"/>
                <w:b/>
                <w:bCs/>
                <w:sz w:val="24"/>
                <w:szCs w:val="32"/>
                <w:u w:val="none"/>
              </w:rPr>
              <w:t>（2）地表水环境</w:t>
            </w:r>
          </w:p>
          <w:p w14:paraId="131387F5">
            <w:pPr>
              <w:spacing w:line="360" w:lineRule="auto"/>
              <w:ind w:firstLine="480" w:firstLineChars="200"/>
              <w:rPr>
                <w:sz w:val="24"/>
                <w:u w:val="none"/>
              </w:rPr>
            </w:pPr>
            <w:r>
              <w:rPr>
                <w:rFonts w:hint="eastAsia"/>
                <w:sz w:val="24"/>
                <w:szCs w:val="32"/>
                <w:u w:val="none"/>
              </w:rPr>
              <w:t>项目区域水体</w:t>
            </w:r>
            <w:r>
              <w:rPr>
                <w:sz w:val="24"/>
                <w:u w:val="none"/>
              </w:rPr>
              <w:t>执行《地表水环境质量标准》（GB3838-2002）Ⅲ类标准。见表3</w:t>
            </w:r>
            <w:r>
              <w:rPr>
                <w:rFonts w:hint="eastAsia"/>
                <w:sz w:val="24"/>
                <w:u w:val="none"/>
                <w:lang w:val="en-US" w:eastAsia="zh-CN"/>
              </w:rPr>
              <w:t>-12</w:t>
            </w:r>
            <w:r>
              <w:rPr>
                <w:sz w:val="24"/>
                <w:u w:val="none"/>
              </w:rPr>
              <w:t>。</w:t>
            </w:r>
          </w:p>
          <w:p w14:paraId="45BCA69B">
            <w:pPr>
              <w:keepNext/>
              <w:spacing w:line="240" w:lineRule="auto"/>
              <w:jc w:val="center"/>
              <w:rPr>
                <w:b/>
                <w:bCs/>
                <w:szCs w:val="21"/>
                <w:u w:val="none"/>
              </w:rPr>
            </w:pPr>
            <w:r>
              <w:rPr>
                <w:b/>
                <w:bCs/>
                <w:szCs w:val="21"/>
                <w:u w:val="none"/>
              </w:rPr>
              <w:t>表</w:t>
            </w:r>
            <w:r>
              <w:rPr>
                <w:rFonts w:hint="eastAsia"/>
                <w:b/>
                <w:bCs/>
                <w:szCs w:val="21"/>
                <w:u w:val="none"/>
              </w:rPr>
              <w:t>3</w:t>
            </w:r>
            <w:r>
              <w:rPr>
                <w:rFonts w:hint="eastAsia"/>
                <w:b/>
                <w:bCs/>
                <w:szCs w:val="21"/>
                <w:u w:val="none"/>
                <w:lang w:val="en-US" w:eastAsia="zh-CN"/>
              </w:rPr>
              <w:t>-12</w:t>
            </w:r>
            <w:r>
              <w:rPr>
                <w:b/>
                <w:bCs/>
                <w:szCs w:val="21"/>
                <w:u w:val="none"/>
              </w:rPr>
              <w:t xml:space="preserve"> </w:t>
            </w:r>
            <w:r>
              <w:rPr>
                <w:rFonts w:hint="eastAsia"/>
                <w:b/>
                <w:bCs/>
                <w:szCs w:val="21"/>
                <w:u w:val="none"/>
                <w:lang w:val="en-US" w:eastAsia="zh-CN"/>
              </w:rPr>
              <w:t xml:space="preserve"> </w:t>
            </w:r>
            <w:r>
              <w:rPr>
                <w:b/>
                <w:bCs/>
                <w:szCs w:val="21"/>
                <w:u w:val="none"/>
              </w:rPr>
              <w:t>地表水环境质量标准</w:t>
            </w:r>
            <w:r>
              <w:rPr>
                <w:rFonts w:hint="eastAsia"/>
                <w:b/>
                <w:bCs/>
                <w:szCs w:val="21"/>
                <w:u w:val="none"/>
                <w:lang w:val="en-US" w:eastAsia="zh-CN"/>
              </w:rPr>
              <w:t xml:space="preserve">  </w:t>
            </w:r>
            <w:r>
              <w:rPr>
                <w:b/>
                <w:bCs/>
                <w:szCs w:val="21"/>
                <w:u w:val="none"/>
              </w:rPr>
              <w:t>单位：mg/L</w:t>
            </w:r>
            <w:r>
              <w:rPr>
                <w:rFonts w:hint="eastAsia"/>
                <w:b/>
                <w:bCs/>
                <w:szCs w:val="21"/>
                <w:u w:val="none"/>
                <w:lang w:eastAsia="zh-CN"/>
              </w:rPr>
              <w:t>，</w:t>
            </w:r>
            <w:r>
              <w:rPr>
                <w:b/>
                <w:bCs/>
                <w:szCs w:val="21"/>
                <w:u w:val="none"/>
              </w:rPr>
              <w:t>pH为无量纲</w:t>
            </w:r>
          </w:p>
          <w:tbl>
            <w:tblPr>
              <w:tblStyle w:val="32"/>
              <w:tblW w:w="4999"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38"/>
              <w:gridCol w:w="1777"/>
              <w:gridCol w:w="1649"/>
              <w:gridCol w:w="3903"/>
            </w:tblGrid>
            <w:tr w14:paraId="23D07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blHeader/>
              </w:trPr>
              <w:tc>
                <w:tcPr>
                  <w:tcW w:w="457" w:type="pct"/>
                  <w:tcBorders>
                    <w:tl2br w:val="nil"/>
                    <w:tr2bl w:val="nil"/>
                  </w:tcBorders>
                  <w:vAlign w:val="center"/>
                </w:tcPr>
                <w:p w14:paraId="6EC9E11E">
                  <w:pPr>
                    <w:spacing w:line="240" w:lineRule="auto"/>
                    <w:jc w:val="center"/>
                    <w:rPr>
                      <w:b w:val="0"/>
                      <w:bCs w:val="0"/>
                      <w:sz w:val="21"/>
                      <w:szCs w:val="21"/>
                      <w:u w:val="none"/>
                    </w:rPr>
                  </w:pPr>
                  <w:r>
                    <w:rPr>
                      <w:b w:val="0"/>
                      <w:bCs w:val="0"/>
                      <w:sz w:val="21"/>
                      <w:szCs w:val="21"/>
                      <w:u w:val="none"/>
                    </w:rPr>
                    <w:t>序号</w:t>
                  </w:r>
                </w:p>
              </w:tc>
              <w:tc>
                <w:tcPr>
                  <w:tcW w:w="1101" w:type="pct"/>
                  <w:tcBorders>
                    <w:tl2br w:val="nil"/>
                    <w:tr2bl w:val="nil"/>
                  </w:tcBorders>
                  <w:vAlign w:val="center"/>
                </w:tcPr>
                <w:p w14:paraId="03056336">
                  <w:pPr>
                    <w:spacing w:line="240" w:lineRule="auto"/>
                    <w:jc w:val="center"/>
                    <w:rPr>
                      <w:b w:val="0"/>
                      <w:bCs w:val="0"/>
                      <w:sz w:val="21"/>
                      <w:szCs w:val="21"/>
                      <w:u w:val="none"/>
                    </w:rPr>
                  </w:pPr>
                  <w:r>
                    <w:rPr>
                      <w:b w:val="0"/>
                      <w:bCs w:val="0"/>
                      <w:sz w:val="21"/>
                      <w:szCs w:val="21"/>
                      <w:u w:val="none"/>
                    </w:rPr>
                    <w:t>项目</w:t>
                  </w:r>
                </w:p>
              </w:tc>
              <w:tc>
                <w:tcPr>
                  <w:tcW w:w="1022" w:type="pct"/>
                  <w:tcBorders>
                    <w:tl2br w:val="nil"/>
                    <w:tr2bl w:val="nil"/>
                  </w:tcBorders>
                  <w:vAlign w:val="center"/>
                </w:tcPr>
                <w:p w14:paraId="63771700">
                  <w:pPr>
                    <w:spacing w:line="240" w:lineRule="auto"/>
                    <w:jc w:val="center"/>
                    <w:rPr>
                      <w:b w:val="0"/>
                      <w:bCs w:val="0"/>
                      <w:sz w:val="21"/>
                      <w:szCs w:val="21"/>
                      <w:u w:val="none"/>
                    </w:rPr>
                  </w:pPr>
                  <w:r>
                    <w:rPr>
                      <w:b w:val="0"/>
                      <w:bCs w:val="0"/>
                      <w:sz w:val="21"/>
                      <w:szCs w:val="21"/>
                      <w:u w:val="none"/>
                    </w:rPr>
                    <w:t>标准值</w:t>
                  </w:r>
                </w:p>
              </w:tc>
              <w:tc>
                <w:tcPr>
                  <w:tcW w:w="2419" w:type="pct"/>
                  <w:tcBorders>
                    <w:tl2br w:val="nil"/>
                    <w:tr2bl w:val="nil"/>
                  </w:tcBorders>
                  <w:vAlign w:val="center"/>
                </w:tcPr>
                <w:p w14:paraId="7CE9DAFF">
                  <w:pPr>
                    <w:spacing w:line="240" w:lineRule="auto"/>
                    <w:jc w:val="center"/>
                    <w:rPr>
                      <w:b w:val="0"/>
                      <w:bCs w:val="0"/>
                      <w:sz w:val="21"/>
                      <w:szCs w:val="21"/>
                      <w:u w:val="none"/>
                    </w:rPr>
                  </w:pPr>
                  <w:r>
                    <w:rPr>
                      <w:b w:val="0"/>
                      <w:bCs w:val="0"/>
                      <w:sz w:val="21"/>
                      <w:szCs w:val="21"/>
                      <w:u w:val="none"/>
                    </w:rPr>
                    <w:t>标准来源</w:t>
                  </w:r>
                </w:p>
              </w:tc>
            </w:tr>
            <w:tr w14:paraId="14E31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53ED5750">
                  <w:pPr>
                    <w:spacing w:line="240" w:lineRule="auto"/>
                    <w:jc w:val="center"/>
                    <w:rPr>
                      <w:b w:val="0"/>
                      <w:bCs w:val="0"/>
                      <w:sz w:val="21"/>
                      <w:szCs w:val="21"/>
                      <w:u w:val="none"/>
                    </w:rPr>
                  </w:pPr>
                  <w:r>
                    <w:rPr>
                      <w:b w:val="0"/>
                      <w:bCs w:val="0"/>
                      <w:sz w:val="21"/>
                      <w:szCs w:val="21"/>
                      <w:u w:val="none"/>
                    </w:rPr>
                    <w:t>1</w:t>
                  </w:r>
                </w:p>
              </w:tc>
              <w:tc>
                <w:tcPr>
                  <w:tcW w:w="1101" w:type="pct"/>
                  <w:tcBorders>
                    <w:tl2br w:val="nil"/>
                    <w:tr2bl w:val="nil"/>
                  </w:tcBorders>
                  <w:vAlign w:val="center"/>
                </w:tcPr>
                <w:p w14:paraId="620B9832">
                  <w:pPr>
                    <w:spacing w:line="240" w:lineRule="auto"/>
                    <w:jc w:val="center"/>
                    <w:rPr>
                      <w:b w:val="0"/>
                      <w:bCs w:val="0"/>
                      <w:sz w:val="21"/>
                      <w:szCs w:val="21"/>
                      <w:u w:val="none"/>
                    </w:rPr>
                  </w:pPr>
                  <w:r>
                    <w:rPr>
                      <w:b w:val="0"/>
                      <w:bCs w:val="0"/>
                      <w:sz w:val="21"/>
                      <w:szCs w:val="21"/>
                      <w:u w:val="none"/>
                    </w:rPr>
                    <w:t>pH</w:t>
                  </w:r>
                </w:p>
              </w:tc>
              <w:tc>
                <w:tcPr>
                  <w:tcW w:w="1022" w:type="pct"/>
                  <w:tcBorders>
                    <w:tl2br w:val="nil"/>
                    <w:tr2bl w:val="nil"/>
                  </w:tcBorders>
                  <w:vAlign w:val="center"/>
                </w:tcPr>
                <w:p w14:paraId="1A63BA3E">
                  <w:pPr>
                    <w:spacing w:line="240" w:lineRule="auto"/>
                    <w:jc w:val="center"/>
                    <w:rPr>
                      <w:b w:val="0"/>
                      <w:bCs w:val="0"/>
                      <w:sz w:val="21"/>
                      <w:szCs w:val="21"/>
                      <w:u w:val="none"/>
                    </w:rPr>
                  </w:pPr>
                  <w:r>
                    <w:rPr>
                      <w:b w:val="0"/>
                      <w:bCs w:val="0"/>
                      <w:sz w:val="21"/>
                      <w:szCs w:val="21"/>
                      <w:u w:val="none"/>
                    </w:rPr>
                    <w:t>6~9</w:t>
                  </w:r>
                </w:p>
              </w:tc>
              <w:tc>
                <w:tcPr>
                  <w:tcW w:w="2419" w:type="pct"/>
                  <w:vMerge w:val="restart"/>
                  <w:tcBorders>
                    <w:tl2br w:val="nil"/>
                    <w:tr2bl w:val="nil"/>
                  </w:tcBorders>
                  <w:vAlign w:val="center"/>
                </w:tcPr>
                <w:p w14:paraId="5DA6893E">
                  <w:pPr>
                    <w:pStyle w:val="48"/>
                    <w:snapToGrid w:val="0"/>
                    <w:spacing w:line="240" w:lineRule="auto"/>
                    <w:rPr>
                      <w:b w:val="0"/>
                      <w:bCs w:val="0"/>
                      <w:sz w:val="21"/>
                      <w:szCs w:val="21"/>
                      <w:u w:val="none"/>
                    </w:rPr>
                  </w:pPr>
                  <w:r>
                    <w:rPr>
                      <w:b w:val="0"/>
                      <w:bCs w:val="0"/>
                      <w:sz w:val="21"/>
                      <w:szCs w:val="21"/>
                      <w:u w:val="none"/>
                    </w:rPr>
                    <w:t>《地表水环境质量标准》（GB3838-2002）</w:t>
                  </w:r>
                </w:p>
                <w:p w14:paraId="215969EC">
                  <w:pPr>
                    <w:pStyle w:val="48"/>
                    <w:snapToGrid w:val="0"/>
                    <w:spacing w:line="240" w:lineRule="auto"/>
                    <w:rPr>
                      <w:b w:val="0"/>
                      <w:bCs w:val="0"/>
                      <w:sz w:val="21"/>
                      <w:szCs w:val="21"/>
                      <w:u w:val="none"/>
                    </w:rPr>
                  </w:pPr>
                  <w:r>
                    <w:rPr>
                      <w:b w:val="0"/>
                      <w:bCs w:val="0"/>
                      <w:sz w:val="21"/>
                      <w:szCs w:val="21"/>
                      <w:u w:val="none"/>
                    </w:rPr>
                    <w:t>Ⅲ类标准</w:t>
                  </w:r>
                </w:p>
              </w:tc>
            </w:tr>
            <w:tr w14:paraId="24572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3E689CB7">
                  <w:pPr>
                    <w:spacing w:line="240" w:lineRule="auto"/>
                    <w:jc w:val="center"/>
                    <w:rPr>
                      <w:b w:val="0"/>
                      <w:bCs w:val="0"/>
                      <w:sz w:val="21"/>
                      <w:szCs w:val="21"/>
                      <w:u w:val="none"/>
                    </w:rPr>
                  </w:pPr>
                  <w:r>
                    <w:rPr>
                      <w:b w:val="0"/>
                      <w:bCs w:val="0"/>
                      <w:sz w:val="21"/>
                      <w:szCs w:val="21"/>
                      <w:u w:val="none"/>
                    </w:rPr>
                    <w:t>2</w:t>
                  </w:r>
                </w:p>
              </w:tc>
              <w:tc>
                <w:tcPr>
                  <w:tcW w:w="1101" w:type="pct"/>
                  <w:tcBorders>
                    <w:tl2br w:val="nil"/>
                    <w:tr2bl w:val="nil"/>
                  </w:tcBorders>
                  <w:vAlign w:val="center"/>
                </w:tcPr>
                <w:p w14:paraId="46A0C6D8">
                  <w:pPr>
                    <w:spacing w:line="240" w:lineRule="auto"/>
                    <w:jc w:val="center"/>
                    <w:rPr>
                      <w:b w:val="0"/>
                      <w:bCs w:val="0"/>
                      <w:sz w:val="21"/>
                      <w:szCs w:val="21"/>
                      <w:u w:val="none"/>
                    </w:rPr>
                  </w:pPr>
                  <w:r>
                    <w:rPr>
                      <w:b w:val="0"/>
                      <w:bCs w:val="0"/>
                      <w:sz w:val="21"/>
                      <w:szCs w:val="21"/>
                      <w:u w:val="none"/>
                    </w:rPr>
                    <w:t>BOD</w:t>
                  </w:r>
                  <w:r>
                    <w:rPr>
                      <w:b w:val="0"/>
                      <w:bCs w:val="0"/>
                      <w:sz w:val="21"/>
                      <w:szCs w:val="21"/>
                      <w:u w:val="none"/>
                      <w:vertAlign w:val="subscript"/>
                    </w:rPr>
                    <w:t>5</w:t>
                  </w:r>
                </w:p>
              </w:tc>
              <w:tc>
                <w:tcPr>
                  <w:tcW w:w="1022" w:type="pct"/>
                  <w:tcBorders>
                    <w:tl2br w:val="nil"/>
                    <w:tr2bl w:val="nil"/>
                  </w:tcBorders>
                  <w:vAlign w:val="center"/>
                </w:tcPr>
                <w:p w14:paraId="0631A6E4">
                  <w:pPr>
                    <w:spacing w:line="240" w:lineRule="auto"/>
                    <w:jc w:val="center"/>
                    <w:rPr>
                      <w:b w:val="0"/>
                      <w:bCs w:val="0"/>
                      <w:sz w:val="21"/>
                      <w:szCs w:val="21"/>
                      <w:u w:val="none"/>
                    </w:rPr>
                  </w:pPr>
                  <w:r>
                    <w:rPr>
                      <w:rFonts w:hint="eastAsia"/>
                      <w:b w:val="0"/>
                      <w:bCs w:val="0"/>
                      <w:sz w:val="21"/>
                      <w:szCs w:val="21"/>
                      <w:u w:val="none"/>
                    </w:rPr>
                    <w:t>4</w:t>
                  </w:r>
                </w:p>
              </w:tc>
              <w:tc>
                <w:tcPr>
                  <w:tcW w:w="2419" w:type="pct"/>
                  <w:vMerge w:val="continue"/>
                  <w:tcBorders>
                    <w:tl2br w:val="nil"/>
                    <w:tr2bl w:val="nil"/>
                  </w:tcBorders>
                  <w:vAlign w:val="center"/>
                </w:tcPr>
                <w:p w14:paraId="27E1EF3A">
                  <w:pPr>
                    <w:pStyle w:val="48"/>
                    <w:snapToGrid w:val="0"/>
                    <w:spacing w:line="240" w:lineRule="auto"/>
                    <w:rPr>
                      <w:b w:val="0"/>
                      <w:bCs w:val="0"/>
                      <w:sz w:val="21"/>
                      <w:szCs w:val="21"/>
                      <w:u w:val="none"/>
                    </w:rPr>
                  </w:pPr>
                </w:p>
              </w:tc>
            </w:tr>
            <w:tr w14:paraId="17EA63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7CF6C6E3">
                  <w:pPr>
                    <w:pStyle w:val="49"/>
                    <w:spacing w:before="0" w:line="240" w:lineRule="auto"/>
                    <w:rPr>
                      <w:rFonts w:cs="Times New Roman"/>
                      <w:b w:val="0"/>
                      <w:bCs w:val="0"/>
                      <w:sz w:val="21"/>
                      <w:szCs w:val="21"/>
                      <w:u w:val="none"/>
                    </w:rPr>
                  </w:pPr>
                  <w:r>
                    <w:rPr>
                      <w:rFonts w:cs="Times New Roman"/>
                      <w:b w:val="0"/>
                      <w:bCs w:val="0"/>
                      <w:sz w:val="21"/>
                      <w:szCs w:val="21"/>
                      <w:u w:val="none"/>
                    </w:rPr>
                    <w:t>3</w:t>
                  </w:r>
                </w:p>
              </w:tc>
              <w:tc>
                <w:tcPr>
                  <w:tcW w:w="1101" w:type="pct"/>
                  <w:tcBorders>
                    <w:tl2br w:val="nil"/>
                    <w:tr2bl w:val="nil"/>
                  </w:tcBorders>
                  <w:vAlign w:val="center"/>
                </w:tcPr>
                <w:p w14:paraId="2E28D5F0">
                  <w:pPr>
                    <w:pStyle w:val="49"/>
                    <w:spacing w:before="0" w:line="240" w:lineRule="auto"/>
                    <w:rPr>
                      <w:rFonts w:cs="Times New Roman"/>
                      <w:b w:val="0"/>
                      <w:bCs w:val="0"/>
                      <w:sz w:val="21"/>
                      <w:szCs w:val="21"/>
                      <w:u w:val="none"/>
                    </w:rPr>
                  </w:pPr>
                  <w:r>
                    <w:rPr>
                      <w:rFonts w:cs="Times New Roman"/>
                      <w:b w:val="0"/>
                      <w:bCs w:val="0"/>
                      <w:sz w:val="21"/>
                      <w:szCs w:val="21"/>
                      <w:u w:val="none"/>
                    </w:rPr>
                    <w:t>COD</w:t>
                  </w:r>
                  <w:r>
                    <w:rPr>
                      <w:rFonts w:cs="Times New Roman"/>
                      <w:b w:val="0"/>
                      <w:bCs w:val="0"/>
                      <w:sz w:val="21"/>
                      <w:szCs w:val="21"/>
                      <w:u w:val="none"/>
                      <w:vertAlign w:val="subscript"/>
                    </w:rPr>
                    <w:t>Cr</w:t>
                  </w:r>
                </w:p>
              </w:tc>
              <w:tc>
                <w:tcPr>
                  <w:tcW w:w="1022" w:type="pct"/>
                  <w:tcBorders>
                    <w:tl2br w:val="nil"/>
                    <w:tr2bl w:val="nil"/>
                  </w:tcBorders>
                  <w:vAlign w:val="center"/>
                </w:tcPr>
                <w:p w14:paraId="08B09BA9">
                  <w:pPr>
                    <w:pStyle w:val="49"/>
                    <w:spacing w:before="0" w:line="240" w:lineRule="auto"/>
                    <w:rPr>
                      <w:rFonts w:cs="Times New Roman"/>
                      <w:b w:val="0"/>
                      <w:bCs w:val="0"/>
                      <w:sz w:val="21"/>
                      <w:szCs w:val="21"/>
                      <w:u w:val="none"/>
                    </w:rPr>
                  </w:pPr>
                  <w:r>
                    <w:rPr>
                      <w:rFonts w:cs="Times New Roman"/>
                      <w:b w:val="0"/>
                      <w:bCs w:val="0"/>
                      <w:sz w:val="21"/>
                      <w:szCs w:val="21"/>
                      <w:u w:val="none"/>
                    </w:rPr>
                    <w:t>20</w:t>
                  </w:r>
                </w:p>
              </w:tc>
              <w:tc>
                <w:tcPr>
                  <w:tcW w:w="2419" w:type="pct"/>
                  <w:vMerge w:val="continue"/>
                  <w:tcBorders>
                    <w:tl2br w:val="nil"/>
                    <w:tr2bl w:val="nil"/>
                  </w:tcBorders>
                  <w:vAlign w:val="center"/>
                </w:tcPr>
                <w:p w14:paraId="66E2F765">
                  <w:pPr>
                    <w:pStyle w:val="48"/>
                    <w:snapToGrid w:val="0"/>
                    <w:spacing w:line="240" w:lineRule="auto"/>
                    <w:rPr>
                      <w:b w:val="0"/>
                      <w:bCs w:val="0"/>
                      <w:sz w:val="21"/>
                      <w:szCs w:val="21"/>
                      <w:u w:val="none"/>
                    </w:rPr>
                  </w:pPr>
                </w:p>
              </w:tc>
            </w:tr>
            <w:tr w14:paraId="24ECF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019FF4B8">
                  <w:pPr>
                    <w:pStyle w:val="49"/>
                    <w:spacing w:before="0" w:line="240" w:lineRule="auto"/>
                    <w:rPr>
                      <w:rFonts w:cs="Times New Roman"/>
                      <w:b w:val="0"/>
                      <w:bCs w:val="0"/>
                      <w:sz w:val="21"/>
                      <w:szCs w:val="21"/>
                      <w:u w:val="none"/>
                    </w:rPr>
                  </w:pPr>
                  <w:r>
                    <w:rPr>
                      <w:rFonts w:cs="Times New Roman"/>
                      <w:b w:val="0"/>
                      <w:bCs w:val="0"/>
                      <w:sz w:val="21"/>
                      <w:szCs w:val="21"/>
                      <w:u w:val="none"/>
                    </w:rPr>
                    <w:t>4</w:t>
                  </w:r>
                </w:p>
              </w:tc>
              <w:tc>
                <w:tcPr>
                  <w:tcW w:w="1101" w:type="pct"/>
                  <w:tcBorders>
                    <w:tl2br w:val="nil"/>
                    <w:tr2bl w:val="nil"/>
                  </w:tcBorders>
                  <w:vAlign w:val="center"/>
                </w:tcPr>
                <w:p w14:paraId="1992C150">
                  <w:pPr>
                    <w:pStyle w:val="49"/>
                    <w:spacing w:before="0" w:line="240" w:lineRule="auto"/>
                    <w:rPr>
                      <w:rFonts w:cs="Times New Roman"/>
                      <w:b w:val="0"/>
                      <w:bCs w:val="0"/>
                      <w:sz w:val="21"/>
                      <w:szCs w:val="21"/>
                      <w:u w:val="none"/>
                    </w:rPr>
                  </w:pPr>
                  <w:r>
                    <w:rPr>
                      <w:rFonts w:cs="Times New Roman"/>
                      <w:b w:val="0"/>
                      <w:bCs w:val="0"/>
                      <w:sz w:val="21"/>
                      <w:szCs w:val="21"/>
                      <w:u w:val="none"/>
                    </w:rPr>
                    <w:t>氨氮</w:t>
                  </w:r>
                </w:p>
              </w:tc>
              <w:tc>
                <w:tcPr>
                  <w:tcW w:w="1022" w:type="pct"/>
                  <w:tcBorders>
                    <w:tl2br w:val="nil"/>
                    <w:tr2bl w:val="nil"/>
                  </w:tcBorders>
                  <w:vAlign w:val="center"/>
                </w:tcPr>
                <w:p w14:paraId="2C8FD70A">
                  <w:pPr>
                    <w:pStyle w:val="49"/>
                    <w:spacing w:before="0" w:line="240" w:lineRule="auto"/>
                    <w:rPr>
                      <w:rFonts w:cs="Times New Roman"/>
                      <w:b w:val="0"/>
                      <w:bCs w:val="0"/>
                      <w:sz w:val="21"/>
                      <w:szCs w:val="21"/>
                      <w:u w:val="none"/>
                    </w:rPr>
                  </w:pPr>
                  <w:r>
                    <w:rPr>
                      <w:rFonts w:cs="Times New Roman"/>
                      <w:b w:val="0"/>
                      <w:bCs w:val="0"/>
                      <w:sz w:val="21"/>
                      <w:szCs w:val="21"/>
                      <w:u w:val="none"/>
                    </w:rPr>
                    <w:t>1.0</w:t>
                  </w:r>
                </w:p>
              </w:tc>
              <w:tc>
                <w:tcPr>
                  <w:tcW w:w="2419" w:type="pct"/>
                  <w:vMerge w:val="continue"/>
                  <w:tcBorders>
                    <w:tl2br w:val="nil"/>
                    <w:tr2bl w:val="nil"/>
                  </w:tcBorders>
                  <w:vAlign w:val="center"/>
                </w:tcPr>
                <w:p w14:paraId="0CBB2293">
                  <w:pPr>
                    <w:pStyle w:val="48"/>
                    <w:snapToGrid w:val="0"/>
                    <w:spacing w:line="240" w:lineRule="auto"/>
                    <w:rPr>
                      <w:b w:val="0"/>
                      <w:bCs w:val="0"/>
                      <w:sz w:val="21"/>
                      <w:szCs w:val="21"/>
                      <w:u w:val="none"/>
                    </w:rPr>
                  </w:pPr>
                </w:p>
              </w:tc>
            </w:tr>
            <w:tr w14:paraId="22878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70A528E3">
                  <w:pPr>
                    <w:pStyle w:val="49"/>
                    <w:spacing w:before="0" w:line="240" w:lineRule="auto"/>
                    <w:rPr>
                      <w:rFonts w:cs="Times New Roman"/>
                      <w:b w:val="0"/>
                      <w:bCs w:val="0"/>
                      <w:sz w:val="21"/>
                      <w:szCs w:val="21"/>
                      <w:u w:val="none"/>
                    </w:rPr>
                  </w:pPr>
                  <w:r>
                    <w:rPr>
                      <w:rFonts w:hint="eastAsia" w:cs="Times New Roman"/>
                      <w:b w:val="0"/>
                      <w:bCs w:val="0"/>
                      <w:sz w:val="21"/>
                      <w:szCs w:val="21"/>
                      <w:u w:val="none"/>
                    </w:rPr>
                    <w:t>5</w:t>
                  </w:r>
                </w:p>
              </w:tc>
              <w:tc>
                <w:tcPr>
                  <w:tcW w:w="1101" w:type="pct"/>
                  <w:tcBorders>
                    <w:tl2br w:val="nil"/>
                    <w:tr2bl w:val="nil"/>
                  </w:tcBorders>
                  <w:vAlign w:val="center"/>
                </w:tcPr>
                <w:p w14:paraId="3D973703">
                  <w:pPr>
                    <w:pStyle w:val="49"/>
                    <w:spacing w:before="0" w:line="240" w:lineRule="auto"/>
                    <w:rPr>
                      <w:rFonts w:cs="Times New Roman"/>
                      <w:b w:val="0"/>
                      <w:bCs w:val="0"/>
                      <w:sz w:val="21"/>
                      <w:szCs w:val="21"/>
                      <w:u w:val="none"/>
                    </w:rPr>
                  </w:pPr>
                  <w:r>
                    <w:rPr>
                      <w:rFonts w:hint="eastAsia" w:cs="Times New Roman"/>
                      <w:b w:val="0"/>
                      <w:bCs w:val="0"/>
                      <w:sz w:val="21"/>
                      <w:szCs w:val="21"/>
                      <w:u w:val="none"/>
                    </w:rPr>
                    <w:t>总磷</w:t>
                  </w:r>
                </w:p>
              </w:tc>
              <w:tc>
                <w:tcPr>
                  <w:tcW w:w="1022" w:type="pct"/>
                  <w:tcBorders>
                    <w:tl2br w:val="nil"/>
                    <w:tr2bl w:val="nil"/>
                  </w:tcBorders>
                  <w:vAlign w:val="center"/>
                </w:tcPr>
                <w:p w14:paraId="4AB250A3">
                  <w:pPr>
                    <w:pStyle w:val="49"/>
                    <w:spacing w:before="0" w:line="240" w:lineRule="auto"/>
                    <w:rPr>
                      <w:rFonts w:cs="Times New Roman"/>
                      <w:b w:val="0"/>
                      <w:bCs w:val="0"/>
                      <w:sz w:val="21"/>
                      <w:szCs w:val="21"/>
                      <w:u w:val="none"/>
                    </w:rPr>
                  </w:pPr>
                  <w:r>
                    <w:rPr>
                      <w:rFonts w:cs="Times New Roman"/>
                      <w:b w:val="0"/>
                      <w:bCs w:val="0"/>
                      <w:sz w:val="21"/>
                      <w:szCs w:val="21"/>
                      <w:u w:val="none"/>
                    </w:rPr>
                    <w:t>0.2</w:t>
                  </w:r>
                </w:p>
              </w:tc>
              <w:tc>
                <w:tcPr>
                  <w:tcW w:w="2419" w:type="pct"/>
                  <w:vMerge w:val="continue"/>
                  <w:tcBorders>
                    <w:tl2br w:val="nil"/>
                    <w:tr2bl w:val="nil"/>
                  </w:tcBorders>
                  <w:vAlign w:val="center"/>
                </w:tcPr>
                <w:p w14:paraId="77FE126C">
                  <w:pPr>
                    <w:pStyle w:val="48"/>
                    <w:snapToGrid w:val="0"/>
                    <w:spacing w:line="240" w:lineRule="auto"/>
                    <w:rPr>
                      <w:b w:val="0"/>
                      <w:bCs w:val="0"/>
                      <w:sz w:val="21"/>
                      <w:szCs w:val="21"/>
                      <w:u w:val="none"/>
                    </w:rPr>
                  </w:pPr>
                </w:p>
              </w:tc>
            </w:tr>
            <w:tr w14:paraId="6D2D2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trPr>
              <w:tc>
                <w:tcPr>
                  <w:tcW w:w="457" w:type="pct"/>
                  <w:tcBorders>
                    <w:tl2br w:val="nil"/>
                    <w:tr2bl w:val="nil"/>
                  </w:tcBorders>
                  <w:vAlign w:val="center"/>
                </w:tcPr>
                <w:p w14:paraId="74C0AFF5">
                  <w:pPr>
                    <w:pStyle w:val="49"/>
                    <w:spacing w:before="0" w:line="240" w:lineRule="auto"/>
                    <w:rPr>
                      <w:rFonts w:cs="Times New Roman"/>
                      <w:b w:val="0"/>
                      <w:bCs w:val="0"/>
                      <w:sz w:val="21"/>
                      <w:szCs w:val="21"/>
                      <w:u w:val="none"/>
                    </w:rPr>
                  </w:pPr>
                  <w:r>
                    <w:rPr>
                      <w:rFonts w:hint="eastAsia" w:cs="Times New Roman"/>
                      <w:b w:val="0"/>
                      <w:bCs w:val="0"/>
                      <w:sz w:val="21"/>
                      <w:szCs w:val="21"/>
                      <w:u w:val="none"/>
                    </w:rPr>
                    <w:t>6</w:t>
                  </w:r>
                </w:p>
              </w:tc>
              <w:tc>
                <w:tcPr>
                  <w:tcW w:w="1101" w:type="pct"/>
                  <w:tcBorders>
                    <w:tl2br w:val="nil"/>
                    <w:tr2bl w:val="nil"/>
                  </w:tcBorders>
                  <w:vAlign w:val="center"/>
                </w:tcPr>
                <w:p w14:paraId="55018A9A">
                  <w:pPr>
                    <w:pStyle w:val="49"/>
                    <w:spacing w:before="0" w:line="240" w:lineRule="auto"/>
                    <w:rPr>
                      <w:rFonts w:cs="Times New Roman"/>
                      <w:b w:val="0"/>
                      <w:bCs w:val="0"/>
                      <w:sz w:val="21"/>
                      <w:szCs w:val="21"/>
                      <w:u w:val="none"/>
                    </w:rPr>
                  </w:pPr>
                  <w:r>
                    <w:rPr>
                      <w:rFonts w:cs="Times New Roman"/>
                      <w:b w:val="0"/>
                      <w:bCs w:val="0"/>
                      <w:sz w:val="21"/>
                      <w:szCs w:val="21"/>
                      <w:u w:val="none"/>
                    </w:rPr>
                    <w:t>石油类</w:t>
                  </w:r>
                </w:p>
              </w:tc>
              <w:tc>
                <w:tcPr>
                  <w:tcW w:w="1022" w:type="pct"/>
                  <w:tcBorders>
                    <w:tl2br w:val="nil"/>
                    <w:tr2bl w:val="nil"/>
                  </w:tcBorders>
                  <w:vAlign w:val="center"/>
                </w:tcPr>
                <w:p w14:paraId="2D7860C3">
                  <w:pPr>
                    <w:pStyle w:val="49"/>
                    <w:spacing w:before="0" w:line="240" w:lineRule="auto"/>
                    <w:rPr>
                      <w:rFonts w:cs="Times New Roman"/>
                      <w:b w:val="0"/>
                      <w:bCs w:val="0"/>
                      <w:sz w:val="21"/>
                      <w:szCs w:val="21"/>
                      <w:u w:val="none"/>
                    </w:rPr>
                  </w:pPr>
                  <w:r>
                    <w:rPr>
                      <w:rFonts w:hint="eastAsia" w:cs="Times New Roman"/>
                      <w:b w:val="0"/>
                      <w:bCs w:val="0"/>
                      <w:sz w:val="21"/>
                      <w:szCs w:val="21"/>
                      <w:u w:val="none"/>
                    </w:rPr>
                    <w:t>0</w:t>
                  </w:r>
                  <w:r>
                    <w:rPr>
                      <w:rFonts w:cs="Times New Roman"/>
                      <w:b w:val="0"/>
                      <w:bCs w:val="0"/>
                      <w:sz w:val="21"/>
                      <w:szCs w:val="21"/>
                      <w:u w:val="none"/>
                    </w:rPr>
                    <w:t>.05</w:t>
                  </w:r>
                </w:p>
              </w:tc>
              <w:tc>
                <w:tcPr>
                  <w:tcW w:w="2419" w:type="pct"/>
                  <w:vMerge w:val="continue"/>
                  <w:tcBorders>
                    <w:tl2br w:val="nil"/>
                    <w:tr2bl w:val="nil"/>
                  </w:tcBorders>
                  <w:vAlign w:val="center"/>
                </w:tcPr>
                <w:p w14:paraId="27C8C049">
                  <w:pPr>
                    <w:pStyle w:val="48"/>
                    <w:snapToGrid w:val="0"/>
                    <w:spacing w:line="240" w:lineRule="auto"/>
                    <w:rPr>
                      <w:b w:val="0"/>
                      <w:bCs w:val="0"/>
                      <w:sz w:val="21"/>
                      <w:szCs w:val="21"/>
                      <w:u w:val="none"/>
                    </w:rPr>
                  </w:pPr>
                </w:p>
              </w:tc>
            </w:tr>
            <w:tr w14:paraId="2204C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457" w:type="pct"/>
                  <w:tcBorders>
                    <w:tl2br w:val="nil"/>
                    <w:tr2bl w:val="nil"/>
                  </w:tcBorders>
                  <w:vAlign w:val="center"/>
                </w:tcPr>
                <w:p w14:paraId="4F07F76A">
                  <w:pPr>
                    <w:pStyle w:val="49"/>
                    <w:spacing w:before="0" w:line="240" w:lineRule="auto"/>
                    <w:rPr>
                      <w:rFonts w:cs="Times New Roman"/>
                      <w:b w:val="0"/>
                      <w:bCs w:val="0"/>
                      <w:sz w:val="21"/>
                      <w:szCs w:val="21"/>
                      <w:u w:val="none"/>
                    </w:rPr>
                  </w:pPr>
                  <w:r>
                    <w:rPr>
                      <w:rFonts w:hint="eastAsia" w:cs="Times New Roman"/>
                      <w:b w:val="0"/>
                      <w:bCs w:val="0"/>
                      <w:sz w:val="21"/>
                      <w:szCs w:val="21"/>
                      <w:u w:val="none"/>
                    </w:rPr>
                    <w:t>7</w:t>
                  </w:r>
                </w:p>
              </w:tc>
              <w:tc>
                <w:tcPr>
                  <w:tcW w:w="1101" w:type="pct"/>
                  <w:tcBorders>
                    <w:tl2br w:val="nil"/>
                    <w:tr2bl w:val="nil"/>
                  </w:tcBorders>
                  <w:vAlign w:val="center"/>
                </w:tcPr>
                <w:p w14:paraId="70A74B14">
                  <w:pPr>
                    <w:pStyle w:val="49"/>
                    <w:spacing w:before="0" w:line="240" w:lineRule="auto"/>
                    <w:rPr>
                      <w:rFonts w:cs="Times New Roman"/>
                      <w:b w:val="0"/>
                      <w:bCs w:val="0"/>
                      <w:sz w:val="21"/>
                      <w:szCs w:val="21"/>
                      <w:u w:val="none"/>
                    </w:rPr>
                  </w:pPr>
                  <w:r>
                    <w:rPr>
                      <w:rFonts w:cs="Times New Roman"/>
                      <w:b w:val="0"/>
                      <w:bCs w:val="0"/>
                      <w:sz w:val="21"/>
                      <w:szCs w:val="21"/>
                      <w:u w:val="none"/>
                    </w:rPr>
                    <w:t>粪大肠菌群</w:t>
                  </w:r>
                </w:p>
              </w:tc>
              <w:tc>
                <w:tcPr>
                  <w:tcW w:w="1022" w:type="pct"/>
                  <w:tcBorders>
                    <w:tl2br w:val="nil"/>
                    <w:tr2bl w:val="nil"/>
                  </w:tcBorders>
                  <w:vAlign w:val="center"/>
                </w:tcPr>
                <w:p w14:paraId="423FFC05">
                  <w:pPr>
                    <w:pStyle w:val="49"/>
                    <w:spacing w:before="0" w:line="240" w:lineRule="auto"/>
                    <w:rPr>
                      <w:rFonts w:cs="Times New Roman"/>
                      <w:b w:val="0"/>
                      <w:bCs w:val="0"/>
                      <w:sz w:val="21"/>
                      <w:szCs w:val="21"/>
                      <w:u w:val="none"/>
                    </w:rPr>
                  </w:pPr>
                  <w:r>
                    <w:rPr>
                      <w:rFonts w:cs="Times New Roman"/>
                      <w:b w:val="0"/>
                      <w:bCs w:val="0"/>
                      <w:sz w:val="21"/>
                      <w:szCs w:val="21"/>
                      <w:u w:val="none"/>
                    </w:rPr>
                    <w:t>10000个/L</w:t>
                  </w:r>
                </w:p>
              </w:tc>
              <w:tc>
                <w:tcPr>
                  <w:tcW w:w="2419" w:type="pct"/>
                  <w:vMerge w:val="continue"/>
                  <w:tcBorders>
                    <w:tl2br w:val="nil"/>
                    <w:tr2bl w:val="nil"/>
                  </w:tcBorders>
                  <w:vAlign w:val="center"/>
                </w:tcPr>
                <w:p w14:paraId="363B53CB">
                  <w:pPr>
                    <w:pStyle w:val="48"/>
                    <w:snapToGrid w:val="0"/>
                    <w:spacing w:line="240" w:lineRule="auto"/>
                    <w:rPr>
                      <w:b w:val="0"/>
                      <w:bCs w:val="0"/>
                      <w:sz w:val="21"/>
                      <w:szCs w:val="21"/>
                      <w:u w:val="none"/>
                    </w:rPr>
                  </w:pPr>
                </w:p>
              </w:tc>
            </w:tr>
          </w:tbl>
          <w:p w14:paraId="4D5BC1AA">
            <w:pPr>
              <w:spacing w:line="360" w:lineRule="auto"/>
              <w:ind w:firstLine="482" w:firstLineChars="200"/>
              <w:rPr>
                <w:b/>
                <w:bCs/>
                <w:sz w:val="24"/>
                <w:szCs w:val="32"/>
                <w:u w:val="none"/>
              </w:rPr>
            </w:pPr>
            <w:r>
              <w:rPr>
                <w:rFonts w:hint="eastAsia"/>
                <w:b/>
                <w:bCs/>
                <w:sz w:val="24"/>
                <w:szCs w:val="32"/>
                <w:u w:val="none"/>
              </w:rPr>
              <w:t>（3）声环境</w:t>
            </w:r>
          </w:p>
          <w:p w14:paraId="293B559C">
            <w:pPr>
              <w:spacing w:line="360" w:lineRule="auto"/>
              <w:ind w:firstLine="480" w:firstLineChars="200"/>
              <w:rPr>
                <w:b/>
                <w:bCs/>
                <w:szCs w:val="21"/>
                <w:u w:val="none"/>
              </w:rPr>
            </w:pPr>
            <w:r>
              <w:rPr>
                <w:rFonts w:hint="eastAsia"/>
                <w:sz w:val="24"/>
                <w:u w:val="none"/>
              </w:rPr>
              <w:t>本项目声环境</w:t>
            </w:r>
            <w:r>
              <w:rPr>
                <w:sz w:val="24"/>
                <w:u w:val="none"/>
              </w:rPr>
              <w:t>执行《声环境质量标准》（GB3096-2008）中</w:t>
            </w:r>
            <w:r>
              <w:rPr>
                <w:rFonts w:hint="eastAsia"/>
                <w:sz w:val="24"/>
                <w:u w:val="none"/>
              </w:rPr>
              <w:t>2</w:t>
            </w:r>
            <w:r>
              <w:rPr>
                <w:sz w:val="24"/>
                <w:u w:val="none"/>
              </w:rPr>
              <w:t>类标准</w:t>
            </w:r>
            <w:r>
              <w:rPr>
                <w:rFonts w:hint="eastAsia"/>
                <w:sz w:val="24"/>
                <w:u w:val="none"/>
              </w:rPr>
              <w:t>。</w:t>
            </w:r>
            <w:r>
              <w:rPr>
                <w:sz w:val="24"/>
                <w:u w:val="none"/>
              </w:rPr>
              <w:t>见表</w:t>
            </w:r>
            <w:r>
              <w:rPr>
                <w:rFonts w:hint="eastAsia"/>
                <w:sz w:val="24"/>
                <w:u w:val="none"/>
              </w:rPr>
              <w:t>3</w:t>
            </w:r>
            <w:r>
              <w:rPr>
                <w:rFonts w:hint="eastAsia"/>
                <w:sz w:val="24"/>
                <w:u w:val="none"/>
                <w:lang w:val="en-US" w:eastAsia="zh-CN"/>
              </w:rPr>
              <w:t>-13</w:t>
            </w:r>
            <w:r>
              <w:rPr>
                <w:sz w:val="24"/>
                <w:u w:val="none"/>
              </w:rPr>
              <w:t>。</w:t>
            </w:r>
          </w:p>
          <w:p w14:paraId="6C75CC5E">
            <w:pPr>
              <w:spacing w:line="240" w:lineRule="auto"/>
              <w:jc w:val="center"/>
              <w:rPr>
                <w:b/>
                <w:bCs/>
                <w:szCs w:val="21"/>
                <w:u w:val="none"/>
              </w:rPr>
            </w:pPr>
            <w:r>
              <w:rPr>
                <w:b/>
                <w:bCs/>
                <w:szCs w:val="21"/>
                <w:u w:val="none"/>
              </w:rPr>
              <w:t>表</w:t>
            </w:r>
            <w:r>
              <w:rPr>
                <w:rFonts w:hint="eastAsia"/>
                <w:b/>
                <w:bCs/>
                <w:szCs w:val="21"/>
                <w:u w:val="none"/>
              </w:rPr>
              <w:t>3</w:t>
            </w:r>
            <w:r>
              <w:rPr>
                <w:rFonts w:hint="eastAsia"/>
                <w:b/>
                <w:bCs/>
                <w:szCs w:val="21"/>
                <w:u w:val="none"/>
                <w:lang w:val="en-US" w:eastAsia="zh-CN"/>
              </w:rPr>
              <w:t xml:space="preserve">-13  </w:t>
            </w:r>
            <w:r>
              <w:rPr>
                <w:b/>
                <w:bCs/>
                <w:szCs w:val="21"/>
                <w:u w:val="none"/>
              </w:rPr>
              <w:t>声环境质量标准</w:t>
            </w:r>
            <w:r>
              <w:rPr>
                <w:rFonts w:hint="eastAsia"/>
                <w:b/>
                <w:bCs/>
                <w:szCs w:val="21"/>
                <w:u w:val="none"/>
                <w:lang w:val="en-US" w:eastAsia="zh-CN"/>
              </w:rPr>
              <w:t xml:space="preserve">  </w:t>
            </w:r>
            <w:r>
              <w:rPr>
                <w:b/>
                <w:bCs/>
                <w:szCs w:val="21"/>
                <w:u w:val="none"/>
              </w:rPr>
              <w:t>单位：dB</w:t>
            </w:r>
            <w:r>
              <w:rPr>
                <w:rFonts w:hint="eastAsia"/>
                <w:b/>
                <w:bCs/>
                <w:szCs w:val="21"/>
                <w:u w:val="none"/>
                <w:lang w:val="en-US" w:eastAsia="zh-CN"/>
              </w:rPr>
              <w:t>(A)</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678"/>
              <w:gridCol w:w="2678"/>
              <w:gridCol w:w="2679"/>
            </w:tblGrid>
            <w:tr w14:paraId="551AD2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666" w:type="pct"/>
                  <w:tcBorders>
                    <w:left w:val="nil"/>
                  </w:tcBorders>
                  <w:vAlign w:val="center"/>
                </w:tcPr>
                <w:p w14:paraId="76BC39CA">
                  <w:pPr>
                    <w:spacing w:line="240" w:lineRule="auto"/>
                    <w:jc w:val="center"/>
                    <w:rPr>
                      <w:rFonts w:ascii="Times New Roman" w:hAnsi="Times New Roman" w:eastAsia="宋体" w:cs="Times New Roman"/>
                      <w:b w:val="0"/>
                      <w:bCs w:val="0"/>
                      <w:kern w:val="2"/>
                      <w:sz w:val="21"/>
                      <w:szCs w:val="21"/>
                      <w:u w:val="none"/>
                      <w:lang w:val="en-US" w:eastAsia="zh-CN" w:bidi="ar-SA"/>
                    </w:rPr>
                  </w:pPr>
                  <w:r>
                    <w:rPr>
                      <w:b w:val="0"/>
                      <w:bCs w:val="0"/>
                      <w:szCs w:val="21"/>
                      <w:u w:val="none"/>
                    </w:rPr>
                    <w:t>类别</w:t>
                  </w:r>
                </w:p>
              </w:tc>
              <w:tc>
                <w:tcPr>
                  <w:tcW w:w="1666" w:type="pct"/>
                  <w:vAlign w:val="center"/>
                </w:tcPr>
                <w:p w14:paraId="3B9E82A0">
                  <w:pPr>
                    <w:spacing w:line="240" w:lineRule="auto"/>
                    <w:jc w:val="center"/>
                    <w:rPr>
                      <w:rFonts w:ascii="Times New Roman" w:hAnsi="Times New Roman" w:eastAsia="宋体" w:cs="Times New Roman"/>
                      <w:b w:val="0"/>
                      <w:bCs w:val="0"/>
                      <w:kern w:val="2"/>
                      <w:sz w:val="21"/>
                      <w:szCs w:val="21"/>
                      <w:u w:val="none"/>
                      <w:lang w:val="en-US" w:eastAsia="zh-CN" w:bidi="ar-SA"/>
                    </w:rPr>
                  </w:pPr>
                  <w:r>
                    <w:rPr>
                      <w:b w:val="0"/>
                      <w:bCs w:val="0"/>
                      <w:szCs w:val="21"/>
                      <w:u w:val="none"/>
                    </w:rPr>
                    <w:t>昼间</w:t>
                  </w:r>
                </w:p>
              </w:tc>
              <w:tc>
                <w:tcPr>
                  <w:tcW w:w="1667" w:type="pct"/>
                  <w:tcBorders>
                    <w:right w:val="nil"/>
                  </w:tcBorders>
                  <w:vAlign w:val="center"/>
                </w:tcPr>
                <w:p w14:paraId="65B36EBD">
                  <w:pPr>
                    <w:spacing w:line="240" w:lineRule="auto"/>
                    <w:jc w:val="center"/>
                    <w:rPr>
                      <w:rFonts w:ascii="Times New Roman" w:hAnsi="Times New Roman" w:eastAsia="宋体" w:cs="Times New Roman"/>
                      <w:b w:val="0"/>
                      <w:bCs w:val="0"/>
                      <w:kern w:val="2"/>
                      <w:sz w:val="21"/>
                      <w:szCs w:val="21"/>
                      <w:u w:val="none"/>
                      <w:lang w:val="en-US" w:eastAsia="zh-CN" w:bidi="ar-SA"/>
                    </w:rPr>
                  </w:pPr>
                  <w:r>
                    <w:rPr>
                      <w:b w:val="0"/>
                      <w:bCs w:val="0"/>
                      <w:szCs w:val="21"/>
                      <w:u w:val="none"/>
                    </w:rPr>
                    <w:t>夜间</w:t>
                  </w:r>
                </w:p>
              </w:tc>
            </w:tr>
            <w:tr w14:paraId="3C471E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1666" w:type="pct"/>
                  <w:tcBorders>
                    <w:left w:val="nil"/>
                  </w:tcBorders>
                  <w:vAlign w:val="center"/>
                </w:tcPr>
                <w:p w14:paraId="0D8D1460">
                  <w:pPr>
                    <w:spacing w:line="240" w:lineRule="auto"/>
                    <w:jc w:val="center"/>
                    <w:rPr>
                      <w:b w:val="0"/>
                      <w:bCs w:val="0"/>
                      <w:szCs w:val="21"/>
                      <w:u w:val="none"/>
                    </w:rPr>
                  </w:pPr>
                  <w:r>
                    <w:rPr>
                      <w:rFonts w:hint="eastAsia"/>
                      <w:b w:val="0"/>
                      <w:bCs w:val="0"/>
                      <w:szCs w:val="21"/>
                      <w:u w:val="none"/>
                    </w:rPr>
                    <w:t>2</w:t>
                  </w:r>
                  <w:r>
                    <w:rPr>
                      <w:b w:val="0"/>
                      <w:bCs w:val="0"/>
                      <w:szCs w:val="21"/>
                      <w:u w:val="none"/>
                    </w:rPr>
                    <w:t>类</w:t>
                  </w:r>
                </w:p>
              </w:tc>
              <w:tc>
                <w:tcPr>
                  <w:tcW w:w="1666" w:type="pct"/>
                  <w:vAlign w:val="center"/>
                </w:tcPr>
                <w:p w14:paraId="0F40F60A">
                  <w:pPr>
                    <w:spacing w:line="240" w:lineRule="auto"/>
                    <w:jc w:val="center"/>
                    <w:rPr>
                      <w:b w:val="0"/>
                      <w:bCs w:val="0"/>
                      <w:szCs w:val="21"/>
                      <w:u w:val="none"/>
                    </w:rPr>
                  </w:pPr>
                  <w:r>
                    <w:rPr>
                      <w:rFonts w:hint="eastAsia"/>
                      <w:b w:val="0"/>
                      <w:bCs w:val="0"/>
                      <w:szCs w:val="21"/>
                      <w:u w:val="none"/>
                    </w:rPr>
                    <w:t>60</w:t>
                  </w:r>
                </w:p>
              </w:tc>
              <w:tc>
                <w:tcPr>
                  <w:tcW w:w="1667" w:type="pct"/>
                  <w:tcBorders>
                    <w:right w:val="nil"/>
                  </w:tcBorders>
                  <w:vAlign w:val="center"/>
                </w:tcPr>
                <w:p w14:paraId="7F09E88C">
                  <w:pPr>
                    <w:spacing w:line="240" w:lineRule="auto"/>
                    <w:jc w:val="center"/>
                    <w:rPr>
                      <w:b w:val="0"/>
                      <w:bCs w:val="0"/>
                      <w:szCs w:val="21"/>
                      <w:u w:val="none"/>
                    </w:rPr>
                  </w:pPr>
                  <w:r>
                    <w:rPr>
                      <w:rFonts w:hint="eastAsia"/>
                      <w:b w:val="0"/>
                      <w:bCs w:val="0"/>
                      <w:szCs w:val="21"/>
                      <w:u w:val="none"/>
                    </w:rPr>
                    <w:t>50</w:t>
                  </w:r>
                </w:p>
              </w:tc>
            </w:tr>
          </w:tbl>
          <w:p w14:paraId="0C30C00C">
            <w:pPr>
              <w:spacing w:line="360" w:lineRule="auto"/>
              <w:rPr>
                <w:rFonts w:hint="eastAsia"/>
                <w:b/>
                <w:bCs/>
                <w:sz w:val="24"/>
                <w:u w:val="none"/>
              </w:rPr>
            </w:pPr>
            <w:r>
              <w:rPr>
                <w:rFonts w:hint="eastAsia"/>
                <w:b/>
                <w:bCs/>
                <w:sz w:val="24"/>
                <w:u w:val="none"/>
              </w:rPr>
              <w:t>3.11污染物排放控制标准</w:t>
            </w:r>
          </w:p>
          <w:p w14:paraId="4E29A00B">
            <w:pPr>
              <w:spacing w:line="360" w:lineRule="auto"/>
              <w:ind w:firstLine="482" w:firstLineChars="200"/>
              <w:rPr>
                <w:b/>
                <w:bCs/>
                <w:sz w:val="24"/>
                <w:szCs w:val="32"/>
                <w:u w:val="none"/>
              </w:rPr>
            </w:pPr>
            <w:r>
              <w:rPr>
                <w:rFonts w:hint="eastAsia"/>
                <w:b/>
                <w:bCs/>
                <w:sz w:val="24"/>
                <w:szCs w:val="32"/>
                <w:u w:val="none"/>
              </w:rPr>
              <w:t>（1）废气</w:t>
            </w:r>
          </w:p>
          <w:p w14:paraId="789A1361">
            <w:pPr>
              <w:spacing w:line="360" w:lineRule="auto"/>
              <w:ind w:firstLine="480" w:firstLineChars="200"/>
              <w:rPr>
                <w:sz w:val="24"/>
                <w:szCs w:val="32"/>
                <w:u w:val="none"/>
              </w:rPr>
            </w:pPr>
            <w:r>
              <w:rPr>
                <w:rFonts w:hint="eastAsia"/>
                <w:sz w:val="24"/>
                <w:szCs w:val="32"/>
                <w:u w:val="none"/>
              </w:rPr>
              <w:t>本项目</w:t>
            </w:r>
            <w:bookmarkStart w:id="297" w:name="_Hlk119057066"/>
            <w:r>
              <w:rPr>
                <w:rFonts w:hint="eastAsia"/>
                <w:sz w:val="24"/>
                <w:szCs w:val="32"/>
                <w:u w:val="none"/>
              </w:rPr>
              <w:t>施工期废气执行《大气污染物综合排放标准》（GB16297-1996）无组织排放标准；营运期食堂油烟排放执行《饮食业油烟排放标准（试行）》（GB18483-2001）表2标准</w:t>
            </w:r>
            <w:bookmarkEnd w:id="297"/>
            <w:r>
              <w:rPr>
                <w:rFonts w:hint="eastAsia"/>
                <w:sz w:val="24"/>
                <w:szCs w:val="32"/>
                <w:u w:val="none"/>
              </w:rPr>
              <w:t>，见表3</w:t>
            </w:r>
            <w:r>
              <w:rPr>
                <w:rFonts w:hint="eastAsia"/>
                <w:sz w:val="24"/>
                <w:szCs w:val="32"/>
                <w:u w:val="none"/>
                <w:lang w:val="en-US" w:eastAsia="zh-CN"/>
              </w:rPr>
              <w:t>-14</w:t>
            </w:r>
            <w:r>
              <w:rPr>
                <w:rFonts w:hint="eastAsia"/>
                <w:sz w:val="24"/>
                <w:szCs w:val="32"/>
                <w:u w:val="none"/>
              </w:rPr>
              <w:t>。</w:t>
            </w:r>
          </w:p>
          <w:p w14:paraId="4DB9EB46">
            <w:pPr>
              <w:spacing w:line="240" w:lineRule="auto"/>
              <w:jc w:val="center"/>
              <w:rPr>
                <w:b/>
                <w:bCs/>
                <w:szCs w:val="21"/>
                <w:u w:val="none"/>
                <w:lang w:bidi="ar"/>
              </w:rPr>
            </w:pPr>
            <w:r>
              <w:rPr>
                <w:rFonts w:hint="eastAsia"/>
                <w:b/>
                <w:bCs/>
                <w:szCs w:val="21"/>
                <w:u w:val="none"/>
              </w:rPr>
              <w:t>表3</w:t>
            </w:r>
            <w:r>
              <w:rPr>
                <w:rFonts w:hint="eastAsia"/>
                <w:b/>
                <w:bCs/>
                <w:szCs w:val="21"/>
                <w:u w:val="none"/>
                <w:lang w:val="en-US" w:eastAsia="zh-CN"/>
              </w:rPr>
              <w:t xml:space="preserve">-14  </w:t>
            </w:r>
            <w:r>
              <w:rPr>
                <w:rFonts w:hint="eastAsia"/>
                <w:b/>
                <w:bCs/>
                <w:szCs w:val="21"/>
                <w:u w:val="none"/>
                <w:lang w:bidi="ar"/>
              </w:rPr>
              <w:t>废气排放</w:t>
            </w:r>
            <w:r>
              <w:rPr>
                <w:b/>
                <w:bCs/>
                <w:szCs w:val="21"/>
                <w:u w:val="none"/>
                <w:lang w:bidi="ar"/>
              </w:rPr>
              <w:t>标准</w:t>
            </w:r>
            <w:r>
              <w:rPr>
                <w:rFonts w:hint="eastAsia"/>
                <w:b/>
                <w:bCs/>
                <w:szCs w:val="21"/>
                <w:u w:val="none"/>
                <w:lang w:bidi="ar"/>
              </w:rPr>
              <w:t>限值</w:t>
            </w:r>
          </w:p>
          <w:tbl>
            <w:tblPr>
              <w:tblStyle w:val="33"/>
              <w:tblW w:w="4998"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16"/>
              <w:gridCol w:w="4019"/>
            </w:tblGrid>
            <w:tr w14:paraId="43B60A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9" w:type="pct"/>
                  <w:tcBorders>
                    <w:left w:val="nil"/>
                  </w:tcBorders>
                  <w:vAlign w:val="center"/>
                </w:tcPr>
                <w:p w14:paraId="6CD99E4D">
                  <w:pPr>
                    <w:spacing w:line="240" w:lineRule="auto"/>
                    <w:jc w:val="center"/>
                    <w:rPr>
                      <w:rFonts w:ascii="Times New Roman" w:hAnsi="Times New Roman" w:cs="Times New Roman" w:eastAsiaTheme="minorEastAsia"/>
                      <w:bCs/>
                      <w:kern w:val="2"/>
                      <w:sz w:val="21"/>
                      <w:szCs w:val="21"/>
                      <w:u w:val="none"/>
                      <w:lang w:val="en-US" w:eastAsia="zh-CN" w:bidi="ar"/>
                    </w:rPr>
                  </w:pPr>
                  <w:r>
                    <w:rPr>
                      <w:rFonts w:eastAsiaTheme="minorEastAsia"/>
                      <w:bCs/>
                      <w:szCs w:val="21"/>
                      <w:u w:val="none"/>
                      <w:lang w:bidi="ar"/>
                    </w:rPr>
                    <w:t>废气</w:t>
                  </w:r>
                </w:p>
              </w:tc>
              <w:tc>
                <w:tcPr>
                  <w:tcW w:w="2500" w:type="pct"/>
                  <w:tcBorders>
                    <w:right w:val="nil"/>
                  </w:tcBorders>
                  <w:vAlign w:val="center"/>
                </w:tcPr>
                <w:p w14:paraId="2B3C7F34">
                  <w:pPr>
                    <w:spacing w:line="240" w:lineRule="auto"/>
                    <w:jc w:val="center"/>
                    <w:rPr>
                      <w:rFonts w:ascii="Times New Roman" w:hAnsi="Times New Roman" w:cs="Times New Roman" w:eastAsiaTheme="minorEastAsia"/>
                      <w:bCs/>
                      <w:kern w:val="2"/>
                      <w:sz w:val="21"/>
                      <w:szCs w:val="21"/>
                      <w:u w:val="none"/>
                      <w:lang w:val="en-US" w:eastAsia="zh-CN" w:bidi="ar"/>
                    </w:rPr>
                  </w:pPr>
                  <w:r>
                    <w:rPr>
                      <w:rFonts w:eastAsiaTheme="minorEastAsia"/>
                      <w:bCs/>
                      <w:szCs w:val="21"/>
                      <w:u w:val="none"/>
                      <w:lang w:bidi="ar"/>
                    </w:rPr>
                    <w:t>标准限值</w:t>
                  </w:r>
                </w:p>
              </w:tc>
            </w:tr>
            <w:tr w14:paraId="60C16A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9" w:type="pct"/>
                  <w:tcBorders>
                    <w:left w:val="nil"/>
                  </w:tcBorders>
                  <w:vAlign w:val="center"/>
                </w:tcPr>
                <w:p w14:paraId="0CE0DF67">
                  <w:pPr>
                    <w:spacing w:line="240" w:lineRule="auto"/>
                    <w:jc w:val="center"/>
                    <w:rPr>
                      <w:rFonts w:eastAsiaTheme="minorEastAsia"/>
                      <w:bCs/>
                      <w:szCs w:val="21"/>
                      <w:u w:val="none"/>
                      <w:lang w:bidi="ar"/>
                    </w:rPr>
                  </w:pPr>
                  <w:r>
                    <w:rPr>
                      <w:rFonts w:eastAsiaTheme="minorEastAsia"/>
                      <w:bCs/>
                      <w:szCs w:val="21"/>
                      <w:u w:val="none"/>
                      <w:lang w:bidi="ar"/>
                    </w:rPr>
                    <w:t>施工期废气--</w:t>
                  </w:r>
                  <w:r>
                    <w:rPr>
                      <w:rFonts w:eastAsiaTheme="minorEastAsia"/>
                      <w:bCs/>
                      <w:szCs w:val="21"/>
                      <w:u w:val="none"/>
                    </w:rPr>
                    <w:t>颗粒物</w:t>
                  </w:r>
                </w:p>
              </w:tc>
              <w:tc>
                <w:tcPr>
                  <w:tcW w:w="2500" w:type="pct"/>
                  <w:tcBorders>
                    <w:right w:val="nil"/>
                  </w:tcBorders>
                  <w:vAlign w:val="center"/>
                </w:tcPr>
                <w:p w14:paraId="15F0A7FE">
                  <w:pPr>
                    <w:spacing w:line="240" w:lineRule="auto"/>
                    <w:jc w:val="center"/>
                    <w:rPr>
                      <w:rFonts w:eastAsiaTheme="minorEastAsia"/>
                      <w:bCs/>
                      <w:szCs w:val="21"/>
                      <w:u w:val="none"/>
                      <w:lang w:bidi="ar"/>
                    </w:rPr>
                  </w:pPr>
                  <w:r>
                    <w:rPr>
                      <w:rFonts w:eastAsiaTheme="minorEastAsia"/>
                      <w:bCs/>
                      <w:szCs w:val="21"/>
                      <w:u w:val="none"/>
                    </w:rPr>
                    <w:t>1.0mg/m</w:t>
                  </w:r>
                  <w:r>
                    <w:rPr>
                      <w:rFonts w:eastAsiaTheme="minorEastAsia"/>
                      <w:bCs/>
                      <w:szCs w:val="21"/>
                      <w:u w:val="none"/>
                      <w:vertAlign w:val="superscript"/>
                    </w:rPr>
                    <w:t>3</w:t>
                  </w:r>
                </w:p>
              </w:tc>
            </w:tr>
            <w:tr w14:paraId="796342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9" w:type="pct"/>
                  <w:tcBorders>
                    <w:left w:val="nil"/>
                  </w:tcBorders>
                  <w:vAlign w:val="center"/>
                </w:tcPr>
                <w:p w14:paraId="58F2E51B">
                  <w:pPr>
                    <w:spacing w:line="240" w:lineRule="auto"/>
                    <w:jc w:val="center"/>
                    <w:rPr>
                      <w:rFonts w:eastAsiaTheme="minorEastAsia"/>
                      <w:bCs/>
                      <w:szCs w:val="21"/>
                      <w:u w:val="none"/>
                      <w:lang w:bidi="ar"/>
                    </w:rPr>
                  </w:pPr>
                  <w:r>
                    <w:rPr>
                      <w:rFonts w:eastAsiaTheme="minorEastAsia"/>
                      <w:bCs/>
                      <w:szCs w:val="21"/>
                      <w:u w:val="none"/>
                      <w:lang w:bidi="ar"/>
                    </w:rPr>
                    <w:t>运营期--油烟</w:t>
                  </w:r>
                </w:p>
              </w:tc>
              <w:tc>
                <w:tcPr>
                  <w:tcW w:w="2500" w:type="pct"/>
                  <w:tcBorders>
                    <w:right w:val="nil"/>
                  </w:tcBorders>
                  <w:vAlign w:val="center"/>
                </w:tcPr>
                <w:p w14:paraId="71B62301">
                  <w:pPr>
                    <w:spacing w:line="240" w:lineRule="auto"/>
                    <w:jc w:val="center"/>
                    <w:rPr>
                      <w:rFonts w:eastAsiaTheme="minorEastAsia"/>
                      <w:bCs/>
                      <w:szCs w:val="21"/>
                      <w:u w:val="none"/>
                      <w:lang w:bidi="ar"/>
                    </w:rPr>
                  </w:pPr>
                  <w:r>
                    <w:rPr>
                      <w:rFonts w:eastAsiaTheme="minorEastAsia"/>
                      <w:bCs/>
                      <w:szCs w:val="21"/>
                      <w:u w:val="none"/>
                      <w:lang w:bidi="ar"/>
                    </w:rPr>
                    <w:t>2.0mg/m</w:t>
                  </w:r>
                  <w:r>
                    <w:rPr>
                      <w:rFonts w:eastAsiaTheme="minorEastAsia"/>
                      <w:bCs/>
                      <w:szCs w:val="21"/>
                      <w:u w:val="none"/>
                      <w:vertAlign w:val="superscript"/>
                      <w:lang w:bidi="ar"/>
                    </w:rPr>
                    <w:t>3</w:t>
                  </w:r>
                  <w:r>
                    <w:rPr>
                      <w:rFonts w:eastAsiaTheme="minorEastAsia"/>
                      <w:bCs/>
                      <w:szCs w:val="21"/>
                      <w:u w:val="none"/>
                      <w:lang w:bidi="ar"/>
                    </w:rPr>
                    <w:t>（小型）</w:t>
                  </w:r>
                </w:p>
              </w:tc>
            </w:tr>
          </w:tbl>
          <w:p w14:paraId="0B9995DD">
            <w:pPr>
              <w:spacing w:line="360" w:lineRule="auto"/>
              <w:ind w:firstLine="482" w:firstLineChars="200"/>
              <w:rPr>
                <w:b/>
                <w:bCs/>
                <w:sz w:val="24"/>
                <w:szCs w:val="32"/>
                <w:u w:val="none"/>
              </w:rPr>
            </w:pPr>
            <w:r>
              <w:rPr>
                <w:rFonts w:hint="eastAsia"/>
                <w:b/>
                <w:bCs/>
                <w:sz w:val="24"/>
                <w:szCs w:val="32"/>
                <w:u w:val="none"/>
              </w:rPr>
              <w:t>（2）废水</w:t>
            </w:r>
          </w:p>
          <w:p w14:paraId="50FDC71D">
            <w:pPr>
              <w:spacing w:line="360" w:lineRule="auto"/>
              <w:ind w:firstLine="480" w:firstLineChars="200"/>
              <w:rPr>
                <w:sz w:val="24"/>
                <w:szCs w:val="32"/>
                <w:u w:val="none"/>
              </w:rPr>
            </w:pPr>
            <w:r>
              <w:rPr>
                <w:rFonts w:hint="eastAsia"/>
                <w:sz w:val="24"/>
                <w:szCs w:val="32"/>
                <w:u w:val="none"/>
                <w:lang w:val="en-US" w:eastAsia="zh-CN"/>
              </w:rPr>
              <w:t>施工期废水经临时沉砂池处理后回用于场地洒水降尘。营运期升压站生活污水</w:t>
            </w:r>
            <w:r>
              <w:rPr>
                <w:rFonts w:hint="eastAsia"/>
                <w:sz w:val="24"/>
                <w:szCs w:val="32"/>
                <w:u w:val="none"/>
              </w:rPr>
              <w:t>经</w:t>
            </w:r>
            <w:r>
              <w:rPr>
                <w:rFonts w:hint="eastAsia"/>
                <w:sz w:val="24"/>
                <w:szCs w:val="32"/>
                <w:u w:val="none"/>
                <w:lang w:val="en-US" w:eastAsia="zh-CN"/>
              </w:rPr>
              <w:t>一体化</w:t>
            </w:r>
            <w:r>
              <w:rPr>
                <w:rFonts w:hint="eastAsia"/>
                <w:sz w:val="24"/>
                <w:szCs w:val="32"/>
                <w:u w:val="none"/>
              </w:rPr>
              <w:t>污水处理</w:t>
            </w:r>
            <w:r>
              <w:rPr>
                <w:rFonts w:hint="eastAsia"/>
                <w:sz w:val="24"/>
                <w:szCs w:val="32"/>
                <w:u w:val="none"/>
                <w:lang w:val="en-US" w:eastAsia="zh-CN"/>
              </w:rPr>
              <w:t>设施</w:t>
            </w:r>
            <w:r>
              <w:rPr>
                <w:rFonts w:hint="eastAsia"/>
                <w:sz w:val="24"/>
                <w:szCs w:val="32"/>
                <w:u w:val="none"/>
              </w:rPr>
              <w:t>处理后用于</w:t>
            </w:r>
            <w:r>
              <w:rPr>
                <w:rFonts w:hint="eastAsia"/>
                <w:sz w:val="24"/>
                <w:szCs w:val="32"/>
                <w:u w:val="none"/>
                <w:lang w:val="en-US" w:eastAsia="zh-CN"/>
              </w:rPr>
              <w:t>升压站内</w:t>
            </w:r>
            <w:r>
              <w:rPr>
                <w:rFonts w:hint="eastAsia"/>
                <w:sz w:val="24"/>
                <w:szCs w:val="32"/>
                <w:u w:val="none"/>
              </w:rPr>
              <w:t>绿化</w:t>
            </w:r>
            <w:r>
              <w:rPr>
                <w:rFonts w:hint="eastAsia"/>
                <w:sz w:val="24"/>
                <w:szCs w:val="32"/>
                <w:u w:val="none"/>
                <w:lang w:val="en-US" w:eastAsia="zh-CN"/>
              </w:rPr>
              <w:t>用水</w:t>
            </w:r>
            <w:r>
              <w:rPr>
                <w:rFonts w:hint="eastAsia"/>
                <w:sz w:val="24"/>
                <w:szCs w:val="32"/>
                <w:u w:val="none"/>
              </w:rPr>
              <w:t>，不外排。</w:t>
            </w:r>
          </w:p>
          <w:p w14:paraId="2A5F9FAD">
            <w:pPr>
              <w:spacing w:line="360" w:lineRule="auto"/>
              <w:ind w:firstLine="482" w:firstLineChars="200"/>
              <w:rPr>
                <w:b/>
                <w:bCs/>
                <w:sz w:val="24"/>
                <w:szCs w:val="32"/>
                <w:u w:val="none"/>
              </w:rPr>
            </w:pPr>
            <w:r>
              <w:rPr>
                <w:rFonts w:hint="eastAsia"/>
                <w:b/>
                <w:bCs/>
                <w:sz w:val="24"/>
                <w:szCs w:val="32"/>
                <w:u w:val="none"/>
              </w:rPr>
              <w:t>（3）噪声</w:t>
            </w:r>
          </w:p>
          <w:p w14:paraId="4DAB2520">
            <w:pPr>
              <w:spacing w:line="360" w:lineRule="auto"/>
              <w:ind w:firstLine="480" w:firstLineChars="200"/>
              <w:rPr>
                <w:sz w:val="24"/>
                <w:u w:val="none"/>
                <w:lang w:bidi="ar"/>
              </w:rPr>
            </w:pPr>
            <w:bookmarkStart w:id="298" w:name="_Hlk119057104"/>
            <w:r>
              <w:rPr>
                <w:sz w:val="24"/>
                <w:u w:val="none"/>
                <w:lang w:bidi="ar"/>
              </w:rPr>
              <w:t>施工期执行《建筑施工场界环境噪声排放标准》（GB12523-2011）的标准限值，运营期厂界噪声排放执行《工业企业厂界环境噪声排放标准》（GB12348-2008）</w:t>
            </w:r>
            <w:r>
              <w:rPr>
                <w:rFonts w:hint="eastAsia"/>
                <w:sz w:val="24"/>
                <w:u w:val="none"/>
                <w:lang w:bidi="ar"/>
              </w:rPr>
              <w:t>2</w:t>
            </w:r>
            <w:r>
              <w:rPr>
                <w:sz w:val="24"/>
                <w:u w:val="none"/>
                <w:lang w:bidi="ar"/>
              </w:rPr>
              <w:t>类标准</w:t>
            </w:r>
            <w:bookmarkEnd w:id="298"/>
            <w:r>
              <w:rPr>
                <w:rFonts w:hint="eastAsia"/>
                <w:sz w:val="24"/>
                <w:u w:val="none"/>
                <w:lang w:bidi="ar"/>
              </w:rPr>
              <w:t>，</w:t>
            </w:r>
            <w:r>
              <w:rPr>
                <w:sz w:val="24"/>
                <w:u w:val="none"/>
                <w:lang w:bidi="ar"/>
              </w:rPr>
              <w:t>见表3</w:t>
            </w:r>
            <w:r>
              <w:rPr>
                <w:rFonts w:hint="eastAsia"/>
                <w:sz w:val="24"/>
                <w:u w:val="none"/>
                <w:lang w:val="en-US" w:eastAsia="zh-CN" w:bidi="ar"/>
              </w:rPr>
              <w:t>-15</w:t>
            </w:r>
            <w:r>
              <w:rPr>
                <w:rFonts w:hint="eastAsia"/>
                <w:sz w:val="24"/>
                <w:u w:val="none"/>
                <w:lang w:bidi="ar"/>
              </w:rPr>
              <w:t>~</w:t>
            </w:r>
            <w:r>
              <w:rPr>
                <w:sz w:val="24"/>
                <w:u w:val="none"/>
                <w:lang w:bidi="ar"/>
              </w:rPr>
              <w:t>表3-</w:t>
            </w:r>
            <w:r>
              <w:rPr>
                <w:rFonts w:hint="eastAsia"/>
                <w:sz w:val="24"/>
                <w:u w:val="none"/>
                <w:lang w:val="en-US" w:eastAsia="zh-CN" w:bidi="ar"/>
              </w:rPr>
              <w:t>16</w:t>
            </w:r>
            <w:r>
              <w:rPr>
                <w:sz w:val="24"/>
                <w:u w:val="none"/>
                <w:lang w:bidi="ar"/>
              </w:rPr>
              <w:t>。</w:t>
            </w:r>
          </w:p>
          <w:p w14:paraId="36E05B98">
            <w:pPr>
              <w:spacing w:line="240" w:lineRule="auto"/>
              <w:jc w:val="center"/>
              <w:rPr>
                <w:b/>
                <w:bCs/>
                <w:szCs w:val="21"/>
                <w:u w:val="none"/>
              </w:rPr>
            </w:pPr>
            <w:r>
              <w:rPr>
                <w:b/>
                <w:bCs/>
                <w:szCs w:val="21"/>
                <w:u w:val="none"/>
              </w:rPr>
              <w:t>表3</w:t>
            </w:r>
            <w:r>
              <w:rPr>
                <w:rFonts w:hint="eastAsia"/>
                <w:b/>
                <w:bCs/>
                <w:szCs w:val="21"/>
                <w:u w:val="none"/>
                <w:lang w:val="en-US" w:eastAsia="zh-CN"/>
              </w:rPr>
              <w:t xml:space="preserve">-15  </w:t>
            </w:r>
            <w:r>
              <w:rPr>
                <w:b/>
                <w:bCs/>
                <w:szCs w:val="21"/>
                <w:u w:val="none"/>
              </w:rPr>
              <w:t>建筑施工场界环境噪声排放限值</w:t>
            </w:r>
            <w:r>
              <w:rPr>
                <w:rFonts w:hint="eastAsia"/>
                <w:b/>
                <w:bCs/>
                <w:szCs w:val="21"/>
                <w:u w:val="none"/>
                <w:lang w:val="en-US" w:eastAsia="zh-CN"/>
              </w:rPr>
              <w:t xml:space="preserve">  </w:t>
            </w:r>
            <w:r>
              <w:rPr>
                <w:b/>
                <w:bCs/>
                <w:szCs w:val="21"/>
                <w:u w:val="none"/>
              </w:rPr>
              <w:t>单位：dB</w:t>
            </w:r>
            <w:r>
              <w:rPr>
                <w:rFonts w:hint="eastAsia"/>
                <w:b/>
                <w:bCs/>
                <w:szCs w:val="21"/>
                <w:u w:val="none"/>
                <w:lang w:val="en-US" w:eastAsia="zh-CN"/>
              </w:rPr>
              <w:t>(A)</w:t>
            </w:r>
          </w:p>
          <w:tbl>
            <w:tblPr>
              <w:tblStyle w:val="33"/>
              <w:tblW w:w="4998"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19"/>
              <w:gridCol w:w="4016"/>
            </w:tblGrid>
            <w:tr w14:paraId="0FF632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01" w:type="pct"/>
                  <w:tcBorders>
                    <w:left w:val="nil"/>
                  </w:tcBorders>
                  <w:vAlign w:val="center"/>
                </w:tcPr>
                <w:p w14:paraId="6E07AA3A">
                  <w:pPr>
                    <w:spacing w:line="240" w:lineRule="auto"/>
                    <w:jc w:val="center"/>
                    <w:rPr>
                      <w:rFonts w:hint="eastAsia" w:eastAsia="宋体"/>
                      <w:b w:val="0"/>
                      <w:bCs w:val="0"/>
                      <w:szCs w:val="21"/>
                      <w:u w:val="none"/>
                      <w:lang w:val="en-US" w:eastAsia="zh-CN"/>
                    </w:rPr>
                  </w:pPr>
                  <w:r>
                    <w:rPr>
                      <w:rFonts w:hint="eastAsia"/>
                      <w:b w:val="0"/>
                      <w:bCs w:val="0"/>
                      <w:szCs w:val="21"/>
                      <w:u w:val="none"/>
                      <w:lang w:val="en-US" w:eastAsia="zh-CN"/>
                    </w:rPr>
                    <w:t>昼间</w:t>
                  </w:r>
                </w:p>
              </w:tc>
              <w:tc>
                <w:tcPr>
                  <w:tcW w:w="2498" w:type="pct"/>
                  <w:tcBorders>
                    <w:right w:val="nil"/>
                  </w:tcBorders>
                  <w:vAlign w:val="center"/>
                </w:tcPr>
                <w:p w14:paraId="121AEB5E">
                  <w:pPr>
                    <w:spacing w:line="240" w:lineRule="auto"/>
                    <w:jc w:val="center"/>
                    <w:rPr>
                      <w:rFonts w:hint="eastAsia" w:eastAsia="宋体"/>
                      <w:b w:val="0"/>
                      <w:bCs w:val="0"/>
                      <w:szCs w:val="21"/>
                      <w:u w:val="none"/>
                      <w:lang w:val="en-US" w:eastAsia="zh-CN"/>
                    </w:rPr>
                  </w:pPr>
                  <w:r>
                    <w:rPr>
                      <w:rFonts w:hint="eastAsia"/>
                      <w:b w:val="0"/>
                      <w:bCs w:val="0"/>
                      <w:szCs w:val="21"/>
                      <w:u w:val="none"/>
                      <w:lang w:val="en-US" w:eastAsia="zh-CN"/>
                    </w:rPr>
                    <w:t>夜间</w:t>
                  </w:r>
                </w:p>
              </w:tc>
            </w:tr>
            <w:tr w14:paraId="3E96B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501" w:type="pct"/>
                  <w:tcBorders>
                    <w:left w:val="nil"/>
                  </w:tcBorders>
                  <w:vAlign w:val="center"/>
                </w:tcPr>
                <w:p w14:paraId="13459D2D">
                  <w:pPr>
                    <w:spacing w:line="240" w:lineRule="auto"/>
                    <w:jc w:val="center"/>
                    <w:rPr>
                      <w:b w:val="0"/>
                      <w:bCs w:val="0"/>
                      <w:szCs w:val="21"/>
                      <w:u w:val="none"/>
                    </w:rPr>
                  </w:pPr>
                  <w:r>
                    <w:rPr>
                      <w:b w:val="0"/>
                      <w:bCs w:val="0"/>
                      <w:szCs w:val="21"/>
                      <w:u w:val="none"/>
                    </w:rPr>
                    <w:t>70</w:t>
                  </w:r>
                </w:p>
              </w:tc>
              <w:tc>
                <w:tcPr>
                  <w:tcW w:w="2498" w:type="pct"/>
                  <w:tcBorders>
                    <w:right w:val="nil"/>
                  </w:tcBorders>
                  <w:vAlign w:val="center"/>
                </w:tcPr>
                <w:p w14:paraId="41B69521">
                  <w:pPr>
                    <w:spacing w:line="240" w:lineRule="auto"/>
                    <w:jc w:val="center"/>
                    <w:rPr>
                      <w:b w:val="0"/>
                      <w:bCs w:val="0"/>
                      <w:szCs w:val="21"/>
                      <w:u w:val="none"/>
                    </w:rPr>
                  </w:pPr>
                  <w:r>
                    <w:rPr>
                      <w:b w:val="0"/>
                      <w:bCs w:val="0"/>
                      <w:szCs w:val="21"/>
                      <w:u w:val="none"/>
                    </w:rPr>
                    <w:t>55</w:t>
                  </w:r>
                </w:p>
              </w:tc>
            </w:tr>
          </w:tbl>
          <w:p w14:paraId="7F44F774">
            <w:pPr>
              <w:spacing w:line="240" w:lineRule="auto"/>
              <w:jc w:val="center"/>
              <w:rPr>
                <w:b/>
                <w:bCs/>
                <w:szCs w:val="21"/>
                <w:u w:val="none"/>
              </w:rPr>
            </w:pPr>
            <w:r>
              <w:rPr>
                <w:b/>
                <w:bCs/>
                <w:szCs w:val="21"/>
                <w:u w:val="none"/>
              </w:rPr>
              <w:t>表</w:t>
            </w:r>
            <w:r>
              <w:rPr>
                <w:rFonts w:hint="eastAsia"/>
                <w:b/>
                <w:bCs/>
                <w:szCs w:val="21"/>
                <w:u w:val="none"/>
              </w:rPr>
              <w:t>3</w:t>
            </w:r>
            <w:r>
              <w:rPr>
                <w:rFonts w:hint="eastAsia"/>
                <w:b/>
                <w:bCs/>
                <w:szCs w:val="21"/>
                <w:u w:val="none"/>
                <w:lang w:val="en-US" w:eastAsia="zh-CN"/>
              </w:rPr>
              <w:t xml:space="preserve">-16  </w:t>
            </w:r>
            <w:r>
              <w:rPr>
                <w:b/>
                <w:bCs/>
                <w:szCs w:val="21"/>
                <w:u w:val="none"/>
              </w:rPr>
              <w:t>工业企业厂界环境噪声排放标准</w:t>
            </w:r>
            <w:r>
              <w:rPr>
                <w:rFonts w:hint="eastAsia"/>
                <w:b/>
                <w:bCs/>
                <w:szCs w:val="21"/>
                <w:u w:val="none"/>
                <w:lang w:val="en-US" w:eastAsia="zh-CN"/>
              </w:rPr>
              <w:t xml:space="preserve">  </w:t>
            </w:r>
            <w:r>
              <w:rPr>
                <w:b/>
                <w:bCs/>
                <w:szCs w:val="21"/>
                <w:u w:val="none"/>
              </w:rPr>
              <w:t>单位：dB（A）</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2673"/>
              <w:gridCol w:w="2677"/>
              <w:gridCol w:w="2685"/>
            </w:tblGrid>
            <w:tr w14:paraId="6A6779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1663" w:type="pct"/>
                  <w:tcBorders>
                    <w:left w:val="nil"/>
                  </w:tcBorders>
                  <w:vAlign w:val="center"/>
                </w:tcPr>
                <w:p w14:paraId="19E0EDD8">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lang w:val="en-US" w:eastAsia="zh-CN"/>
                    </w:rPr>
                    <w:t>类别</w:t>
                  </w:r>
                </w:p>
              </w:tc>
              <w:tc>
                <w:tcPr>
                  <w:tcW w:w="1665" w:type="pct"/>
                  <w:vAlign w:val="center"/>
                </w:tcPr>
                <w:p w14:paraId="27D324AD">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lang w:val="en-US" w:eastAsia="zh-CN"/>
                    </w:rPr>
                    <w:t>昼间</w:t>
                  </w:r>
                </w:p>
              </w:tc>
              <w:tc>
                <w:tcPr>
                  <w:tcW w:w="1670" w:type="pct"/>
                  <w:tcBorders>
                    <w:right w:val="nil"/>
                  </w:tcBorders>
                  <w:vAlign w:val="center"/>
                </w:tcPr>
                <w:p w14:paraId="2D112CB7">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lang w:val="en-US" w:eastAsia="zh-CN"/>
                    </w:rPr>
                    <w:t>夜间</w:t>
                  </w:r>
                </w:p>
              </w:tc>
            </w:tr>
            <w:tr w14:paraId="47CC0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jc w:val="center"/>
              </w:trPr>
              <w:tc>
                <w:tcPr>
                  <w:tcW w:w="1663" w:type="pct"/>
                  <w:tcBorders>
                    <w:left w:val="nil"/>
                  </w:tcBorders>
                  <w:vAlign w:val="center"/>
                </w:tcPr>
                <w:p w14:paraId="12EA415E">
                  <w:pPr>
                    <w:pStyle w:val="50"/>
                    <w:spacing w:line="240" w:lineRule="auto"/>
                    <w:ind w:firstLine="0"/>
                    <w:jc w:val="center"/>
                    <w:rPr>
                      <w:rFonts w:hint="eastAsia" w:eastAsia="宋体"/>
                      <w:b w:val="0"/>
                      <w:bCs w:val="0"/>
                      <w:kern w:val="13"/>
                      <w:sz w:val="21"/>
                      <w:szCs w:val="21"/>
                      <w:u w:val="none"/>
                      <w:lang w:val="en-US" w:eastAsia="zh-CN"/>
                    </w:rPr>
                  </w:pPr>
                  <w:r>
                    <w:rPr>
                      <w:rFonts w:hint="eastAsia" w:eastAsia="宋体"/>
                      <w:b w:val="0"/>
                      <w:bCs w:val="0"/>
                      <w:kern w:val="13"/>
                      <w:sz w:val="21"/>
                      <w:szCs w:val="21"/>
                      <w:u w:val="none"/>
                    </w:rPr>
                    <w:t>2</w:t>
                  </w:r>
                  <w:r>
                    <w:rPr>
                      <w:rFonts w:eastAsia="宋体"/>
                      <w:b w:val="0"/>
                      <w:bCs w:val="0"/>
                      <w:kern w:val="13"/>
                      <w:sz w:val="21"/>
                      <w:szCs w:val="21"/>
                      <w:u w:val="none"/>
                    </w:rPr>
                    <w:t>类</w:t>
                  </w:r>
                  <w:r>
                    <w:rPr>
                      <w:rFonts w:hint="eastAsia" w:eastAsia="宋体"/>
                      <w:b w:val="0"/>
                      <w:bCs w:val="0"/>
                      <w:kern w:val="13"/>
                      <w:sz w:val="21"/>
                      <w:szCs w:val="21"/>
                      <w:u w:val="none"/>
                      <w:lang w:val="en-US" w:eastAsia="zh-CN"/>
                    </w:rPr>
                    <w:t>区</w:t>
                  </w:r>
                </w:p>
              </w:tc>
              <w:tc>
                <w:tcPr>
                  <w:tcW w:w="1665" w:type="pct"/>
                  <w:vAlign w:val="center"/>
                </w:tcPr>
                <w:p w14:paraId="65F75496">
                  <w:pPr>
                    <w:pStyle w:val="50"/>
                    <w:spacing w:line="240" w:lineRule="auto"/>
                    <w:ind w:firstLine="0"/>
                    <w:jc w:val="center"/>
                    <w:rPr>
                      <w:rFonts w:eastAsia="宋体"/>
                      <w:b w:val="0"/>
                      <w:bCs w:val="0"/>
                      <w:kern w:val="13"/>
                      <w:sz w:val="21"/>
                      <w:szCs w:val="21"/>
                      <w:u w:val="none"/>
                    </w:rPr>
                  </w:pPr>
                  <w:r>
                    <w:rPr>
                      <w:rFonts w:hint="eastAsia" w:eastAsia="宋体"/>
                      <w:b w:val="0"/>
                      <w:bCs w:val="0"/>
                      <w:kern w:val="13"/>
                      <w:sz w:val="21"/>
                      <w:szCs w:val="21"/>
                      <w:u w:val="none"/>
                    </w:rPr>
                    <w:t>60</w:t>
                  </w:r>
                </w:p>
              </w:tc>
              <w:tc>
                <w:tcPr>
                  <w:tcW w:w="1670" w:type="pct"/>
                  <w:tcBorders>
                    <w:right w:val="nil"/>
                  </w:tcBorders>
                  <w:vAlign w:val="center"/>
                </w:tcPr>
                <w:p w14:paraId="74634ED8">
                  <w:pPr>
                    <w:pStyle w:val="50"/>
                    <w:spacing w:line="240" w:lineRule="auto"/>
                    <w:ind w:firstLine="0"/>
                    <w:jc w:val="center"/>
                    <w:rPr>
                      <w:rFonts w:eastAsia="宋体"/>
                      <w:b w:val="0"/>
                      <w:bCs w:val="0"/>
                      <w:kern w:val="13"/>
                      <w:sz w:val="21"/>
                      <w:szCs w:val="21"/>
                      <w:u w:val="none"/>
                    </w:rPr>
                  </w:pPr>
                  <w:r>
                    <w:rPr>
                      <w:rFonts w:hint="eastAsia" w:eastAsia="宋体"/>
                      <w:b w:val="0"/>
                      <w:bCs w:val="0"/>
                      <w:kern w:val="13"/>
                      <w:sz w:val="21"/>
                      <w:szCs w:val="21"/>
                      <w:u w:val="none"/>
                    </w:rPr>
                    <w:t>50</w:t>
                  </w:r>
                </w:p>
              </w:tc>
            </w:tr>
          </w:tbl>
          <w:p w14:paraId="2C8BB36E">
            <w:pPr>
              <w:spacing w:line="360" w:lineRule="auto"/>
              <w:ind w:firstLine="482" w:firstLineChars="200"/>
              <w:rPr>
                <w:b/>
                <w:bCs/>
                <w:sz w:val="24"/>
                <w:szCs w:val="32"/>
                <w:u w:val="none"/>
              </w:rPr>
            </w:pPr>
            <w:r>
              <w:rPr>
                <w:rFonts w:hint="eastAsia"/>
                <w:b/>
                <w:bCs/>
                <w:sz w:val="24"/>
                <w:szCs w:val="32"/>
                <w:u w:val="none"/>
              </w:rPr>
              <w:t>（4）固废</w:t>
            </w:r>
          </w:p>
          <w:p w14:paraId="6906F03D">
            <w:pPr>
              <w:spacing w:line="360" w:lineRule="auto"/>
              <w:ind w:firstLine="480" w:firstLineChars="200"/>
              <w:rPr>
                <w:sz w:val="24"/>
                <w:szCs w:val="32"/>
                <w:u w:val="none"/>
              </w:rPr>
            </w:pPr>
            <w:bookmarkStart w:id="299" w:name="_Hlk119057115"/>
            <w:r>
              <w:rPr>
                <w:sz w:val="24"/>
                <w:u w:val="none"/>
                <w:lang w:bidi="ar"/>
              </w:rPr>
              <w:t>一般固废执行《一般工业固体废物贮存和填埋污染控制标准》（GB18599-2020）；危险废物执行《危险废物贮存污染控制标准》（GB18597-20</w:t>
            </w:r>
            <w:r>
              <w:rPr>
                <w:rFonts w:hint="eastAsia"/>
                <w:sz w:val="24"/>
                <w:u w:val="none"/>
                <w:lang w:val="en-US" w:eastAsia="zh-CN" w:bidi="ar"/>
              </w:rPr>
              <w:t>23</w:t>
            </w:r>
            <w:r>
              <w:rPr>
                <w:sz w:val="24"/>
                <w:u w:val="none"/>
                <w:lang w:bidi="ar"/>
              </w:rPr>
              <w:t>）。</w:t>
            </w:r>
            <w:bookmarkEnd w:id="299"/>
          </w:p>
        </w:tc>
      </w:tr>
      <w:tr w14:paraId="11DEA0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04" w:type="dxa"/>
            <w:vAlign w:val="center"/>
          </w:tcPr>
          <w:p w14:paraId="17B0A73E">
            <w:pPr>
              <w:jc w:val="center"/>
              <w:rPr>
                <w:b/>
                <w:bCs/>
                <w:sz w:val="24"/>
                <w:szCs w:val="32"/>
                <w:u w:val="none"/>
              </w:rPr>
            </w:pPr>
            <w:r>
              <w:rPr>
                <w:rFonts w:hint="eastAsia"/>
                <w:b/>
                <w:bCs/>
                <w:sz w:val="24"/>
                <w:szCs w:val="32"/>
                <w:u w:val="none"/>
              </w:rPr>
              <w:t>其他</w:t>
            </w:r>
          </w:p>
        </w:tc>
        <w:tc>
          <w:tcPr>
            <w:tcW w:w="8284" w:type="dxa"/>
            <w:vAlign w:val="center"/>
          </w:tcPr>
          <w:p w14:paraId="61ED0292">
            <w:pPr>
              <w:spacing w:line="360" w:lineRule="auto"/>
              <w:rPr>
                <w:rFonts w:hint="eastAsia"/>
                <w:b/>
                <w:bCs/>
                <w:sz w:val="24"/>
                <w:u w:val="none"/>
              </w:rPr>
            </w:pPr>
            <w:r>
              <w:rPr>
                <w:rFonts w:hint="eastAsia"/>
                <w:b/>
                <w:bCs/>
                <w:sz w:val="24"/>
                <w:u w:val="none"/>
              </w:rPr>
              <w:t>总量控制指标</w:t>
            </w:r>
          </w:p>
          <w:p w14:paraId="622796FB">
            <w:pPr>
              <w:spacing w:line="360" w:lineRule="auto"/>
              <w:ind w:firstLine="480" w:firstLineChars="200"/>
              <w:rPr>
                <w:rFonts w:hint="eastAsia"/>
                <w:sz w:val="24"/>
                <w:szCs w:val="32"/>
                <w:u w:val="none"/>
              </w:rPr>
            </w:pPr>
            <w:r>
              <w:rPr>
                <w:rFonts w:hint="eastAsia"/>
                <w:sz w:val="24"/>
                <w:szCs w:val="32"/>
                <w:u w:val="none"/>
              </w:rPr>
              <w:t>项目运营期废水主要</w:t>
            </w:r>
            <w:r>
              <w:rPr>
                <w:rFonts w:hint="eastAsia"/>
                <w:sz w:val="24"/>
                <w:szCs w:val="32"/>
                <w:u w:val="none"/>
                <w:lang w:val="en-US" w:eastAsia="zh-CN"/>
              </w:rPr>
              <w:t>为</w:t>
            </w:r>
            <w:r>
              <w:rPr>
                <w:rFonts w:hint="eastAsia"/>
                <w:sz w:val="24"/>
                <w:szCs w:val="32"/>
                <w:u w:val="none"/>
              </w:rPr>
              <w:t>升压站工作人员生活污水，生活污水经地埋式一体化污水设施处理达标后作为升压站</w:t>
            </w:r>
            <w:r>
              <w:rPr>
                <w:rFonts w:hint="eastAsia"/>
                <w:sz w:val="24"/>
                <w:szCs w:val="32"/>
                <w:u w:val="none"/>
                <w:lang w:val="en-US" w:eastAsia="zh-CN"/>
              </w:rPr>
              <w:t>及周边</w:t>
            </w:r>
            <w:r>
              <w:rPr>
                <w:rFonts w:hint="eastAsia"/>
                <w:sz w:val="24"/>
                <w:szCs w:val="32"/>
                <w:u w:val="none"/>
              </w:rPr>
              <w:t>绿化用水回用，不外排；运营期除升压站食堂少量油烟外，无其它大气污染源。</w:t>
            </w:r>
            <w:r>
              <w:rPr>
                <w:rFonts w:hint="eastAsia"/>
                <w:sz w:val="24"/>
                <w:szCs w:val="32"/>
                <w:u w:val="none"/>
                <w:lang w:val="en-US" w:eastAsia="zh-CN"/>
              </w:rPr>
              <w:t>因此，</w:t>
            </w:r>
            <w:r>
              <w:rPr>
                <w:rFonts w:hint="eastAsia"/>
                <w:sz w:val="24"/>
                <w:szCs w:val="32"/>
                <w:u w:val="none"/>
              </w:rPr>
              <w:t>本项目</w:t>
            </w:r>
            <w:r>
              <w:rPr>
                <w:rFonts w:hint="eastAsia"/>
                <w:sz w:val="24"/>
                <w:szCs w:val="32"/>
                <w:u w:val="none"/>
                <w:lang w:val="en-US" w:eastAsia="zh-CN"/>
              </w:rPr>
              <w:t>不设置</w:t>
            </w:r>
            <w:r>
              <w:rPr>
                <w:rFonts w:hint="eastAsia"/>
                <w:sz w:val="24"/>
                <w:szCs w:val="32"/>
                <w:u w:val="none"/>
              </w:rPr>
              <w:t>总量控制指标。</w:t>
            </w:r>
          </w:p>
          <w:p w14:paraId="1E5325DC">
            <w:pPr>
              <w:spacing w:line="360" w:lineRule="auto"/>
              <w:rPr>
                <w:rFonts w:hint="eastAsia"/>
                <w:sz w:val="24"/>
                <w:szCs w:val="32"/>
                <w:u w:val="none"/>
              </w:rPr>
            </w:pPr>
          </w:p>
          <w:p w14:paraId="0886A7FC">
            <w:pPr>
              <w:spacing w:line="360" w:lineRule="auto"/>
              <w:rPr>
                <w:rFonts w:hint="eastAsia"/>
                <w:sz w:val="24"/>
                <w:szCs w:val="32"/>
                <w:u w:val="none"/>
              </w:rPr>
            </w:pPr>
          </w:p>
          <w:p w14:paraId="523BB24C">
            <w:pPr>
              <w:spacing w:line="360" w:lineRule="auto"/>
              <w:rPr>
                <w:rFonts w:hint="eastAsia"/>
                <w:sz w:val="24"/>
                <w:szCs w:val="32"/>
                <w:u w:val="none"/>
              </w:rPr>
            </w:pPr>
          </w:p>
          <w:p w14:paraId="561E1673">
            <w:pPr>
              <w:spacing w:line="360" w:lineRule="auto"/>
              <w:rPr>
                <w:rFonts w:hint="eastAsia"/>
                <w:sz w:val="24"/>
                <w:szCs w:val="32"/>
                <w:u w:val="none"/>
              </w:rPr>
            </w:pPr>
          </w:p>
        </w:tc>
      </w:tr>
    </w:tbl>
    <w:p w14:paraId="287AF9B2">
      <w:pPr>
        <w:rPr>
          <w:sz w:val="24"/>
          <w:szCs w:val="32"/>
        </w:rPr>
      </w:pPr>
      <w:r>
        <w:rPr>
          <w:rFonts w:hint="eastAsia"/>
          <w:sz w:val="24"/>
          <w:szCs w:val="32"/>
        </w:rPr>
        <w:br w:type="page"/>
      </w:r>
    </w:p>
    <w:p w14:paraId="3E39291F">
      <w:pPr>
        <w:pStyle w:val="3"/>
        <w:numPr>
          <w:ilvl w:val="0"/>
          <w:numId w:val="0"/>
        </w:numPr>
      </w:pPr>
      <w:bookmarkStart w:id="300" w:name="_Toc32677"/>
      <w:bookmarkStart w:id="301" w:name="_Toc7264"/>
      <w:r>
        <w:rPr>
          <w:rFonts w:hint="eastAsia"/>
        </w:rPr>
        <w:t>四、生态环境影响分析</w:t>
      </w:r>
      <w:bookmarkEnd w:id="300"/>
      <w:bookmarkEnd w:id="301"/>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3"/>
        <w:gridCol w:w="8555"/>
      </w:tblGrid>
      <w:tr w14:paraId="734131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14:paraId="35A0088C">
            <w:pPr>
              <w:jc w:val="center"/>
              <w:rPr>
                <w:b/>
                <w:bCs/>
                <w:sz w:val="24"/>
              </w:rPr>
            </w:pPr>
            <w:r>
              <w:rPr>
                <w:rFonts w:hint="eastAsia"/>
                <w:b/>
                <w:bCs/>
                <w:sz w:val="24"/>
              </w:rPr>
              <w:t>施工期生态环境影响分析</w:t>
            </w:r>
          </w:p>
        </w:tc>
        <w:tc>
          <w:tcPr>
            <w:tcW w:w="8555" w:type="dxa"/>
          </w:tcPr>
          <w:p w14:paraId="356E0741">
            <w:pPr>
              <w:adjustRightInd w:val="0"/>
              <w:snapToGrid w:val="0"/>
              <w:spacing w:line="360" w:lineRule="auto"/>
              <w:outlineLvl w:val="1"/>
              <w:rPr>
                <w:b/>
                <w:bCs/>
                <w:sz w:val="24"/>
              </w:rPr>
            </w:pPr>
            <w:r>
              <w:rPr>
                <w:b/>
                <w:bCs/>
                <w:sz w:val="24"/>
              </w:rPr>
              <w:t>4.1</w:t>
            </w:r>
            <w:r>
              <w:rPr>
                <w:rFonts w:hint="eastAsia"/>
                <w:b/>
                <w:bCs/>
                <w:sz w:val="24"/>
              </w:rPr>
              <w:t>施工期生态环境影响评价</w:t>
            </w:r>
          </w:p>
          <w:p w14:paraId="0C94783D">
            <w:pPr>
              <w:pStyle w:val="62"/>
              <w:ind w:firstLine="0" w:firstLineChars="0"/>
              <w:rPr>
                <w:rFonts w:cs="Times New Roman"/>
                <w:b/>
                <w:bCs/>
              </w:rPr>
            </w:pPr>
            <w:r>
              <w:rPr>
                <w:rFonts w:cs="Times New Roman"/>
                <w:b/>
                <w:bCs/>
              </w:rPr>
              <w:t>4.1.1</w:t>
            </w:r>
            <w:r>
              <w:rPr>
                <w:rFonts w:hint="eastAsia" w:cs="Times New Roman"/>
                <w:b/>
                <w:bCs/>
              </w:rPr>
              <w:t>土地利用变化</w:t>
            </w:r>
          </w:p>
          <w:p w14:paraId="5A18961D">
            <w:pPr>
              <w:pStyle w:val="62"/>
              <w:ind w:firstLine="480"/>
              <w:rPr>
                <w:rFonts w:cs="Times New Roman"/>
                <w:color w:val="FF0000"/>
              </w:rPr>
            </w:pPr>
            <w:r>
              <w:rPr>
                <w:rFonts w:cs="Times New Roman" w:eastAsiaTheme="minorEastAsia"/>
                <w:color w:val="FF0000"/>
              </w:rPr>
              <w:t>本工程永久用地面积</w:t>
            </w:r>
            <w:r>
              <w:rPr>
                <w:rFonts w:hint="eastAsia" w:cs="Times New Roman" w:eastAsiaTheme="minorEastAsia"/>
                <w:color w:val="FF0000"/>
                <w:lang w:val="en-US" w:eastAsia="zh-CN"/>
              </w:rPr>
              <w:t>1.46</w:t>
            </w:r>
            <w:r>
              <w:rPr>
                <w:rFonts w:cs="Times New Roman" w:eastAsiaTheme="minorEastAsia"/>
                <w:color w:val="FF0000"/>
              </w:rPr>
              <w:t>hm</w:t>
            </w:r>
            <w:r>
              <w:rPr>
                <w:rFonts w:cs="Times New Roman" w:eastAsiaTheme="minorEastAsia"/>
                <w:color w:val="FF0000"/>
                <w:vertAlign w:val="superscript"/>
              </w:rPr>
              <w:t>2</w:t>
            </w:r>
            <w:r>
              <w:rPr>
                <w:rFonts w:cs="Times New Roman" w:eastAsiaTheme="minorEastAsia"/>
                <w:color w:val="FF0000"/>
              </w:rPr>
              <w:t>，临时用地面积</w:t>
            </w:r>
            <w:r>
              <w:rPr>
                <w:rFonts w:hint="eastAsia" w:cs="Times New Roman" w:eastAsiaTheme="minorEastAsia"/>
                <w:color w:val="FF0000"/>
                <w:lang w:val="en-US" w:eastAsia="zh-CN"/>
              </w:rPr>
              <w:t>37.33</w:t>
            </w:r>
            <w:r>
              <w:rPr>
                <w:rFonts w:cs="Times New Roman" w:eastAsiaTheme="minorEastAsia"/>
                <w:color w:val="FF0000"/>
              </w:rPr>
              <w:t>hm</w:t>
            </w:r>
            <w:r>
              <w:rPr>
                <w:rFonts w:cs="Times New Roman" w:eastAsiaTheme="minorEastAsia"/>
                <w:color w:val="FF0000"/>
                <w:vertAlign w:val="superscript"/>
              </w:rPr>
              <w:t>2</w:t>
            </w:r>
            <w:r>
              <w:rPr>
                <w:rFonts w:cs="Times New Roman" w:eastAsiaTheme="minorEastAsia"/>
                <w:color w:val="FF0000"/>
              </w:rPr>
              <w:t>，</w:t>
            </w:r>
            <w:r>
              <w:rPr>
                <w:rFonts w:cs="Times New Roman"/>
                <w:color w:val="FF0000"/>
              </w:rPr>
              <w:t>占地类型主要为灌草地</w:t>
            </w:r>
            <w:r>
              <w:rPr>
                <w:rFonts w:hint="eastAsia" w:cs="Times New Roman"/>
                <w:color w:val="FF0000"/>
              </w:rPr>
              <w:t>、</w:t>
            </w:r>
            <w:r>
              <w:rPr>
                <w:rFonts w:cs="Times New Roman"/>
                <w:color w:val="FF0000"/>
              </w:rPr>
              <w:t>林地。永久占地改变了原有土地利用性质，对土地利用的影响是不可逆的</w:t>
            </w:r>
            <w:r>
              <w:rPr>
                <w:rFonts w:hint="eastAsia" w:cs="Times New Roman"/>
                <w:color w:val="FF0000"/>
              </w:rPr>
              <w:t>，临时占地在用地结束后，可逐渐恢复原有土地性质</w:t>
            </w:r>
            <w:r>
              <w:rPr>
                <w:rFonts w:cs="Times New Roman"/>
                <w:color w:val="FF0000"/>
              </w:rPr>
              <w:t>。</w:t>
            </w:r>
            <w:r>
              <w:rPr>
                <w:rFonts w:hint="eastAsia" w:cs="Times New Roman"/>
                <w:color w:val="FF0000"/>
              </w:rPr>
              <w:t>临时占地区域涉及经济林的，在占用期间对农户进行经济补偿等措施。</w:t>
            </w:r>
            <w:r>
              <w:rPr>
                <w:rFonts w:cs="Times New Roman"/>
                <w:color w:val="FF0000"/>
              </w:rPr>
              <w:t>由于本工程永久占地面积</w:t>
            </w:r>
            <w:r>
              <w:rPr>
                <w:rFonts w:hint="eastAsia" w:cs="Times New Roman"/>
                <w:color w:val="FF0000"/>
              </w:rPr>
              <w:t>不大，且分散分布</w:t>
            </w:r>
            <w:r>
              <w:rPr>
                <w:rFonts w:cs="Times New Roman"/>
                <w:color w:val="FF0000"/>
              </w:rPr>
              <w:t>，因此，工程建设对评价区土地利用变化的影响较小。</w:t>
            </w:r>
          </w:p>
          <w:p w14:paraId="61C8155F">
            <w:pPr>
              <w:pStyle w:val="62"/>
              <w:ind w:firstLine="0" w:firstLineChars="0"/>
              <w:rPr>
                <w:rFonts w:cs="Times New Roman"/>
                <w:b/>
                <w:bCs/>
              </w:rPr>
            </w:pPr>
            <w:r>
              <w:rPr>
                <w:rFonts w:cs="Times New Roman"/>
                <w:b/>
                <w:bCs/>
              </w:rPr>
              <w:t>4.1.2</w:t>
            </w:r>
            <w:r>
              <w:rPr>
                <w:rFonts w:hint="eastAsia" w:cs="Times New Roman"/>
                <w:b/>
                <w:bCs/>
              </w:rPr>
              <w:t>对生态系统的影响</w:t>
            </w:r>
          </w:p>
          <w:p w14:paraId="47269C8C">
            <w:pPr>
              <w:pStyle w:val="62"/>
              <w:ind w:firstLine="480"/>
              <w:rPr>
                <w:rFonts w:cs="Times New Roman"/>
              </w:rPr>
            </w:pPr>
            <w:r>
              <w:rPr>
                <w:rFonts w:cs="Times New Roman"/>
              </w:rPr>
              <w:t>评价区内生态系统主要为灌丛/草地生态系统和森林生态系统。通过现场实地调查，评价区内各生态系统中动植物物种及主要植被均在评价区广泛分布，由于生态对环境的选择适应性等特点及后期植被的恢复措施的实施，项目建设对评价区生态系统的稳定性和结构完整性产生的不利影响较小。</w:t>
            </w:r>
          </w:p>
          <w:p w14:paraId="0A347191">
            <w:pPr>
              <w:pStyle w:val="62"/>
              <w:ind w:firstLine="0" w:firstLineChars="0"/>
              <w:rPr>
                <w:rFonts w:cs="Times New Roman"/>
                <w:b/>
                <w:bCs/>
              </w:rPr>
            </w:pPr>
            <w:r>
              <w:rPr>
                <w:rFonts w:cs="Times New Roman"/>
                <w:b/>
                <w:bCs/>
              </w:rPr>
              <w:t>4.1.3</w:t>
            </w:r>
            <w:r>
              <w:rPr>
                <w:rFonts w:hint="eastAsia" w:cs="Times New Roman"/>
                <w:b/>
                <w:bCs/>
              </w:rPr>
              <w:t>对植物及植被的影响</w:t>
            </w:r>
          </w:p>
          <w:p w14:paraId="77FBE6F6">
            <w:pPr>
              <w:pStyle w:val="62"/>
              <w:ind w:firstLine="480"/>
              <w:rPr>
                <w:rFonts w:cs="Times New Roman"/>
              </w:rPr>
            </w:pPr>
            <w:r>
              <w:rPr>
                <w:rFonts w:cs="Times New Roman"/>
              </w:rPr>
              <w:t>本工程施工期主要有土石方工程施工等活动，施工期工程对评价区植物及植被的影响因子主要有工程占地、施工活动及施工活动产生的废水、废气、弃渣、固废、扬尘等。</w:t>
            </w:r>
          </w:p>
          <w:p w14:paraId="6A48AACE">
            <w:pPr>
              <w:pStyle w:val="62"/>
              <w:ind w:firstLine="480"/>
              <w:rPr>
                <w:rFonts w:cs="Times New Roman"/>
              </w:rPr>
            </w:pPr>
            <w:r>
              <w:rPr>
                <w:rFonts w:hint="eastAsia" w:cs="Times New Roman"/>
              </w:rPr>
              <w:t>（1）工程占地对植物及植被的影响</w:t>
            </w:r>
          </w:p>
          <w:p w14:paraId="7096562E">
            <w:pPr>
              <w:pStyle w:val="62"/>
              <w:ind w:firstLine="480"/>
              <w:rPr>
                <w:rFonts w:cs="Times New Roman"/>
              </w:rPr>
            </w:pPr>
            <w:r>
              <w:rPr>
                <w:rFonts w:cs="Times New Roman"/>
              </w:rPr>
              <w:t>工程占地不可避免的会破坏占地区植物及植被，其中，永久占地是长期的、不可逆的，临时占地是暂时的、可恢复的。根据工程布置，本工程总占地面积</w:t>
            </w:r>
            <w:r>
              <w:rPr>
                <w:rFonts w:hint="eastAsia"/>
                <w:color w:val="FF0000"/>
                <w:szCs w:val="21"/>
                <w:lang w:val="en-US" w:eastAsia="zh-CN"/>
              </w:rPr>
              <w:t>38.79</w:t>
            </w:r>
            <w:r>
              <w:rPr>
                <w:color w:val="FF0000"/>
                <w:spacing w:val="6"/>
                <w:szCs w:val="21"/>
              </w:rPr>
              <w:t>hm</w:t>
            </w:r>
            <w:r>
              <w:rPr>
                <w:color w:val="FF0000"/>
                <w:spacing w:val="6"/>
                <w:szCs w:val="21"/>
                <w:vertAlign w:val="superscript"/>
              </w:rPr>
              <w:t>2</w:t>
            </w:r>
            <w:r>
              <w:rPr>
                <w:rFonts w:hint="eastAsia"/>
                <w:color w:val="FF0000"/>
                <w:spacing w:val="6"/>
                <w:szCs w:val="21"/>
                <w:vertAlign w:val="baseline"/>
                <w:lang w:eastAsia="zh-CN"/>
              </w:rPr>
              <w:t>，</w:t>
            </w:r>
            <w:r>
              <w:rPr>
                <w:color w:val="FF0000"/>
                <w:spacing w:val="6"/>
                <w:szCs w:val="21"/>
              </w:rPr>
              <w:t>其中永久</w:t>
            </w:r>
            <w:r>
              <w:rPr>
                <w:rFonts w:hint="eastAsia"/>
                <w:color w:val="FF0000"/>
                <w:szCs w:val="21"/>
                <w:lang w:val="en-US" w:eastAsia="zh-CN"/>
              </w:rPr>
              <w:t>1.46</w:t>
            </w:r>
            <w:r>
              <w:rPr>
                <w:color w:val="FF0000"/>
                <w:spacing w:val="6"/>
                <w:szCs w:val="21"/>
              </w:rPr>
              <w:t>hm</w:t>
            </w:r>
            <w:r>
              <w:rPr>
                <w:color w:val="FF0000"/>
                <w:spacing w:val="6"/>
                <w:szCs w:val="21"/>
                <w:vertAlign w:val="superscript"/>
              </w:rPr>
              <w:t>2</w:t>
            </w:r>
            <w:r>
              <w:rPr>
                <w:color w:val="FF0000"/>
                <w:spacing w:val="6"/>
                <w:szCs w:val="21"/>
              </w:rPr>
              <w:t>，临时</w:t>
            </w:r>
            <w:r>
              <w:rPr>
                <w:rFonts w:hint="eastAsia"/>
                <w:color w:val="FF0000"/>
                <w:szCs w:val="21"/>
                <w:lang w:val="en-US" w:eastAsia="zh-CN"/>
              </w:rPr>
              <w:t>37.33</w:t>
            </w:r>
            <w:r>
              <w:rPr>
                <w:color w:val="FF0000"/>
                <w:spacing w:val="6"/>
                <w:szCs w:val="21"/>
              </w:rPr>
              <w:t>hm</w:t>
            </w:r>
            <w:r>
              <w:rPr>
                <w:color w:val="FF0000"/>
                <w:spacing w:val="6"/>
                <w:szCs w:val="21"/>
                <w:vertAlign w:val="superscript"/>
              </w:rPr>
              <w:t>2</w:t>
            </w:r>
            <w:r>
              <w:rPr>
                <w:rFonts w:cs="Times New Roman"/>
              </w:rPr>
              <w:t>。</w:t>
            </w:r>
          </w:p>
          <w:p w14:paraId="4891246E">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1 \* GB3</w:instrText>
            </w:r>
            <w:r>
              <w:rPr>
                <w:rFonts w:cs="Times New Roman"/>
              </w:rPr>
              <w:instrText xml:space="preserve"> </w:instrText>
            </w:r>
            <w:r>
              <w:rPr>
                <w:rFonts w:cs="Times New Roman"/>
              </w:rPr>
              <w:fldChar w:fldCharType="separate"/>
            </w:r>
            <w:r>
              <w:rPr>
                <w:rFonts w:hint="eastAsia" w:cs="Times New Roman"/>
              </w:rPr>
              <w:t>①</w:t>
            </w:r>
            <w:r>
              <w:rPr>
                <w:rFonts w:cs="Times New Roman"/>
              </w:rPr>
              <w:fldChar w:fldCharType="end"/>
            </w:r>
            <w:r>
              <w:rPr>
                <w:rFonts w:hint="eastAsia" w:cs="Times New Roman"/>
              </w:rPr>
              <w:t>永久占地对植物及植被的影响</w:t>
            </w:r>
          </w:p>
          <w:p w14:paraId="4470ED4F">
            <w:pPr>
              <w:pStyle w:val="62"/>
              <w:ind w:firstLine="480"/>
              <w:rPr>
                <w:rFonts w:cs="Times New Roman"/>
              </w:rPr>
            </w:pPr>
            <w:r>
              <w:rPr>
                <w:rFonts w:cs="Times New Roman"/>
              </w:rPr>
              <w:t>工程永久占地会使占地区土地利用类型发生改变，植物个体损失，植被生物量减少。根据工程布置，本工程永久占地区土地利用类型以</w:t>
            </w:r>
            <w:r>
              <w:rPr>
                <w:rFonts w:hint="eastAsia" w:cs="Times New Roman"/>
              </w:rPr>
              <w:t>灌丛、林地</w:t>
            </w:r>
            <w:r>
              <w:rPr>
                <w:rFonts w:cs="Times New Roman"/>
              </w:rPr>
              <w:t>为主，工程建设会破坏区域</w:t>
            </w:r>
            <w:r>
              <w:rPr>
                <w:rFonts w:hint="eastAsia" w:cs="Times New Roman"/>
              </w:rPr>
              <w:t>灌丛、林地</w:t>
            </w:r>
            <w:r>
              <w:rPr>
                <w:rFonts w:cs="Times New Roman"/>
              </w:rPr>
              <w:t>，会对区域</w:t>
            </w:r>
            <w:r>
              <w:rPr>
                <w:rFonts w:hint="eastAsia" w:cs="Times New Roman"/>
              </w:rPr>
              <w:t>经济林生产</w:t>
            </w:r>
            <w:r>
              <w:rPr>
                <w:rFonts w:cs="Times New Roman"/>
              </w:rPr>
              <w:t>产生不利影响。</w:t>
            </w:r>
          </w:p>
          <w:p w14:paraId="1721BE2A">
            <w:pPr>
              <w:pStyle w:val="62"/>
              <w:ind w:firstLine="480"/>
              <w:rPr>
                <w:rFonts w:cs="Times New Roman"/>
              </w:rPr>
            </w:pPr>
            <w:r>
              <w:rPr>
                <w:rFonts w:cs="Times New Roman"/>
              </w:rPr>
              <w:t>受永久占地影响的植物均为常见种，植被均为常见类型，因此，永久占地对评价区内植物及植被影响较小，仅为个体损失、植被生物量减少，且施工结束后，林地补偿等植被恢复措施会在一定程度上缓解其影响。因此，永久占地对占地区植物种类、植被类型及生物量的影响较小，对评价区林业生产的影响较小。</w:t>
            </w:r>
          </w:p>
          <w:p w14:paraId="33BC33E2">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GB3</w:instrText>
            </w:r>
            <w:r>
              <w:rPr>
                <w:rFonts w:cs="Times New Roman"/>
              </w:rPr>
              <w:instrText xml:space="preserve"> </w:instrText>
            </w:r>
            <w:r>
              <w:rPr>
                <w:rFonts w:cs="Times New Roman"/>
              </w:rPr>
              <w:fldChar w:fldCharType="separate"/>
            </w:r>
            <w:r>
              <w:rPr>
                <w:rFonts w:hint="eastAsia" w:cs="Times New Roman"/>
              </w:rPr>
              <w:t>②</w:t>
            </w:r>
            <w:r>
              <w:rPr>
                <w:rFonts w:cs="Times New Roman"/>
              </w:rPr>
              <w:fldChar w:fldCharType="end"/>
            </w:r>
            <w:r>
              <w:rPr>
                <w:rFonts w:hint="eastAsia" w:cs="Times New Roman"/>
              </w:rPr>
              <w:t>临时占地对植物及植被的影响</w:t>
            </w:r>
          </w:p>
          <w:p w14:paraId="7BC79BFE">
            <w:pPr>
              <w:pStyle w:val="62"/>
              <w:ind w:firstLine="480"/>
              <w:rPr>
                <w:rFonts w:cs="Times New Roman"/>
              </w:rPr>
            </w:pPr>
            <w:r>
              <w:rPr>
                <w:rFonts w:cs="Times New Roman"/>
              </w:rPr>
              <w:t>根据工程布置，本工程临时占地区土地利用类型以</w:t>
            </w:r>
            <w:r>
              <w:rPr>
                <w:rFonts w:hint="eastAsia" w:cs="Times New Roman"/>
              </w:rPr>
              <w:t>灌</w:t>
            </w:r>
            <w:r>
              <w:rPr>
                <w:rFonts w:hint="eastAsia" w:cs="Times New Roman"/>
                <w:lang w:val="en-US" w:eastAsia="zh-CN"/>
              </w:rPr>
              <w:t>草地</w:t>
            </w:r>
            <w:r>
              <w:rPr>
                <w:rFonts w:cs="Times New Roman"/>
              </w:rPr>
              <w:t>为主</w:t>
            </w:r>
            <w:r>
              <w:rPr>
                <w:rFonts w:hint="eastAsia" w:cs="Times New Roman"/>
                <w:lang w:eastAsia="zh-CN"/>
              </w:rPr>
              <w:t>、</w:t>
            </w:r>
            <w:r>
              <w:rPr>
                <w:rFonts w:hint="eastAsia" w:cs="Times New Roman"/>
                <w:lang w:val="en-US" w:eastAsia="zh-CN"/>
              </w:rPr>
              <w:t>林地为辅</w:t>
            </w:r>
            <w:r>
              <w:rPr>
                <w:rFonts w:cs="Times New Roman"/>
              </w:rPr>
              <w:t>，工程建设会破坏区域林地、灌草地，会对区域林业生产产生不利影响。</w:t>
            </w:r>
          </w:p>
          <w:p w14:paraId="580AEA34">
            <w:pPr>
              <w:pStyle w:val="62"/>
              <w:ind w:firstLine="480"/>
              <w:rPr>
                <w:rFonts w:cs="Times New Roman"/>
              </w:rPr>
            </w:pPr>
            <w:r>
              <w:rPr>
                <w:rFonts w:cs="Times New Roman"/>
              </w:rPr>
              <w:t>受工程临时占地影响的植物均为常见种，植被均为常见类型，工程临时占地对评价区内植物及植被影响较小，仅为个体损失、植被生物量减少，且随着施工结束，对临时占地区土地平整、复耕、植被恢复等，可使临时占地区植物及植被在适宜条件下可迅速得到恢复，因此，工程临时占地对植物及植被的影响较小。</w:t>
            </w:r>
          </w:p>
          <w:p w14:paraId="2AF2C71A">
            <w:pPr>
              <w:pStyle w:val="62"/>
              <w:ind w:firstLine="480"/>
              <w:rPr>
                <w:rFonts w:cs="Times New Roman"/>
              </w:rPr>
            </w:pPr>
            <w:r>
              <w:rPr>
                <w:rFonts w:hint="eastAsia" w:cs="Times New Roman"/>
              </w:rPr>
              <w:t>（2）施工活动对植物及植被的影响</w:t>
            </w:r>
          </w:p>
          <w:p w14:paraId="295BEEAE">
            <w:pPr>
              <w:pStyle w:val="62"/>
              <w:ind w:firstLine="480"/>
              <w:rPr>
                <w:rFonts w:cs="Times New Roman"/>
              </w:rPr>
            </w:pPr>
            <w:r>
              <w:rPr>
                <w:rFonts w:cs="Times New Roman"/>
              </w:rPr>
              <w:t>施工期施工活动对评价区植物及植被的影响因素主要有：施工活动产生的弃渣、废水、废气、固废物及人为干扰等。依据施工活动对植物的影响方式，可分为直接影响及间接影响，直接影响主要是指人员活动、车辆碾压等会使周边植物个体损失，植被生物量减少；间接影响主要是指施工过程中产生的废气、废水、弃渣、固废、扬尘等会使周边植物的生命活动受阻。</w:t>
            </w:r>
          </w:p>
          <w:p w14:paraId="4DEEBE35">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1 \* GB3</w:instrText>
            </w:r>
            <w:r>
              <w:rPr>
                <w:rFonts w:cs="Times New Roman"/>
              </w:rPr>
              <w:instrText xml:space="preserve"> </w:instrText>
            </w:r>
            <w:r>
              <w:rPr>
                <w:rFonts w:cs="Times New Roman"/>
              </w:rPr>
              <w:fldChar w:fldCharType="separate"/>
            </w:r>
            <w:r>
              <w:rPr>
                <w:rFonts w:hint="eastAsia" w:cs="Times New Roman"/>
              </w:rPr>
              <w:t>①</w:t>
            </w:r>
            <w:r>
              <w:rPr>
                <w:rFonts w:cs="Times New Roman"/>
              </w:rPr>
              <w:fldChar w:fldCharType="end"/>
            </w:r>
            <w:r>
              <w:rPr>
                <w:rFonts w:cs="Times New Roman"/>
              </w:rPr>
              <w:t>废气对植物及植被的影响：施工期废气主要来源于燃油机械的尾气，其主要污染物为SO</w:t>
            </w:r>
            <w:r>
              <w:rPr>
                <w:rFonts w:cs="Times New Roman"/>
                <w:vertAlign w:val="subscript"/>
              </w:rPr>
              <w:t>2</w:t>
            </w:r>
            <w:r>
              <w:rPr>
                <w:rFonts w:cs="Times New Roman"/>
              </w:rPr>
              <w:t>、NO</w:t>
            </w:r>
            <w:r>
              <w:rPr>
                <w:rFonts w:cs="Times New Roman"/>
                <w:vertAlign w:val="subscript"/>
              </w:rPr>
              <w:t>2</w:t>
            </w:r>
            <w:r>
              <w:rPr>
                <w:rFonts w:cs="Times New Roman"/>
              </w:rPr>
              <w:t>、CO等。废气对植物的影响主要是在叶脉间或边缘出现不规则水渍状，导致叶片逐渐坏死，植物光合生产受阻，生长发育变缓。由于本工程施工较分散，燃油机械相对较少，燃油机械的废气排放量相对较低，再加上施工期机械尾气属移动线源排放，因此施工期废气对植物及植被的影响较小。</w:t>
            </w:r>
          </w:p>
          <w:p w14:paraId="775B7A18">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GB3</w:instrText>
            </w:r>
            <w:r>
              <w:rPr>
                <w:rFonts w:cs="Times New Roman"/>
              </w:rPr>
              <w:instrText xml:space="preserve"> </w:instrText>
            </w:r>
            <w:r>
              <w:rPr>
                <w:rFonts w:cs="Times New Roman"/>
              </w:rPr>
              <w:fldChar w:fldCharType="separate"/>
            </w:r>
            <w:r>
              <w:rPr>
                <w:rFonts w:hint="eastAsia" w:cs="Times New Roman"/>
              </w:rPr>
              <w:t>②</w:t>
            </w:r>
            <w:r>
              <w:rPr>
                <w:rFonts w:cs="Times New Roman"/>
              </w:rPr>
              <w:fldChar w:fldCharType="end"/>
            </w:r>
            <w:r>
              <w:rPr>
                <w:rFonts w:cs="Times New Roman"/>
              </w:rPr>
              <w:t>废水对植物及植被的影响：施工期废水分为生产废水和生活污水，生产废水主要来源于砂石料冲洗废水和机械检修含油废水等，废水对植物的影响主要是废水的随意排放会改变土壤理化性质，改变植物生长发育环境，进而影响其正常生命活动。</w:t>
            </w:r>
            <w:r>
              <w:rPr>
                <w:rFonts w:hint="eastAsia" w:cs="Times New Roman"/>
              </w:rPr>
              <w:t>本项目生产废水经隔油、沉淀处理后用于车辆清洗或道路洒水抑尘，不外排，对周边植物影响较小</w:t>
            </w:r>
            <w:r>
              <w:rPr>
                <w:rFonts w:cs="Times New Roman"/>
              </w:rPr>
              <w:t>。</w:t>
            </w:r>
          </w:p>
          <w:p w14:paraId="748C944C">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3 \* GB3</w:instrText>
            </w:r>
            <w:r>
              <w:rPr>
                <w:rFonts w:cs="Times New Roman"/>
              </w:rPr>
              <w:instrText xml:space="preserve"> </w:instrText>
            </w:r>
            <w:r>
              <w:rPr>
                <w:rFonts w:cs="Times New Roman"/>
              </w:rPr>
              <w:fldChar w:fldCharType="separate"/>
            </w:r>
            <w:r>
              <w:rPr>
                <w:rFonts w:hint="eastAsia" w:cs="Times New Roman"/>
              </w:rPr>
              <w:t>③</w:t>
            </w:r>
            <w:r>
              <w:rPr>
                <w:rFonts w:cs="Times New Roman"/>
              </w:rPr>
              <w:fldChar w:fldCharType="end"/>
            </w:r>
            <w:r>
              <w:rPr>
                <w:rFonts w:cs="Times New Roman"/>
              </w:rPr>
              <w:t>弃渣对植物及植被的影响：弃渣主要来源于基础开挖、施工场地以及施工道路建设等，弃渣的随意堆放不仅会压覆区域内植物及植被，改变区域生境条件，还可能导致局部区域的水土流失。</w:t>
            </w:r>
            <w:r>
              <w:rPr>
                <w:rFonts w:hint="eastAsia" w:cs="Times New Roman"/>
              </w:rPr>
              <w:t>本项目设置</w:t>
            </w:r>
            <w:r>
              <w:rPr>
                <w:rFonts w:hint="eastAsia" w:cs="Times New Roman"/>
                <w:u w:val="none"/>
                <w:lang w:val="en-US" w:eastAsia="zh-CN"/>
              </w:rPr>
              <w:t>9</w:t>
            </w:r>
            <w:r>
              <w:rPr>
                <w:rFonts w:hint="eastAsia" w:cs="Times New Roman"/>
                <w:u w:val="none"/>
              </w:rPr>
              <w:t>个</w:t>
            </w:r>
            <w:r>
              <w:rPr>
                <w:rFonts w:hint="eastAsia" w:cs="Times New Roman"/>
              </w:rPr>
              <w:t>弃渣场，建设过程中产生的弃渣有序堆存，合理回填利用，减少弃渣占地及占地对植被产生的影响；弃渣场设截水沟、挡土墙、临时覆盖等措施，减少弃渣引起的水土流失影响</w:t>
            </w:r>
            <w:r>
              <w:rPr>
                <w:rFonts w:cs="Times New Roman"/>
              </w:rPr>
              <w:t>。</w:t>
            </w:r>
          </w:p>
          <w:p w14:paraId="4AF4C2D0">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4 \* GB3</w:instrText>
            </w:r>
            <w:r>
              <w:rPr>
                <w:rFonts w:cs="Times New Roman"/>
              </w:rPr>
              <w:instrText xml:space="preserve"> </w:instrText>
            </w:r>
            <w:r>
              <w:rPr>
                <w:rFonts w:cs="Times New Roman"/>
              </w:rPr>
              <w:fldChar w:fldCharType="separate"/>
            </w:r>
            <w:r>
              <w:rPr>
                <w:rFonts w:hint="eastAsia" w:cs="Times New Roman"/>
              </w:rPr>
              <w:t>④</w:t>
            </w:r>
            <w:r>
              <w:rPr>
                <w:rFonts w:cs="Times New Roman"/>
              </w:rPr>
              <w:fldChar w:fldCharType="end"/>
            </w:r>
            <w:r>
              <w:rPr>
                <w:rFonts w:cs="Times New Roman"/>
              </w:rPr>
              <w:t>扬尘对植物及植被的影响：扬尘主要来源于开辟施工便道，土石方调配，建筑物施工，直至工程竣工后场地清理、恢复等诸多工程，其中以运输车辆引起的二次扬尘影响时间最长，对周围植物及植被影响最严重。扬尘粗颗粒随风飘落到附近地面或植物叶、茎、花表面，会使其生命活动受到一定影响。由于评价区处亚热带季风气候区，区域内空气湿度相对较大，扬尘扩散范围相对较小，再加上施工期如能采取洒水抑尘等措施，可有效减轻扬尘对周围植物及植被的影响。</w:t>
            </w:r>
          </w:p>
          <w:p w14:paraId="792C251E">
            <w:pPr>
              <w:pStyle w:val="62"/>
              <w:ind w:firstLine="480"/>
              <w:rPr>
                <w:rFonts w:cs="Times New Roman"/>
              </w:rPr>
            </w:pPr>
            <w:r>
              <w:rPr>
                <w:rFonts w:hint="eastAsia" w:cs="Times New Roman"/>
              </w:rPr>
              <w:t>（3）人为干扰对植物及植被的影响</w:t>
            </w:r>
          </w:p>
          <w:p w14:paraId="6FFFD952">
            <w:pPr>
              <w:pStyle w:val="62"/>
              <w:ind w:firstLine="480"/>
              <w:rPr>
                <w:rFonts w:cs="Times New Roman"/>
              </w:rPr>
            </w:pPr>
            <w:r>
              <w:rPr>
                <w:rFonts w:cs="Times New Roman"/>
              </w:rPr>
              <w:t>本工程人为干扰对植物及植被的影响因素主要有人为砍伐、践踏、刮伤、运输作业等。人为干扰对植物及植被的影响主要影响有：</w:t>
            </w:r>
          </w:p>
          <w:p w14:paraId="638548E6">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1 \* GB3</w:instrText>
            </w:r>
            <w:r>
              <w:rPr>
                <w:rFonts w:cs="Times New Roman"/>
              </w:rPr>
              <w:instrText xml:space="preserve"> </w:instrText>
            </w:r>
            <w:r>
              <w:rPr>
                <w:rFonts w:cs="Times New Roman"/>
              </w:rPr>
              <w:fldChar w:fldCharType="separate"/>
            </w:r>
            <w:r>
              <w:rPr>
                <w:rFonts w:hint="eastAsia" w:cs="Times New Roman"/>
              </w:rPr>
              <w:t>①</w:t>
            </w:r>
            <w:r>
              <w:rPr>
                <w:rFonts w:cs="Times New Roman"/>
              </w:rPr>
              <w:fldChar w:fldCharType="end"/>
            </w:r>
            <w:r>
              <w:rPr>
                <w:rFonts w:cs="Times New Roman"/>
              </w:rPr>
              <w:t>施工期工程区人员增多，施工人员砍伐会破坏区域内植物及其生境，会影响群落结构及种类组成；</w:t>
            </w:r>
          </w:p>
          <w:p w14:paraId="35653BBC">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2 \* GB3</w:instrText>
            </w:r>
            <w:r>
              <w:rPr>
                <w:rFonts w:cs="Times New Roman"/>
              </w:rPr>
              <w:instrText xml:space="preserve"> </w:instrText>
            </w:r>
            <w:r>
              <w:rPr>
                <w:rFonts w:cs="Times New Roman"/>
              </w:rPr>
              <w:fldChar w:fldCharType="separate"/>
            </w:r>
            <w:r>
              <w:rPr>
                <w:rFonts w:hint="eastAsia" w:cs="Times New Roman"/>
              </w:rPr>
              <w:t>②</w:t>
            </w:r>
            <w:r>
              <w:rPr>
                <w:rFonts w:cs="Times New Roman"/>
              </w:rPr>
              <w:fldChar w:fldCharType="end"/>
            </w:r>
            <w:r>
              <w:rPr>
                <w:rFonts w:cs="Times New Roman"/>
              </w:rPr>
              <w:t>施工期施工人员践踏、施工机械碾压会对植物地上部分造成机械性伤害，从而影响植物的生长发育，同时践踏等造成的土壤结构变化会间接影响区域内植物的生长发育；</w:t>
            </w:r>
          </w:p>
          <w:p w14:paraId="03FB88C5">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3 \* GB3</w:instrText>
            </w:r>
            <w:r>
              <w:rPr>
                <w:rFonts w:cs="Times New Roman"/>
              </w:rPr>
              <w:instrText xml:space="preserve"> </w:instrText>
            </w:r>
            <w:r>
              <w:rPr>
                <w:rFonts w:cs="Times New Roman"/>
              </w:rPr>
              <w:fldChar w:fldCharType="separate"/>
            </w:r>
            <w:r>
              <w:rPr>
                <w:rFonts w:hint="eastAsia" w:cs="Times New Roman"/>
              </w:rPr>
              <w:t>③</w:t>
            </w:r>
            <w:r>
              <w:rPr>
                <w:rFonts w:cs="Times New Roman"/>
              </w:rPr>
              <w:fldChar w:fldCharType="end"/>
            </w:r>
            <w:r>
              <w:rPr>
                <w:rFonts w:cs="Times New Roman"/>
              </w:rPr>
              <w:t>施工期工程机械、运输车辆等有意或无意对植物造成刮伤等会影响其物质运输，伤口暴露后易导致病虫害，进而会影响其生长发育；</w:t>
            </w:r>
          </w:p>
          <w:p w14:paraId="2E4FF552">
            <w:pPr>
              <w:pStyle w:val="62"/>
              <w:ind w:firstLine="480"/>
              <w:rPr>
                <w:rFonts w:cs="Times New Roman"/>
              </w:rPr>
            </w:pPr>
            <w:r>
              <w:rPr>
                <w:rFonts w:cs="Times New Roman"/>
              </w:rPr>
              <w:fldChar w:fldCharType="begin"/>
            </w:r>
            <w:r>
              <w:rPr>
                <w:rFonts w:cs="Times New Roman"/>
              </w:rPr>
              <w:instrText xml:space="preserve"> </w:instrText>
            </w:r>
            <w:r>
              <w:rPr>
                <w:rFonts w:hint="eastAsia" w:cs="Times New Roman"/>
              </w:rPr>
              <w:instrText xml:space="preserve">= 4 \* GB3</w:instrText>
            </w:r>
            <w:r>
              <w:rPr>
                <w:rFonts w:cs="Times New Roman"/>
              </w:rPr>
              <w:instrText xml:space="preserve"> </w:instrText>
            </w:r>
            <w:r>
              <w:rPr>
                <w:rFonts w:cs="Times New Roman"/>
              </w:rPr>
              <w:fldChar w:fldCharType="separate"/>
            </w:r>
            <w:r>
              <w:rPr>
                <w:rFonts w:hint="eastAsia" w:cs="Times New Roman"/>
              </w:rPr>
              <w:t>④</w:t>
            </w:r>
            <w:r>
              <w:rPr>
                <w:rFonts w:cs="Times New Roman"/>
              </w:rPr>
              <w:fldChar w:fldCharType="end"/>
            </w:r>
            <w:r>
              <w:rPr>
                <w:rFonts w:cs="Times New Roman"/>
              </w:rPr>
              <w:t>施工期运输作业传播种子，可能导致评价区杂草横行破坏原区域内植物及其生境。</w:t>
            </w:r>
          </w:p>
          <w:p w14:paraId="646D00CB">
            <w:pPr>
              <w:pStyle w:val="62"/>
              <w:ind w:firstLine="480"/>
              <w:rPr>
                <w:rFonts w:cs="Times New Roman"/>
              </w:rPr>
            </w:pPr>
            <w:r>
              <w:rPr>
                <w:rFonts w:cs="Times New Roman"/>
              </w:rPr>
              <w:t>由于本工程类型较小，施工人员不多，施工区植物多以抗逆性强的种类为主，施工期人为干扰对植物及植被的影响较小，同时施工期人为干扰等可通过加强宣传教育活动，加强施工监理，在施工前严格划定施工范围，规范施工人员活动等进行缓解，在相对措施得到落实后，人为干扰对植物及植被的影响可得到缓解。</w:t>
            </w:r>
          </w:p>
          <w:p w14:paraId="3825D21D">
            <w:pPr>
              <w:pStyle w:val="62"/>
              <w:ind w:firstLine="480"/>
              <w:rPr>
                <w:rFonts w:cs="Times New Roman"/>
              </w:rPr>
            </w:pPr>
            <w:r>
              <w:rPr>
                <w:rFonts w:hint="eastAsia" w:cs="Times New Roman"/>
              </w:rPr>
              <w:t>（4）水土流失对植物及植被的影响</w:t>
            </w:r>
          </w:p>
          <w:p w14:paraId="58711E12">
            <w:pPr>
              <w:pStyle w:val="62"/>
              <w:ind w:firstLine="480"/>
              <w:rPr>
                <w:rFonts w:cs="Times New Roman"/>
              </w:rPr>
            </w:pPr>
            <w:r>
              <w:rPr>
                <w:rFonts w:cs="Times New Roman"/>
              </w:rPr>
              <w:t>施工期占地区开挖、施工场地平整、施工道路建设等扰动地表，会进一步的造成表土裸露，受雨水冲击时易造成水土流失，将对植物及其生境造成不利影响，同时，水土流失易导致土壤中的有机质也不断流失，从而破坏了土壤的结构，增加植被复垦工作的难度。但本</w:t>
            </w:r>
            <w:r>
              <w:rPr>
                <w:rFonts w:hint="eastAsia" w:cs="Times New Roman"/>
                <w:lang w:val="en-US" w:eastAsia="zh-CN"/>
              </w:rPr>
              <w:t>项目水保保持方案已</w:t>
            </w:r>
            <w:r>
              <w:rPr>
                <w:rFonts w:cs="Times New Roman"/>
              </w:rPr>
              <w:t>考虑到了水土流失问题，采取表层土剥离并单独保存、场地截排水、弃渣场综合防护、施工场地及时绿化等措施为水土流失做保障，只要切实落实水土保持方案，本工程水土流失对区域植物及植被的影响可以缓解。</w:t>
            </w:r>
          </w:p>
          <w:p w14:paraId="3B615BC0">
            <w:pPr>
              <w:pStyle w:val="62"/>
              <w:ind w:firstLine="0" w:firstLineChars="0"/>
              <w:rPr>
                <w:rFonts w:cs="Times New Roman"/>
                <w:b/>
                <w:bCs/>
              </w:rPr>
            </w:pPr>
            <w:r>
              <w:rPr>
                <w:rFonts w:cs="Times New Roman"/>
                <w:b/>
                <w:bCs/>
              </w:rPr>
              <w:t>4.1.4</w:t>
            </w:r>
            <w:r>
              <w:rPr>
                <w:rFonts w:hint="eastAsia" w:cs="Times New Roman"/>
                <w:b/>
                <w:bCs/>
              </w:rPr>
              <w:t>对陆生动物的影响</w:t>
            </w:r>
          </w:p>
          <w:p w14:paraId="5AB06A75">
            <w:pPr>
              <w:pStyle w:val="62"/>
              <w:ind w:firstLine="480"/>
              <w:rPr>
                <w:rFonts w:cs="Times New Roman"/>
              </w:rPr>
            </w:pPr>
            <w:r>
              <w:rPr>
                <w:rFonts w:hint="eastAsia" w:cs="Times New Roman"/>
              </w:rPr>
              <w:t>本项目</w:t>
            </w:r>
            <w:r>
              <w:rPr>
                <w:rFonts w:cs="Times New Roman"/>
              </w:rPr>
              <w:t>在施工期对陆生动物的影响主要包括施工道路、风机的占地对其生境的占用和破坏；施工噪音、施工人员活动以及夜间光照等对动物栖息、觅食、求偶繁殖等行为的影响；施工产生的废水、弃渣、建筑材料堆积等均会在不同程度上对动物及其生境产生一定影响。</w:t>
            </w:r>
          </w:p>
          <w:p w14:paraId="69E3CD16">
            <w:pPr>
              <w:pStyle w:val="62"/>
              <w:ind w:firstLine="480"/>
              <w:rPr>
                <w:rFonts w:cs="Times New Roman"/>
              </w:rPr>
            </w:pPr>
            <w:r>
              <w:rPr>
                <w:rFonts w:cs="Times New Roman"/>
              </w:rPr>
              <w:t>拟建风机位置主要</w:t>
            </w:r>
            <w:r>
              <w:rPr>
                <w:rFonts w:hint="eastAsia" w:cs="Times New Roman"/>
              </w:rPr>
              <w:t>在</w:t>
            </w:r>
            <w:r>
              <w:rPr>
                <w:rFonts w:cs="Times New Roman"/>
              </w:rPr>
              <w:t>山顶或山坡高处地形较平缓地段，风机地基处植被</w:t>
            </w:r>
            <w:r>
              <w:rPr>
                <w:rFonts w:hint="eastAsia" w:cs="Times New Roman"/>
              </w:rPr>
              <w:t>以</w:t>
            </w:r>
            <w:r>
              <w:rPr>
                <w:rFonts w:cs="Times New Roman"/>
              </w:rPr>
              <w:t>灌丛</w:t>
            </w:r>
            <w:r>
              <w:rPr>
                <w:rFonts w:hint="eastAsia" w:cs="Times New Roman"/>
              </w:rPr>
              <w:t>为主</w:t>
            </w:r>
            <w:r>
              <w:rPr>
                <w:rFonts w:cs="Times New Roman"/>
              </w:rPr>
              <w:t>，风电场建设期间，无论是进场道路、</w:t>
            </w:r>
            <w:r>
              <w:rPr>
                <w:rFonts w:hint="eastAsia" w:cs="Times New Roman"/>
              </w:rPr>
              <w:t>风机</w:t>
            </w:r>
            <w:r>
              <w:rPr>
                <w:rFonts w:cs="Times New Roman"/>
              </w:rPr>
              <w:t>基座还是材料堆放场等临时用地，都将对当地的环境造成改变，原来的山林草灌生态系统变为风电场的用地，会对当地鸟类及其他野生动物带来一定的影响。</w:t>
            </w:r>
          </w:p>
          <w:p w14:paraId="56019979">
            <w:pPr>
              <w:pStyle w:val="62"/>
              <w:ind w:firstLine="480"/>
              <w:rPr>
                <w:rFonts w:cs="Times New Roman"/>
              </w:rPr>
            </w:pPr>
            <w:r>
              <w:rPr>
                <w:rFonts w:hint="eastAsia" w:cs="Times New Roman"/>
                <w:lang w:eastAsia="zh-CN"/>
              </w:rPr>
              <w:t>（</w:t>
            </w:r>
            <w:r>
              <w:rPr>
                <w:rFonts w:hint="eastAsia" w:cs="Times New Roman"/>
                <w:lang w:val="en-US" w:eastAsia="zh-CN"/>
              </w:rPr>
              <w:t>1</w:t>
            </w:r>
            <w:r>
              <w:rPr>
                <w:rFonts w:hint="eastAsia" w:cs="Times New Roman"/>
                <w:lang w:eastAsia="zh-CN"/>
              </w:rPr>
              <w:t>）</w:t>
            </w:r>
            <w:r>
              <w:rPr>
                <w:rFonts w:hint="eastAsia" w:cs="Times New Roman"/>
              </w:rPr>
              <w:t>工程占地对动物生境的影响</w:t>
            </w:r>
          </w:p>
          <w:p w14:paraId="063B11A5">
            <w:pPr>
              <w:pStyle w:val="62"/>
              <w:ind w:firstLine="480"/>
              <w:rPr>
                <w:rFonts w:cs="Times New Roman"/>
                <w:color w:val="FF0000"/>
              </w:rPr>
            </w:pPr>
            <w:r>
              <w:rPr>
                <w:rFonts w:cs="Times New Roman"/>
                <w:color w:val="FF0000"/>
              </w:rPr>
              <w:t>本项目总占地面积</w:t>
            </w:r>
            <w:r>
              <w:rPr>
                <w:rFonts w:hint="eastAsia"/>
                <w:color w:val="FF0000"/>
                <w:szCs w:val="21"/>
                <w:lang w:val="en-US" w:eastAsia="zh-CN"/>
              </w:rPr>
              <w:t>38.79</w:t>
            </w:r>
            <w:r>
              <w:rPr>
                <w:color w:val="FF0000"/>
                <w:spacing w:val="6"/>
                <w:szCs w:val="21"/>
              </w:rPr>
              <w:t>hm</w:t>
            </w:r>
            <w:r>
              <w:rPr>
                <w:color w:val="FF0000"/>
                <w:spacing w:val="6"/>
                <w:szCs w:val="21"/>
                <w:vertAlign w:val="superscript"/>
              </w:rPr>
              <w:t>2</w:t>
            </w:r>
            <w:r>
              <w:rPr>
                <w:rFonts w:hint="eastAsia"/>
                <w:color w:val="FF0000"/>
                <w:spacing w:val="6"/>
                <w:szCs w:val="21"/>
                <w:lang w:eastAsia="zh-CN"/>
              </w:rPr>
              <w:t>，</w:t>
            </w:r>
            <w:r>
              <w:rPr>
                <w:color w:val="FF0000"/>
                <w:spacing w:val="6"/>
                <w:szCs w:val="21"/>
              </w:rPr>
              <w:t>其中永久</w:t>
            </w:r>
            <w:r>
              <w:rPr>
                <w:rFonts w:hint="eastAsia"/>
                <w:color w:val="FF0000"/>
                <w:szCs w:val="21"/>
                <w:lang w:val="en-US" w:eastAsia="zh-CN"/>
              </w:rPr>
              <w:t>1.46</w:t>
            </w:r>
            <w:r>
              <w:rPr>
                <w:color w:val="FF0000"/>
                <w:spacing w:val="6"/>
                <w:szCs w:val="21"/>
              </w:rPr>
              <w:t>hm</w:t>
            </w:r>
            <w:r>
              <w:rPr>
                <w:color w:val="FF0000"/>
                <w:spacing w:val="6"/>
                <w:szCs w:val="21"/>
                <w:vertAlign w:val="superscript"/>
              </w:rPr>
              <w:t>2</w:t>
            </w:r>
            <w:r>
              <w:rPr>
                <w:color w:val="FF0000"/>
                <w:spacing w:val="6"/>
                <w:szCs w:val="21"/>
              </w:rPr>
              <w:t>，临时</w:t>
            </w:r>
            <w:r>
              <w:rPr>
                <w:rFonts w:hint="eastAsia"/>
                <w:color w:val="FF0000"/>
                <w:szCs w:val="21"/>
                <w:lang w:val="en-US" w:eastAsia="zh-CN"/>
              </w:rPr>
              <w:t>37.33</w:t>
            </w:r>
            <w:r>
              <w:rPr>
                <w:color w:val="FF0000"/>
                <w:spacing w:val="6"/>
                <w:szCs w:val="21"/>
              </w:rPr>
              <w:t>hm</w:t>
            </w:r>
            <w:r>
              <w:rPr>
                <w:color w:val="FF0000"/>
                <w:spacing w:val="6"/>
                <w:szCs w:val="21"/>
                <w:vertAlign w:val="superscript"/>
              </w:rPr>
              <w:t>2</w:t>
            </w:r>
            <w:r>
              <w:rPr>
                <w:rFonts w:cs="Times New Roman"/>
                <w:color w:val="FF0000"/>
              </w:rPr>
              <w:t>，占地类型主要为</w:t>
            </w:r>
            <w:r>
              <w:rPr>
                <w:rFonts w:hint="eastAsia" w:cs="Times New Roman"/>
                <w:color w:val="FF0000"/>
              </w:rPr>
              <w:t>灌</w:t>
            </w:r>
            <w:r>
              <w:rPr>
                <w:rFonts w:hint="eastAsia" w:cs="Times New Roman"/>
                <w:color w:val="FF0000"/>
                <w:lang w:val="en-US" w:eastAsia="zh-CN"/>
              </w:rPr>
              <w:t>草</w:t>
            </w:r>
            <w:r>
              <w:rPr>
                <w:rFonts w:hint="eastAsia" w:cs="Times New Roman"/>
                <w:color w:val="FF0000"/>
              </w:rPr>
              <w:t>林</w:t>
            </w:r>
            <w:r>
              <w:rPr>
                <w:rFonts w:cs="Times New Roman"/>
                <w:color w:val="FF0000"/>
              </w:rPr>
              <w:t>和</w:t>
            </w:r>
            <w:r>
              <w:rPr>
                <w:rFonts w:hint="eastAsia" w:cs="Times New Roman"/>
                <w:color w:val="FF0000"/>
                <w:lang w:val="en-US" w:eastAsia="zh-CN"/>
              </w:rPr>
              <w:t>林</w:t>
            </w:r>
            <w:r>
              <w:rPr>
                <w:rFonts w:cs="Times New Roman"/>
                <w:color w:val="FF0000"/>
              </w:rPr>
              <w:t>地。占地的影响主要表现为风机及箱变基础</w:t>
            </w:r>
            <w:r>
              <w:rPr>
                <w:rFonts w:hint="eastAsia" w:cs="Times New Roman"/>
                <w:color w:val="FF0000"/>
                <w:lang w:eastAsia="zh-CN"/>
              </w:rPr>
              <w:t>、</w:t>
            </w:r>
            <w:r>
              <w:rPr>
                <w:rFonts w:hint="eastAsia" w:cs="Times New Roman"/>
                <w:color w:val="FF0000"/>
                <w:lang w:val="en-US" w:eastAsia="zh-CN"/>
              </w:rPr>
              <w:t>变压站</w:t>
            </w:r>
            <w:r>
              <w:rPr>
                <w:rFonts w:cs="Times New Roman"/>
                <w:color w:val="FF0000"/>
              </w:rPr>
              <w:t>等永久占地和道路建设时的临时占地等，工程占地会使野生动物的生境丧失、生境片段化和对动物产生阻隔影响。</w:t>
            </w:r>
          </w:p>
          <w:p w14:paraId="2445FB84">
            <w:pPr>
              <w:pStyle w:val="62"/>
              <w:ind w:firstLine="480"/>
              <w:rPr>
                <w:rFonts w:cs="Times New Roman"/>
              </w:rPr>
            </w:pPr>
            <w:r>
              <w:rPr>
                <w:rFonts w:cs="Times New Roman"/>
              </w:rPr>
              <w:t>生境丧失及生境片段化对野生动物的影响：施工道路的占地伴随着生活于该区域类的野生动物的丧失、生境的片段化，野生动物被迫寻找新的生活环境，从而加剧种内种间竞争。片段化的生境，使野生动物的觅食范围和活动区域减少，对其栖息、觅食、求偶繁殖等有一定的影响。施工道路的修建会使得鸟类、兽类的部分生境被占用，但鸟类、兽类的迁移能力较强，且道路周围替代生境较多，鸟类和兽类可迁往替代生境进行栖息、觅食、求偶繁殖等活动。工程场内道路主要是沿山脊及平缓山坡布设，该区域内水源较少，两栖爬行主要在靠近水域的地方活动，因而该区域内两栖类动物物种丰富度不高，因此对其影响较小。对于</w:t>
            </w:r>
            <w:r>
              <w:rPr>
                <w:rFonts w:hint="eastAsia" w:cs="Times New Roman"/>
              </w:rPr>
              <w:t>爬行类</w:t>
            </w:r>
            <w:r>
              <w:rPr>
                <w:rFonts w:cs="Times New Roman"/>
              </w:rPr>
              <w:t>，道路的占地会迫使其寻找新生境，从而加剧种内种间竞争，对其栖息、觅食、繁衍活动造成一定的不利影响。故施工道路的修建对两栖类、鸟类和兽类的影响不大，对爬行类动物的影响较大。</w:t>
            </w:r>
          </w:p>
          <w:p w14:paraId="725F8D1D">
            <w:pPr>
              <w:pStyle w:val="62"/>
              <w:ind w:firstLine="480"/>
              <w:rPr>
                <w:rFonts w:cs="Times New Roman"/>
              </w:rPr>
            </w:pPr>
            <w:r>
              <w:rPr>
                <w:rFonts w:cs="Times New Roman"/>
              </w:rPr>
              <w:t>对野生动物活动的阻隔影响：本项目工程新建道路长</w:t>
            </w:r>
            <w:r>
              <w:rPr>
                <w:rFonts w:hint="eastAsia" w:cs="Times New Roman"/>
                <w:lang w:val="en-US" w:eastAsia="zh-CN"/>
              </w:rPr>
              <w:t>30.75</w:t>
            </w:r>
            <w:r>
              <w:rPr>
                <w:rFonts w:cs="Times New Roman"/>
              </w:rPr>
              <w:t>km，路基宽度</w:t>
            </w:r>
            <w:r>
              <w:rPr>
                <w:rFonts w:hint="eastAsia" w:cs="Times New Roman"/>
                <w:lang w:val="en-US" w:eastAsia="zh-CN"/>
              </w:rPr>
              <w:t>8</w:t>
            </w:r>
            <w:r>
              <w:rPr>
                <w:rFonts w:cs="Times New Roman"/>
              </w:rPr>
              <w:t>.5m，路面宽度</w:t>
            </w:r>
            <w:r>
              <w:rPr>
                <w:rFonts w:hint="eastAsia" w:cs="Times New Roman"/>
                <w:lang w:val="en-US" w:eastAsia="zh-CN"/>
              </w:rPr>
              <w:t>7</w:t>
            </w:r>
            <w:r>
              <w:rPr>
                <w:rFonts w:cs="Times New Roman"/>
              </w:rPr>
              <w:t>.5m，泥结碎石路面。施工道路修建时材料运输车辆通行，以及公路阻断了两边动物的正常交流，对两栖类、爬行类和哺乳类动物的觅食、求偶繁殖等活动会有一定的影响。动物在新建道路上穿行时具有死亡风险，会造成其种群数量的下降，这类影响主要是针对运动能力较弱的两栖类和爬行类动物。施工道路路面为泥结碎石，且车辆通行量不大，施工结束后</w:t>
            </w:r>
            <w:r>
              <w:rPr>
                <w:rFonts w:hint="eastAsia" w:cs="Times New Roman"/>
              </w:rPr>
              <w:t>作为检修道路，车辆通行量极少，</w:t>
            </w:r>
            <w:r>
              <w:rPr>
                <w:rFonts w:cs="Times New Roman"/>
              </w:rPr>
              <w:t>该区域内的植被基本能恢复，因此新建公路对两栖类、爬行类和兽类的影响不大。</w:t>
            </w:r>
          </w:p>
          <w:p w14:paraId="78C48E4B">
            <w:pPr>
              <w:pStyle w:val="62"/>
              <w:ind w:firstLine="480"/>
              <w:rPr>
                <w:rFonts w:cs="Times New Roman"/>
              </w:rPr>
            </w:pPr>
            <w:r>
              <w:rPr>
                <w:rFonts w:hint="eastAsia" w:cs="Times New Roman"/>
                <w:color w:val="FF0000"/>
              </w:rPr>
              <w:t>本项目</w:t>
            </w:r>
            <w:r>
              <w:rPr>
                <w:rFonts w:cs="Times New Roman"/>
                <w:color w:val="FF0000"/>
              </w:rPr>
              <w:t>1</w:t>
            </w:r>
            <w:r>
              <w:rPr>
                <w:rFonts w:hint="eastAsia" w:cs="Times New Roman"/>
                <w:color w:val="FF0000"/>
                <w:lang w:val="en-US" w:eastAsia="zh-CN"/>
              </w:rPr>
              <w:t>6</w:t>
            </w:r>
            <w:r>
              <w:rPr>
                <w:rFonts w:cs="Times New Roman"/>
                <w:color w:val="FF0000"/>
              </w:rPr>
              <w:t>个风机位置和箱变基础</w:t>
            </w:r>
            <w:r>
              <w:rPr>
                <w:rFonts w:hint="eastAsia" w:cs="Times New Roman"/>
                <w:color w:val="FF0000"/>
              </w:rPr>
              <w:t>沿山脊线分布</w:t>
            </w:r>
            <w:r>
              <w:rPr>
                <w:rFonts w:cs="Times New Roman"/>
                <w:color w:val="FF0000"/>
              </w:rPr>
              <w:t>，单个风机</w:t>
            </w:r>
            <w:r>
              <w:rPr>
                <w:rFonts w:hint="eastAsia" w:cs="Times New Roman"/>
                <w:color w:val="FF0000"/>
              </w:rPr>
              <w:t>占地面积较小，对动物生境及活动影响较小</w:t>
            </w:r>
            <w:r>
              <w:rPr>
                <w:rFonts w:cs="Times New Roman"/>
                <w:color w:val="FF0000"/>
              </w:rPr>
              <w:t>。</w:t>
            </w:r>
          </w:p>
          <w:p w14:paraId="76535EE5">
            <w:pPr>
              <w:pStyle w:val="62"/>
              <w:ind w:firstLine="480"/>
              <w:rPr>
                <w:rFonts w:cs="Times New Roman"/>
              </w:rPr>
            </w:pPr>
            <w:r>
              <w:rPr>
                <w:rFonts w:hint="eastAsia" w:cs="Times New Roman"/>
              </w:rPr>
              <w:t>临时占地区域</w:t>
            </w:r>
            <w:r>
              <w:rPr>
                <w:rFonts w:cs="Times New Roman"/>
              </w:rPr>
              <w:t>在施工结束后，通过一定的植被恢复措施，对破坏的动物生境进行恢复，可以使动物类群恢复原有种群数量及密度</w:t>
            </w:r>
            <w:r>
              <w:rPr>
                <w:rFonts w:hint="eastAsia" w:cs="Times New Roman"/>
              </w:rPr>
              <w:t>。</w:t>
            </w:r>
          </w:p>
          <w:p w14:paraId="0379F32F">
            <w:pPr>
              <w:pStyle w:val="62"/>
              <w:ind w:firstLine="480"/>
              <w:rPr>
                <w:rFonts w:cs="Times New Roman"/>
              </w:rPr>
            </w:pPr>
            <w:r>
              <w:rPr>
                <w:rFonts w:hint="eastAsia" w:cs="Times New Roman"/>
                <w:lang w:eastAsia="zh-CN"/>
              </w:rPr>
              <w:t>（</w:t>
            </w:r>
            <w:r>
              <w:rPr>
                <w:rFonts w:hint="eastAsia" w:cs="Times New Roman"/>
                <w:lang w:val="en-US" w:eastAsia="zh-CN"/>
              </w:rPr>
              <w:t>2</w:t>
            </w:r>
            <w:r>
              <w:rPr>
                <w:rFonts w:hint="eastAsia" w:cs="Times New Roman"/>
                <w:lang w:eastAsia="zh-CN"/>
              </w:rPr>
              <w:t>）</w:t>
            </w:r>
            <w:r>
              <w:rPr>
                <w:rFonts w:hint="eastAsia" w:cs="Times New Roman"/>
              </w:rPr>
              <w:t>施工时噪音、震动对野生动物的影响</w:t>
            </w:r>
          </w:p>
          <w:p w14:paraId="6C1BAB0B">
            <w:pPr>
              <w:pStyle w:val="62"/>
              <w:ind w:firstLine="480"/>
              <w:rPr>
                <w:rFonts w:cs="Times New Roman"/>
              </w:rPr>
            </w:pPr>
            <w:r>
              <w:rPr>
                <w:rFonts w:cs="Times New Roman"/>
              </w:rPr>
              <w:t>在项目建设过程中，由于施工活动会将产生一定的噪声和震动，如施工机械运作和材料运输时的噪声、施工过程中的爆破声及震动等，可能使施工区域附近的野生动物受到惊吓，对其产生不利的影响。由于动物均具有迁移能力，特别是鸟类和兽类的迁移能力很强，且施工区域附近生境都比较相似，野生动物可暂时由原来的生境转移到远离施工区域的相似生境生活；且由于工程施工时间短、风机设置点分散，这些不利影响会将随施工的结束而逐渐消失。</w:t>
            </w:r>
          </w:p>
          <w:p w14:paraId="4BCFE791">
            <w:pPr>
              <w:pStyle w:val="62"/>
              <w:ind w:firstLine="480"/>
              <w:rPr>
                <w:rFonts w:cs="Times New Roman"/>
              </w:rPr>
            </w:pPr>
            <w:r>
              <w:rPr>
                <w:rFonts w:hint="eastAsia" w:cs="Times New Roman"/>
                <w:lang w:eastAsia="zh-CN"/>
              </w:rPr>
              <w:t>（</w:t>
            </w:r>
            <w:r>
              <w:rPr>
                <w:rFonts w:hint="eastAsia" w:cs="Times New Roman"/>
                <w:lang w:val="en-US" w:eastAsia="zh-CN"/>
              </w:rPr>
              <w:t>3</w:t>
            </w:r>
            <w:r>
              <w:rPr>
                <w:rFonts w:hint="eastAsia" w:cs="Times New Roman"/>
                <w:lang w:eastAsia="zh-CN"/>
              </w:rPr>
              <w:t>）</w:t>
            </w:r>
            <w:r>
              <w:rPr>
                <w:rFonts w:hint="eastAsia" w:cs="Times New Roman"/>
              </w:rPr>
              <w:t>施工污染对动物的影响</w:t>
            </w:r>
          </w:p>
          <w:p w14:paraId="2E759463">
            <w:pPr>
              <w:pStyle w:val="62"/>
              <w:ind w:firstLine="480"/>
              <w:rPr>
                <w:rFonts w:cs="Times New Roman"/>
              </w:rPr>
            </w:pPr>
            <w:r>
              <w:rPr>
                <w:rFonts w:cs="Times New Roman"/>
              </w:rPr>
              <w:t>施工期间，施工人员会产生一定的生活垃圾和生活污水。生活垃圾的随意丢弃、生活污水随意排放会劣化动物的生境，使得原来的生境变得不再适合动物生存。可通过严格的卫生条例和惩罚制度，对垃圾、污水采取分类回收、集中处理等措施，加以避免或消减其对动物的影响，且随着施工的结束而消失。</w:t>
            </w:r>
          </w:p>
          <w:p w14:paraId="59E312BD">
            <w:pPr>
              <w:pStyle w:val="62"/>
              <w:ind w:firstLine="480"/>
              <w:rPr>
                <w:rFonts w:cs="Times New Roman"/>
              </w:rPr>
            </w:pPr>
            <w:r>
              <w:rPr>
                <w:rFonts w:hint="eastAsia" w:cs="Times New Roman"/>
                <w:lang w:eastAsia="zh-CN"/>
              </w:rPr>
              <w:t>（</w:t>
            </w:r>
            <w:r>
              <w:rPr>
                <w:rFonts w:hint="eastAsia" w:cs="Times New Roman"/>
                <w:lang w:val="en-US" w:eastAsia="zh-CN"/>
              </w:rPr>
              <w:t>4</w:t>
            </w:r>
            <w:r>
              <w:rPr>
                <w:rFonts w:hint="eastAsia" w:cs="Times New Roman"/>
                <w:lang w:eastAsia="zh-CN"/>
              </w:rPr>
              <w:t>）</w:t>
            </w:r>
            <w:r>
              <w:rPr>
                <w:rFonts w:hint="eastAsia" w:cs="Times New Roman"/>
              </w:rPr>
              <w:t>人为干扰对动物的影响</w:t>
            </w:r>
          </w:p>
          <w:p w14:paraId="2A80235F">
            <w:pPr>
              <w:pStyle w:val="62"/>
              <w:ind w:firstLine="480"/>
              <w:rPr>
                <w:rFonts w:cs="Times New Roman"/>
              </w:rPr>
            </w:pPr>
            <w:r>
              <w:rPr>
                <w:rFonts w:cs="Times New Roman"/>
              </w:rPr>
              <w:t>工程施工期间，施工人员可能对一些有经济价值、观赏价值和食用价值的动物进行捕杀，如一些两栖纲的蛙类、爬行纲的蛇类、鸟纲的鸡形目、雀形目等种类、兽纲食肉目、鲸偶蹄目等种类，将造成动物种群数量的减少。对于这种干扰，必须通过加强法律宣传教育和严格的惩罚制度以及明令禁止的方式进行约束，从而减轻或避免工程施工过程中人为干扰对野生动物的影响。</w:t>
            </w:r>
          </w:p>
          <w:p w14:paraId="51508DB0">
            <w:pPr>
              <w:pStyle w:val="62"/>
              <w:ind w:firstLine="480"/>
              <w:rPr>
                <w:rFonts w:cs="Times New Roman"/>
              </w:rPr>
            </w:pPr>
            <w:r>
              <w:rPr>
                <w:rFonts w:cs="Times New Roman"/>
              </w:rPr>
              <w:t>以上分析表明，本项目在施工期对野生动物影响较小，且影响时间相对较短，对动物的影响将随着施工的结束和临时占地植被的恢复而缓解乃至消失。</w:t>
            </w:r>
          </w:p>
          <w:p w14:paraId="754A66A1">
            <w:pPr>
              <w:pStyle w:val="62"/>
              <w:ind w:firstLine="0" w:firstLineChars="0"/>
              <w:rPr>
                <w:rFonts w:cs="Times New Roman"/>
                <w:b/>
                <w:bCs/>
              </w:rPr>
            </w:pPr>
            <w:r>
              <w:rPr>
                <w:rFonts w:cs="Times New Roman"/>
                <w:b/>
                <w:bCs/>
              </w:rPr>
              <w:t>4.1.5</w:t>
            </w:r>
            <w:r>
              <w:rPr>
                <w:rFonts w:hint="eastAsia" w:cs="Times New Roman"/>
                <w:b/>
                <w:bCs/>
              </w:rPr>
              <w:t>对生物量的影响</w:t>
            </w:r>
          </w:p>
          <w:p w14:paraId="56E54B36">
            <w:pPr>
              <w:spacing w:line="360" w:lineRule="auto"/>
              <w:ind w:firstLine="480" w:firstLineChars="200"/>
              <w:rPr>
                <w:sz w:val="24"/>
              </w:rPr>
            </w:pPr>
            <w:r>
              <w:rPr>
                <w:rFonts w:hint="eastAsia"/>
                <w:sz w:val="24"/>
                <w:lang w:val="en-US" w:eastAsia="zh-CN"/>
              </w:rPr>
              <w:t>项目</w:t>
            </w:r>
            <w:r>
              <w:rPr>
                <w:sz w:val="24"/>
              </w:rPr>
              <w:t>建设会使区域内的一定量植被破坏，并造成一定生物量的损失，</w:t>
            </w:r>
            <w:r>
              <w:rPr>
                <w:rFonts w:hint="eastAsia"/>
                <w:sz w:val="24"/>
              </w:rPr>
              <w:t>临时占地区在施工结束后，对植被进行恢复，可以补偿损失的生物量；本项目永久占地为</w:t>
            </w:r>
            <w:r>
              <w:rPr>
                <w:rFonts w:hint="eastAsia"/>
                <w:sz w:val="24"/>
                <w:lang w:val="en-US" w:eastAsia="zh-CN"/>
              </w:rPr>
              <w:t>1.46</w:t>
            </w:r>
            <w:r>
              <w:rPr>
                <w:rFonts w:hint="eastAsia"/>
                <w:sz w:val="24"/>
              </w:rPr>
              <w:t>hm</w:t>
            </w:r>
            <w:r>
              <w:rPr>
                <w:sz w:val="24"/>
                <w:vertAlign w:val="superscript"/>
              </w:rPr>
              <w:t>2</w:t>
            </w:r>
            <w:r>
              <w:rPr>
                <w:rFonts w:hint="eastAsia"/>
                <w:sz w:val="24"/>
              </w:rPr>
              <w:t>，占地面积较小，对生物量产生的影响较小。</w:t>
            </w:r>
          </w:p>
          <w:p w14:paraId="566DBA77">
            <w:pPr>
              <w:adjustRightInd w:val="0"/>
              <w:snapToGrid w:val="0"/>
              <w:spacing w:line="360" w:lineRule="auto"/>
              <w:ind w:firstLine="480" w:firstLineChars="200"/>
              <w:jc w:val="left"/>
              <w:rPr>
                <w:sz w:val="24"/>
              </w:rPr>
            </w:pPr>
            <w:r>
              <w:rPr>
                <w:sz w:val="24"/>
              </w:rPr>
              <w:t>出于生态环境保护与工程建设并行的角度考虑，风机、施工生产区、弃渣场、施工道路等选址选线均已进行过现场地质勘查，已避开土层较薄、植被恢复难以进行的区域。另由于项目区域所处的湿润气候，植物生长季较长，利于植被恢复措施的开展，并能保证一定的恢复效率。</w:t>
            </w:r>
            <w:r>
              <w:rPr>
                <w:rFonts w:hint="eastAsia"/>
                <w:sz w:val="24"/>
              </w:rPr>
              <w:t>根据本工程“水土保持方案”，按照水土保持措施实施后，工程植被恢复率可以达到9</w:t>
            </w:r>
            <w:r>
              <w:rPr>
                <w:sz w:val="24"/>
              </w:rPr>
              <w:t>8</w:t>
            </w:r>
            <w:r>
              <w:rPr>
                <w:rFonts w:hint="eastAsia"/>
                <w:sz w:val="24"/>
              </w:rPr>
              <w:t>%以上</w:t>
            </w:r>
            <w:r>
              <w:rPr>
                <w:sz w:val="24"/>
              </w:rPr>
              <w:t>。</w:t>
            </w:r>
          </w:p>
          <w:p w14:paraId="2DD65AF1">
            <w:pPr>
              <w:adjustRightInd w:val="0"/>
              <w:snapToGrid w:val="0"/>
              <w:spacing w:line="360" w:lineRule="auto"/>
              <w:outlineLvl w:val="1"/>
              <w:rPr>
                <w:b/>
                <w:bCs/>
                <w:sz w:val="24"/>
              </w:rPr>
            </w:pPr>
            <w:r>
              <w:rPr>
                <w:b/>
                <w:bCs/>
                <w:sz w:val="24"/>
              </w:rPr>
              <w:t>4.2</w:t>
            </w:r>
            <w:r>
              <w:rPr>
                <w:rFonts w:hint="eastAsia"/>
                <w:b/>
                <w:bCs/>
                <w:sz w:val="24"/>
              </w:rPr>
              <w:t>施工期大气环境影响分析</w:t>
            </w:r>
          </w:p>
          <w:p w14:paraId="201F41EE">
            <w:pPr>
              <w:pStyle w:val="62"/>
              <w:ind w:firstLine="480"/>
              <w:rPr>
                <w:rFonts w:hAnsi="宋体" w:cs="Times New Roman"/>
              </w:rPr>
            </w:pPr>
            <w:r>
              <w:rPr>
                <w:rFonts w:hAnsi="宋体" w:cs="Times New Roman"/>
              </w:rPr>
              <w:t>本</w:t>
            </w:r>
            <w:r>
              <w:rPr>
                <w:rFonts w:hint="eastAsia" w:hAnsi="宋体" w:cs="Times New Roman"/>
              </w:rPr>
              <w:t>项目</w:t>
            </w:r>
            <w:r>
              <w:rPr>
                <w:rFonts w:hAnsi="宋体" w:cs="Times New Roman"/>
              </w:rPr>
              <w:t>施工期产生的大气污染源为施工机械和车辆燃油排放的废气、柴油发动机废气、汽车运输产生的道路扬尘、砂石及材料临时堆场扬尘、土石方作业时的粉尘、钻爆粉尘等。</w:t>
            </w:r>
          </w:p>
          <w:p w14:paraId="098C67B5">
            <w:pPr>
              <w:pStyle w:val="62"/>
              <w:ind w:firstLine="480"/>
              <w:rPr>
                <w:rFonts w:hAnsi="宋体" w:cs="Times New Roman"/>
              </w:rPr>
            </w:pPr>
            <w:r>
              <w:rPr>
                <w:rFonts w:hAnsi="宋体" w:cs="Times New Roman"/>
              </w:rPr>
              <w:t>（1）施工机械和车辆燃油排放的废气</w:t>
            </w:r>
          </w:p>
          <w:p w14:paraId="3F49B25F">
            <w:pPr>
              <w:pStyle w:val="62"/>
              <w:ind w:firstLine="480"/>
              <w:rPr>
                <w:rFonts w:hAnsi="宋体" w:cs="Times New Roman"/>
              </w:rPr>
            </w:pPr>
            <w:r>
              <w:rPr>
                <w:rFonts w:hAnsi="宋体" w:cs="Times New Roman"/>
              </w:rPr>
              <w:t>废气中主要含NO</w:t>
            </w:r>
            <w:r>
              <w:rPr>
                <w:rFonts w:hAnsi="宋体" w:cs="Times New Roman"/>
                <w:vertAlign w:val="subscript"/>
              </w:rPr>
              <w:t>2</w:t>
            </w:r>
            <w:r>
              <w:rPr>
                <w:rFonts w:hAnsi="宋体" w:cs="Times New Roman"/>
              </w:rPr>
              <w:t>、CO和THC等污染物，但这些污染源较为分散且为流动性，污染物排放量不大，表现为间歇性特征，影响是短期和局部的，施工结束影响也将随之消失，对大气环境影响</w:t>
            </w:r>
            <w:r>
              <w:rPr>
                <w:rFonts w:hint="eastAsia" w:hAnsi="宋体" w:cs="Times New Roman"/>
              </w:rPr>
              <w:t>较</w:t>
            </w:r>
            <w:r>
              <w:rPr>
                <w:rFonts w:hAnsi="宋体" w:cs="Times New Roman"/>
              </w:rPr>
              <w:t>小。</w:t>
            </w:r>
          </w:p>
          <w:p w14:paraId="22E74DCF">
            <w:pPr>
              <w:pStyle w:val="62"/>
              <w:ind w:firstLine="480"/>
              <w:rPr>
                <w:rFonts w:hAnsi="宋体" w:cs="Times New Roman"/>
              </w:rPr>
            </w:pPr>
            <w:r>
              <w:rPr>
                <w:rFonts w:hAnsi="宋体" w:cs="Times New Roman"/>
              </w:rPr>
              <w:t>（2）道路扬尘</w:t>
            </w:r>
          </w:p>
          <w:p w14:paraId="57FCC15A">
            <w:pPr>
              <w:pStyle w:val="58"/>
              <w:rPr>
                <w:rFonts w:hAnsi="Times New Roman"/>
                <w:kern w:val="2"/>
                <w:szCs w:val="24"/>
              </w:rPr>
            </w:pPr>
            <w:r>
              <w:rPr>
                <w:rFonts w:hAnsi="Times New Roman"/>
                <w:kern w:val="2"/>
                <w:szCs w:val="24"/>
              </w:rPr>
              <w:t>据有关文献资料介绍，在施工过程中，车辆行驶产生的扬尘占总扬尘的60%以上。车辆行驶产生的扬尘，在完全干燥情况下，可按下列经验公式计算：</w:t>
            </w:r>
          </w:p>
          <w:p w14:paraId="121ABC1F">
            <w:pPr>
              <w:spacing w:line="360" w:lineRule="auto"/>
              <w:ind w:firstLine="482"/>
              <w:rPr>
                <w:spacing w:val="4"/>
              </w:rPr>
            </w:pPr>
            <w:r>
              <w:rPr>
                <w:spacing w:val="4"/>
                <w:position w:val="-10"/>
              </w:rPr>
              <w:object>
                <v:shape id="_x0000_i1026" o:spt="75" type="#_x0000_t75" style="height:19.35pt;width:198.8pt;" o:ole="t" fillcolor="#6D6D6D" filled="f" o:preferrelative="t" stroked="f" coordsize="21600,21600">
                  <v:path/>
                  <v:fill on="f" focussize="0,0"/>
                  <v:stroke on="f" joinstyle="miter"/>
                  <v:imagedata r:id="rId37" o:title=""/>
                  <o:lock v:ext="edit" aspectratio="t"/>
                  <w10:wrap type="none"/>
                  <w10:anchorlock/>
                </v:shape>
                <o:OLEObject Type="Embed" ProgID="Equation.3" ShapeID="_x0000_i1026" DrawAspect="Content" ObjectID="_1468075726" r:id="rId36">
                  <o:LockedField>false</o:LockedField>
                </o:OLEObject>
              </w:object>
            </w:r>
          </w:p>
          <w:p w14:paraId="73C4600D">
            <w:pPr>
              <w:pStyle w:val="58"/>
              <w:rPr>
                <w:rFonts w:hAnsi="Times New Roman"/>
                <w:kern w:val="2"/>
                <w:szCs w:val="24"/>
              </w:rPr>
            </w:pPr>
            <w:r>
              <w:rPr>
                <w:rFonts w:hAnsi="Times New Roman"/>
                <w:kern w:val="2"/>
                <w:szCs w:val="24"/>
              </w:rPr>
              <w:t>式中：</w:t>
            </w:r>
            <w:r>
              <w:rPr>
                <w:rFonts w:hAnsi="Times New Roman"/>
                <w:i/>
                <w:kern w:val="2"/>
                <w:szCs w:val="24"/>
              </w:rPr>
              <w:t>Q</w:t>
            </w:r>
            <w:r>
              <w:rPr>
                <w:rFonts w:hAnsi="Times New Roman"/>
                <w:kern w:val="2"/>
                <w:szCs w:val="24"/>
              </w:rPr>
              <w:t>——汽车行驶的扬尘，kg/km·辆；</w:t>
            </w:r>
          </w:p>
          <w:p w14:paraId="19DD56C8">
            <w:pPr>
              <w:pStyle w:val="58"/>
              <w:rPr>
                <w:rFonts w:hAnsi="Times New Roman"/>
                <w:kern w:val="2"/>
                <w:szCs w:val="24"/>
              </w:rPr>
            </w:pPr>
            <w:r>
              <w:rPr>
                <w:rFonts w:hAnsi="Times New Roman"/>
                <w:i/>
                <w:kern w:val="2"/>
                <w:szCs w:val="24"/>
              </w:rPr>
              <w:t>V</w:t>
            </w:r>
            <w:r>
              <w:rPr>
                <w:rFonts w:hAnsi="Times New Roman"/>
                <w:kern w:val="2"/>
                <w:szCs w:val="24"/>
              </w:rPr>
              <w:t>——汽车速度，km/hr；</w:t>
            </w:r>
          </w:p>
          <w:p w14:paraId="18F01464">
            <w:pPr>
              <w:pStyle w:val="58"/>
              <w:rPr>
                <w:rFonts w:hAnsi="Times New Roman"/>
                <w:kern w:val="2"/>
                <w:szCs w:val="24"/>
              </w:rPr>
            </w:pPr>
            <w:r>
              <w:rPr>
                <w:rFonts w:hAnsi="Times New Roman"/>
                <w:i/>
                <w:kern w:val="2"/>
                <w:szCs w:val="24"/>
              </w:rPr>
              <w:t>W</w:t>
            </w:r>
            <w:r>
              <w:rPr>
                <w:rFonts w:hAnsi="Times New Roman"/>
                <w:kern w:val="2"/>
                <w:szCs w:val="24"/>
              </w:rPr>
              <w:t>——汽车载重量，吨；</w:t>
            </w:r>
          </w:p>
          <w:p w14:paraId="1319A95F">
            <w:pPr>
              <w:pStyle w:val="58"/>
              <w:rPr>
                <w:rFonts w:hAnsi="Times New Roman"/>
                <w:kern w:val="2"/>
                <w:szCs w:val="24"/>
              </w:rPr>
            </w:pPr>
            <w:r>
              <w:rPr>
                <w:rFonts w:hAnsi="Times New Roman"/>
                <w:i/>
                <w:kern w:val="2"/>
                <w:szCs w:val="24"/>
              </w:rPr>
              <w:t>P</w:t>
            </w:r>
            <w:r>
              <w:rPr>
                <w:rFonts w:hAnsi="Times New Roman"/>
                <w:kern w:val="2"/>
                <w:szCs w:val="24"/>
              </w:rPr>
              <w:t>——道路表面粉尘量，kg/㎡。</w:t>
            </w:r>
          </w:p>
          <w:p w14:paraId="14CE7B4D">
            <w:pPr>
              <w:pStyle w:val="58"/>
              <w:rPr>
                <w:rFonts w:hAnsi="Times New Roman"/>
                <w:kern w:val="2"/>
                <w:szCs w:val="24"/>
              </w:rPr>
            </w:pPr>
            <w:r>
              <w:rPr>
                <w:rFonts w:hAnsi="Times New Roman"/>
                <w:kern w:val="2"/>
                <w:szCs w:val="24"/>
              </w:rPr>
              <w:t>表4-1为一辆10吨卡车，通过一段长度为1km的路面时，不同路面清洁程度，不同行驶速度情况下的扬尘量。由此可见，在同样路面清洁程度条件下，车速越快，扬尘量越大；而在同样车速情况下，路面越脏，则扬尘量越大。因此应加强运输车辆的管理，应限制车辆行驶速度及保持路面的清洁，其是减少汽车扬尘对周围环境影响的最有效手段。</w:t>
            </w:r>
          </w:p>
          <w:p w14:paraId="259D3D7F">
            <w:pPr>
              <w:pStyle w:val="89"/>
              <w:spacing w:before="0" w:beforeLines="0" w:after="0" w:line="240" w:lineRule="auto"/>
              <w:jc w:val="center"/>
              <w:rPr>
                <w:rFonts w:eastAsia="宋体"/>
                <w:b/>
                <w:sz w:val="21"/>
                <w:szCs w:val="21"/>
              </w:rPr>
            </w:pPr>
            <w:r>
              <w:rPr>
                <w:rFonts w:eastAsia="宋体"/>
                <w:b/>
                <w:kern w:val="28"/>
                <w:sz w:val="21"/>
                <w:szCs w:val="21"/>
              </w:rPr>
              <mc:AlternateContent>
                <mc:Choice Requires="wps">
                  <w:drawing>
                    <wp:anchor distT="0" distB="0" distL="114300" distR="114300" simplePos="0" relativeHeight="251660288" behindDoc="0" locked="0" layoutInCell="1" allowOverlap="1">
                      <wp:simplePos x="0" y="0"/>
                      <wp:positionH relativeFrom="column">
                        <wp:posOffset>-1905</wp:posOffset>
                      </wp:positionH>
                      <wp:positionV relativeFrom="paragraph">
                        <wp:posOffset>213995</wp:posOffset>
                      </wp:positionV>
                      <wp:extent cx="466090" cy="534670"/>
                      <wp:effectExtent l="0" t="0" r="29845" b="36830"/>
                      <wp:wrapNone/>
                      <wp:docPr id="21" name="直接连接符 21"/>
                      <wp:cNvGraphicFramePr/>
                      <a:graphic xmlns:a="http://schemas.openxmlformats.org/drawingml/2006/main">
                        <a:graphicData uri="http://schemas.microsoft.com/office/word/2010/wordprocessingShape">
                          <wps:wsp>
                            <wps:cNvCnPr/>
                            <wps:spPr>
                              <a:xfrm>
                                <a:off x="0" y="0"/>
                                <a:ext cx="465826" cy="5348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15pt;margin-top:16.85pt;height:42.1pt;width:36.7pt;z-index:251660288;mso-width-relative:page;mso-height-relative:page;" filled="f" stroked="t" coordsize="21600,21600" o:gfxdata="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z7H7o1AAA&#10;AAcBAAAPAAAAAAAAAAEAIAAAACIAAABkcnMvZG93bnJldi54bWxQSwECFAAUAAAACACHTuJAwvAv&#10;zOkBAAC3AwAADgAAAAAAAAABACAAAAAjAQAAZHJzL2Uyb0RvYy54bWxQSwUGAAAAAAYABgBZAQAA&#10;fgUAAAAA&#10;">
                      <v:fill on="f" focussize="0,0"/>
                      <v:stroke weight="0.5pt" color="#000000 [3213]" miterlimit="8" joinstyle="miter"/>
                      <v:imagedata o:title=""/>
                      <o:lock v:ext="edit" aspectratio="f"/>
                    </v:line>
                  </w:pict>
                </mc:Fallback>
              </mc:AlternateContent>
            </w:r>
            <w:r>
              <w:rPr>
                <w:rFonts w:eastAsia="宋体"/>
                <w:b/>
                <w:kern w:val="28"/>
                <w:sz w:val="21"/>
                <w:szCs w:val="21"/>
              </w:rPr>
              <mc:AlternateContent>
                <mc:Choice Requires="wps">
                  <w:drawing>
                    <wp:anchor distT="0" distB="0" distL="114300" distR="114300" simplePos="0" relativeHeight="251659264" behindDoc="0" locked="0" layoutInCell="1" allowOverlap="1">
                      <wp:simplePos x="0" y="0"/>
                      <wp:positionH relativeFrom="column">
                        <wp:posOffset>-1905</wp:posOffset>
                      </wp:positionH>
                      <wp:positionV relativeFrom="paragraph">
                        <wp:posOffset>213995</wp:posOffset>
                      </wp:positionV>
                      <wp:extent cx="888365" cy="284480"/>
                      <wp:effectExtent l="0" t="0" r="26035" b="20320"/>
                      <wp:wrapNone/>
                      <wp:docPr id="13" name="直接连接符 13"/>
                      <wp:cNvGraphicFramePr/>
                      <a:graphic xmlns:a="http://schemas.openxmlformats.org/drawingml/2006/main">
                        <a:graphicData uri="http://schemas.microsoft.com/office/word/2010/wordprocessingShape">
                          <wps:wsp>
                            <wps:cNvCnPr/>
                            <wps:spPr>
                              <a:xfrm>
                                <a:off x="0" y="0"/>
                                <a:ext cx="888520" cy="28467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15pt;margin-top:16.85pt;height:22.4pt;width:69.95pt;z-index:251659264;mso-width-relative:page;mso-height-relative:page;" filled="f" stroked="t" coordsize="21600,21600" o:gfxdata="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Qpk1rVAAAA&#10;BwEAAA8AAAAAAAAAAQAgAAAAIgAAAGRycy9kb3ducmV2LnhtbFBLAQIUABQAAAAIAIdO4kDYt+xR&#10;5wEAALcDAAAOAAAAAAAAAAEAIAAAACQBAABkcnMvZTJvRG9jLnhtbFBLBQYAAAAABgAGAFkBAAB9&#10;BQAAAAA=&#10;">
                      <v:fill on="f" focussize="0,0"/>
                      <v:stroke weight="0.5pt" color="#000000 [3213]" miterlimit="8" joinstyle="miter"/>
                      <v:imagedata o:title=""/>
                      <o:lock v:ext="edit" aspectratio="f"/>
                    </v:line>
                  </w:pict>
                </mc:Fallback>
              </mc:AlternateContent>
            </w:r>
            <w:r>
              <w:rPr>
                <w:rFonts w:eastAsia="宋体"/>
                <w:b/>
                <w:kern w:val="28"/>
                <w:sz w:val="21"/>
                <w:szCs w:val="21"/>
              </w:rPr>
              <w:t>表4</w:t>
            </w:r>
            <w:r>
              <w:rPr>
                <w:rFonts w:hint="eastAsia" w:eastAsia="宋体"/>
                <w:b/>
                <w:kern w:val="28"/>
                <w:sz w:val="21"/>
                <w:szCs w:val="21"/>
                <w:lang w:val="en-US" w:eastAsia="zh-CN"/>
              </w:rPr>
              <w:t>-</w:t>
            </w:r>
            <w:r>
              <w:rPr>
                <w:rFonts w:eastAsia="宋体"/>
                <w:b/>
                <w:kern w:val="28"/>
                <w:sz w:val="21"/>
                <w:szCs w:val="21"/>
              </w:rPr>
              <w:t>1</w:t>
            </w:r>
            <w:r>
              <w:rPr>
                <w:rFonts w:hint="eastAsia" w:eastAsia="宋体"/>
                <w:b/>
                <w:kern w:val="28"/>
                <w:sz w:val="21"/>
                <w:szCs w:val="21"/>
                <w:lang w:val="en-US" w:eastAsia="zh-CN"/>
              </w:rPr>
              <w:t xml:space="preserve">  </w:t>
            </w:r>
            <w:r>
              <w:rPr>
                <w:rFonts w:eastAsia="宋体"/>
                <w:b/>
                <w:kern w:val="28"/>
                <w:sz w:val="21"/>
                <w:szCs w:val="21"/>
              </w:rPr>
              <w:t>在不同车速和地面清洁程度的汽车扬尘</w:t>
            </w:r>
            <w:r>
              <w:rPr>
                <w:rFonts w:hint="eastAsia" w:eastAsia="宋体"/>
                <w:b/>
                <w:kern w:val="28"/>
                <w:sz w:val="21"/>
                <w:szCs w:val="21"/>
                <w:lang w:val="en-US" w:eastAsia="zh-CN"/>
              </w:rPr>
              <w:t xml:space="preserve">  </w:t>
            </w:r>
            <w:r>
              <w:rPr>
                <w:rFonts w:eastAsia="宋体"/>
                <w:b/>
                <w:sz w:val="21"/>
                <w:szCs w:val="21"/>
              </w:rPr>
              <w:t>单位：kg/辆·km</w:t>
            </w:r>
          </w:p>
          <w:tbl>
            <w:tblPr>
              <w:tblStyle w:val="32"/>
              <w:tblW w:w="816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153"/>
              <w:gridCol w:w="1155"/>
              <w:gridCol w:w="1153"/>
              <w:gridCol w:w="1153"/>
              <w:gridCol w:w="1153"/>
              <w:gridCol w:w="1031"/>
            </w:tblGrid>
            <w:tr w14:paraId="01CA63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vMerge w:val="restart"/>
                  <w:tcBorders>
                    <w:tl2br w:val="nil"/>
                    <w:tr2bl w:val="nil"/>
                  </w:tcBorders>
                  <w:vAlign w:val="center"/>
                </w:tcPr>
                <w:p w14:paraId="0BE70583">
                  <w:pPr>
                    <w:snapToGrid w:val="0"/>
                    <w:ind w:firstLine="420" w:firstLineChars="200"/>
                    <w:rPr>
                      <w:szCs w:val="21"/>
                    </w:rPr>
                  </w:pPr>
                  <w:r>
                    <w:rPr>
                      <w:rFonts w:hint="eastAsia"/>
                      <w:szCs w:val="21"/>
                    </w:rPr>
                    <w:t>清洁度</w:t>
                  </w:r>
                </w:p>
                <w:p w14:paraId="2F0E5697">
                  <w:pPr>
                    <w:snapToGrid w:val="0"/>
                    <w:spacing w:before="62" w:beforeLines="20"/>
                    <w:ind w:firstLine="420" w:firstLineChars="200"/>
                    <w:rPr>
                      <w:szCs w:val="21"/>
                    </w:rPr>
                  </w:pPr>
                  <w:r>
                    <w:rPr>
                      <w:szCs w:val="21"/>
                    </w:rPr>
                    <w:t>粉尘量</w:t>
                  </w:r>
                </w:p>
                <w:p w14:paraId="6E4F133C">
                  <w:pPr>
                    <w:adjustRightInd w:val="0"/>
                    <w:snapToGrid w:val="0"/>
                    <w:rPr>
                      <w:szCs w:val="21"/>
                    </w:rPr>
                  </w:pPr>
                  <w:r>
                    <w:rPr>
                      <w:szCs w:val="21"/>
                    </w:rPr>
                    <w:t>车速</w:t>
                  </w:r>
                  <w:r>
                    <w:rPr>
                      <w:rFonts w:hint="eastAsia"/>
                      <w:szCs w:val="21"/>
                    </w:rPr>
                    <w:t xml:space="preserve"> </w:t>
                  </w:r>
                </w:p>
              </w:tc>
              <w:tc>
                <w:tcPr>
                  <w:tcW w:w="1153" w:type="dxa"/>
                  <w:tcBorders>
                    <w:tl2br w:val="nil"/>
                    <w:tr2bl w:val="nil"/>
                  </w:tcBorders>
                  <w:vAlign w:val="center"/>
                </w:tcPr>
                <w:p w14:paraId="70BECC6C">
                  <w:pPr>
                    <w:jc w:val="center"/>
                    <w:rPr>
                      <w:szCs w:val="21"/>
                    </w:rPr>
                  </w:pPr>
                  <w:r>
                    <w:rPr>
                      <w:szCs w:val="21"/>
                    </w:rPr>
                    <w:t>0.1</w:t>
                  </w:r>
                </w:p>
              </w:tc>
              <w:tc>
                <w:tcPr>
                  <w:tcW w:w="1155" w:type="dxa"/>
                  <w:tcBorders>
                    <w:tl2br w:val="nil"/>
                    <w:tr2bl w:val="nil"/>
                  </w:tcBorders>
                  <w:vAlign w:val="center"/>
                </w:tcPr>
                <w:p w14:paraId="3DAE45F3">
                  <w:pPr>
                    <w:jc w:val="center"/>
                    <w:rPr>
                      <w:szCs w:val="21"/>
                    </w:rPr>
                  </w:pPr>
                  <w:r>
                    <w:rPr>
                      <w:szCs w:val="21"/>
                    </w:rPr>
                    <w:t>0.2</w:t>
                  </w:r>
                </w:p>
              </w:tc>
              <w:tc>
                <w:tcPr>
                  <w:tcW w:w="1153" w:type="dxa"/>
                  <w:tcBorders>
                    <w:tl2br w:val="nil"/>
                    <w:tr2bl w:val="nil"/>
                  </w:tcBorders>
                  <w:vAlign w:val="center"/>
                </w:tcPr>
                <w:p w14:paraId="4E65A310">
                  <w:pPr>
                    <w:jc w:val="center"/>
                    <w:rPr>
                      <w:szCs w:val="21"/>
                    </w:rPr>
                  </w:pPr>
                  <w:r>
                    <w:rPr>
                      <w:szCs w:val="21"/>
                    </w:rPr>
                    <w:t>0.3</w:t>
                  </w:r>
                </w:p>
              </w:tc>
              <w:tc>
                <w:tcPr>
                  <w:tcW w:w="1153" w:type="dxa"/>
                  <w:tcBorders>
                    <w:tl2br w:val="nil"/>
                    <w:tr2bl w:val="nil"/>
                  </w:tcBorders>
                  <w:vAlign w:val="center"/>
                </w:tcPr>
                <w:p w14:paraId="1EE58A97">
                  <w:pPr>
                    <w:jc w:val="center"/>
                    <w:rPr>
                      <w:szCs w:val="21"/>
                    </w:rPr>
                  </w:pPr>
                  <w:r>
                    <w:rPr>
                      <w:szCs w:val="21"/>
                    </w:rPr>
                    <w:t>0.4</w:t>
                  </w:r>
                </w:p>
              </w:tc>
              <w:tc>
                <w:tcPr>
                  <w:tcW w:w="1153" w:type="dxa"/>
                  <w:tcBorders>
                    <w:tl2br w:val="nil"/>
                    <w:tr2bl w:val="nil"/>
                  </w:tcBorders>
                  <w:vAlign w:val="center"/>
                </w:tcPr>
                <w:p w14:paraId="656FA5C8">
                  <w:pPr>
                    <w:jc w:val="center"/>
                    <w:rPr>
                      <w:szCs w:val="21"/>
                    </w:rPr>
                  </w:pPr>
                  <w:r>
                    <w:rPr>
                      <w:szCs w:val="21"/>
                    </w:rPr>
                    <w:t>0.5</w:t>
                  </w:r>
                </w:p>
              </w:tc>
              <w:tc>
                <w:tcPr>
                  <w:tcW w:w="1031" w:type="dxa"/>
                  <w:tcBorders>
                    <w:tl2br w:val="nil"/>
                    <w:tr2bl w:val="nil"/>
                  </w:tcBorders>
                  <w:vAlign w:val="center"/>
                </w:tcPr>
                <w:p w14:paraId="43D020F5">
                  <w:pPr>
                    <w:jc w:val="center"/>
                    <w:rPr>
                      <w:szCs w:val="21"/>
                    </w:rPr>
                  </w:pPr>
                  <w:r>
                    <w:rPr>
                      <w:szCs w:val="21"/>
                    </w:rPr>
                    <w:t>1.0</w:t>
                  </w:r>
                </w:p>
              </w:tc>
            </w:tr>
            <w:tr w14:paraId="4D963E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vMerge w:val="continue"/>
                  <w:tcBorders>
                    <w:tl2br w:val="nil"/>
                    <w:tr2bl w:val="nil"/>
                  </w:tcBorders>
                  <w:vAlign w:val="center"/>
                </w:tcPr>
                <w:p w14:paraId="1D35A30C">
                  <w:pPr>
                    <w:rPr>
                      <w:szCs w:val="21"/>
                    </w:rPr>
                  </w:pPr>
                </w:p>
              </w:tc>
              <w:tc>
                <w:tcPr>
                  <w:tcW w:w="1153" w:type="dxa"/>
                  <w:tcBorders>
                    <w:tl2br w:val="nil"/>
                    <w:tr2bl w:val="nil"/>
                  </w:tcBorders>
                  <w:vAlign w:val="center"/>
                </w:tcPr>
                <w:p w14:paraId="73D803E7">
                  <w:pPr>
                    <w:jc w:val="center"/>
                    <w:rPr>
                      <w:szCs w:val="21"/>
                    </w:rPr>
                  </w:pPr>
                  <w:r>
                    <w:rPr>
                      <w:szCs w:val="21"/>
                    </w:rPr>
                    <w:t>(kg/</w:t>
                  </w:r>
                  <w:r>
                    <w:rPr>
                      <w:rFonts w:hint="eastAsia"/>
                      <w:szCs w:val="21"/>
                    </w:rPr>
                    <w:t>m</w:t>
                  </w:r>
                  <w:r>
                    <w:rPr>
                      <w:szCs w:val="21"/>
                      <w:vertAlign w:val="superscript"/>
                    </w:rPr>
                    <w:t>2</w:t>
                  </w:r>
                  <w:r>
                    <w:rPr>
                      <w:szCs w:val="21"/>
                    </w:rPr>
                    <w:t>)</w:t>
                  </w:r>
                </w:p>
              </w:tc>
              <w:tc>
                <w:tcPr>
                  <w:tcW w:w="1155" w:type="dxa"/>
                  <w:tcBorders>
                    <w:tl2br w:val="nil"/>
                    <w:tr2bl w:val="nil"/>
                  </w:tcBorders>
                  <w:vAlign w:val="center"/>
                </w:tcPr>
                <w:p w14:paraId="20187F3A">
                  <w:pPr>
                    <w:jc w:val="center"/>
                    <w:rPr>
                      <w:szCs w:val="21"/>
                    </w:rPr>
                  </w:pPr>
                  <w:r>
                    <w:rPr>
                      <w:szCs w:val="21"/>
                    </w:rPr>
                    <w:t>(kg/</w:t>
                  </w:r>
                  <w:r>
                    <w:rPr>
                      <w:rFonts w:hint="eastAsia"/>
                      <w:szCs w:val="21"/>
                    </w:rPr>
                    <w:t>m</w:t>
                  </w:r>
                  <w:r>
                    <w:rPr>
                      <w:szCs w:val="21"/>
                      <w:vertAlign w:val="superscript"/>
                    </w:rPr>
                    <w:t>2</w:t>
                  </w:r>
                  <w:r>
                    <w:rPr>
                      <w:szCs w:val="21"/>
                    </w:rPr>
                    <w:t>)</w:t>
                  </w:r>
                </w:p>
              </w:tc>
              <w:tc>
                <w:tcPr>
                  <w:tcW w:w="1153" w:type="dxa"/>
                  <w:tcBorders>
                    <w:tl2br w:val="nil"/>
                    <w:tr2bl w:val="nil"/>
                  </w:tcBorders>
                  <w:vAlign w:val="center"/>
                </w:tcPr>
                <w:p w14:paraId="065ABB5B">
                  <w:pPr>
                    <w:jc w:val="center"/>
                    <w:rPr>
                      <w:szCs w:val="21"/>
                    </w:rPr>
                  </w:pPr>
                  <w:r>
                    <w:rPr>
                      <w:szCs w:val="21"/>
                    </w:rPr>
                    <w:t>(kg/</w:t>
                  </w:r>
                  <w:r>
                    <w:rPr>
                      <w:rFonts w:hint="eastAsia"/>
                      <w:szCs w:val="21"/>
                    </w:rPr>
                    <w:t>m</w:t>
                  </w:r>
                  <w:r>
                    <w:rPr>
                      <w:szCs w:val="21"/>
                      <w:vertAlign w:val="superscript"/>
                    </w:rPr>
                    <w:t>2</w:t>
                  </w:r>
                  <w:r>
                    <w:rPr>
                      <w:szCs w:val="21"/>
                    </w:rPr>
                    <w:t>)</w:t>
                  </w:r>
                </w:p>
              </w:tc>
              <w:tc>
                <w:tcPr>
                  <w:tcW w:w="1153" w:type="dxa"/>
                  <w:tcBorders>
                    <w:tl2br w:val="nil"/>
                    <w:tr2bl w:val="nil"/>
                  </w:tcBorders>
                  <w:vAlign w:val="center"/>
                </w:tcPr>
                <w:p w14:paraId="2CD10A59">
                  <w:pPr>
                    <w:jc w:val="center"/>
                    <w:rPr>
                      <w:szCs w:val="21"/>
                    </w:rPr>
                  </w:pPr>
                  <w:r>
                    <w:rPr>
                      <w:szCs w:val="21"/>
                    </w:rPr>
                    <w:t>(kg/</w:t>
                  </w:r>
                  <w:r>
                    <w:rPr>
                      <w:rFonts w:hint="eastAsia"/>
                      <w:szCs w:val="21"/>
                    </w:rPr>
                    <w:t>m</w:t>
                  </w:r>
                  <w:r>
                    <w:rPr>
                      <w:szCs w:val="21"/>
                      <w:vertAlign w:val="superscript"/>
                    </w:rPr>
                    <w:t>2</w:t>
                  </w:r>
                  <w:r>
                    <w:rPr>
                      <w:szCs w:val="21"/>
                    </w:rPr>
                    <w:t>)</w:t>
                  </w:r>
                </w:p>
              </w:tc>
              <w:tc>
                <w:tcPr>
                  <w:tcW w:w="1153" w:type="dxa"/>
                  <w:tcBorders>
                    <w:tl2br w:val="nil"/>
                    <w:tr2bl w:val="nil"/>
                  </w:tcBorders>
                  <w:vAlign w:val="center"/>
                </w:tcPr>
                <w:p w14:paraId="5B6DB478">
                  <w:pPr>
                    <w:jc w:val="center"/>
                    <w:rPr>
                      <w:szCs w:val="21"/>
                    </w:rPr>
                  </w:pPr>
                  <w:r>
                    <w:rPr>
                      <w:szCs w:val="21"/>
                    </w:rPr>
                    <w:t>(kg/</w:t>
                  </w:r>
                  <w:r>
                    <w:rPr>
                      <w:rFonts w:hint="eastAsia"/>
                      <w:szCs w:val="21"/>
                    </w:rPr>
                    <w:t>m</w:t>
                  </w:r>
                  <w:r>
                    <w:rPr>
                      <w:szCs w:val="21"/>
                      <w:vertAlign w:val="superscript"/>
                    </w:rPr>
                    <w:t>2</w:t>
                  </w:r>
                  <w:r>
                    <w:rPr>
                      <w:szCs w:val="21"/>
                    </w:rPr>
                    <w:t>)</w:t>
                  </w:r>
                </w:p>
              </w:tc>
              <w:tc>
                <w:tcPr>
                  <w:tcW w:w="1031" w:type="dxa"/>
                  <w:tcBorders>
                    <w:tl2br w:val="nil"/>
                    <w:tr2bl w:val="nil"/>
                  </w:tcBorders>
                  <w:vAlign w:val="center"/>
                </w:tcPr>
                <w:p w14:paraId="5CBA91C7">
                  <w:pPr>
                    <w:jc w:val="center"/>
                    <w:rPr>
                      <w:szCs w:val="21"/>
                    </w:rPr>
                  </w:pPr>
                  <w:r>
                    <w:rPr>
                      <w:szCs w:val="21"/>
                    </w:rPr>
                    <w:t>(kg/</w:t>
                  </w:r>
                  <w:r>
                    <w:rPr>
                      <w:rFonts w:hint="eastAsia"/>
                      <w:szCs w:val="21"/>
                    </w:rPr>
                    <w:t>m</w:t>
                  </w:r>
                  <w:r>
                    <w:rPr>
                      <w:szCs w:val="21"/>
                      <w:vertAlign w:val="superscript"/>
                    </w:rPr>
                    <w:t>2</w:t>
                  </w:r>
                  <w:r>
                    <w:rPr>
                      <w:szCs w:val="21"/>
                    </w:rPr>
                    <w:t>)</w:t>
                  </w:r>
                </w:p>
              </w:tc>
            </w:tr>
            <w:tr w14:paraId="22A1D3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4C8883FF">
                  <w:pPr>
                    <w:jc w:val="center"/>
                    <w:rPr>
                      <w:szCs w:val="21"/>
                    </w:rPr>
                  </w:pPr>
                  <w:r>
                    <w:rPr>
                      <w:szCs w:val="21"/>
                    </w:rPr>
                    <w:t>5(km/h)</w:t>
                  </w:r>
                </w:p>
              </w:tc>
              <w:tc>
                <w:tcPr>
                  <w:tcW w:w="1153" w:type="dxa"/>
                  <w:tcBorders>
                    <w:tl2br w:val="nil"/>
                    <w:tr2bl w:val="nil"/>
                  </w:tcBorders>
                  <w:vAlign w:val="center"/>
                </w:tcPr>
                <w:p w14:paraId="13A35887">
                  <w:pPr>
                    <w:jc w:val="center"/>
                    <w:rPr>
                      <w:szCs w:val="21"/>
                    </w:rPr>
                  </w:pPr>
                  <w:r>
                    <w:rPr>
                      <w:szCs w:val="21"/>
                    </w:rPr>
                    <w:t>0.0511</w:t>
                  </w:r>
                </w:p>
              </w:tc>
              <w:tc>
                <w:tcPr>
                  <w:tcW w:w="1155" w:type="dxa"/>
                  <w:tcBorders>
                    <w:tl2br w:val="nil"/>
                    <w:tr2bl w:val="nil"/>
                  </w:tcBorders>
                  <w:vAlign w:val="center"/>
                </w:tcPr>
                <w:p w14:paraId="40BE5398">
                  <w:pPr>
                    <w:jc w:val="center"/>
                    <w:rPr>
                      <w:szCs w:val="21"/>
                    </w:rPr>
                  </w:pPr>
                  <w:r>
                    <w:rPr>
                      <w:szCs w:val="21"/>
                    </w:rPr>
                    <w:t>0.0859</w:t>
                  </w:r>
                </w:p>
              </w:tc>
              <w:tc>
                <w:tcPr>
                  <w:tcW w:w="1153" w:type="dxa"/>
                  <w:tcBorders>
                    <w:tl2br w:val="nil"/>
                    <w:tr2bl w:val="nil"/>
                  </w:tcBorders>
                  <w:vAlign w:val="center"/>
                </w:tcPr>
                <w:p w14:paraId="50662630">
                  <w:pPr>
                    <w:jc w:val="center"/>
                    <w:rPr>
                      <w:szCs w:val="21"/>
                    </w:rPr>
                  </w:pPr>
                  <w:r>
                    <w:rPr>
                      <w:szCs w:val="21"/>
                    </w:rPr>
                    <w:t>0.1164</w:t>
                  </w:r>
                </w:p>
              </w:tc>
              <w:tc>
                <w:tcPr>
                  <w:tcW w:w="1153" w:type="dxa"/>
                  <w:tcBorders>
                    <w:tl2br w:val="nil"/>
                    <w:tr2bl w:val="nil"/>
                  </w:tcBorders>
                  <w:vAlign w:val="center"/>
                </w:tcPr>
                <w:p w14:paraId="32121996">
                  <w:pPr>
                    <w:jc w:val="center"/>
                    <w:rPr>
                      <w:szCs w:val="21"/>
                    </w:rPr>
                  </w:pPr>
                  <w:r>
                    <w:rPr>
                      <w:szCs w:val="21"/>
                    </w:rPr>
                    <w:t>0.1444</w:t>
                  </w:r>
                </w:p>
              </w:tc>
              <w:tc>
                <w:tcPr>
                  <w:tcW w:w="1153" w:type="dxa"/>
                  <w:tcBorders>
                    <w:tl2br w:val="nil"/>
                    <w:tr2bl w:val="nil"/>
                  </w:tcBorders>
                  <w:vAlign w:val="center"/>
                </w:tcPr>
                <w:p w14:paraId="51D3CDA6">
                  <w:pPr>
                    <w:jc w:val="center"/>
                    <w:rPr>
                      <w:szCs w:val="21"/>
                    </w:rPr>
                  </w:pPr>
                  <w:r>
                    <w:rPr>
                      <w:szCs w:val="21"/>
                    </w:rPr>
                    <w:t>0.1707</w:t>
                  </w:r>
                </w:p>
              </w:tc>
              <w:tc>
                <w:tcPr>
                  <w:tcW w:w="1031" w:type="dxa"/>
                  <w:tcBorders>
                    <w:tl2br w:val="nil"/>
                    <w:tr2bl w:val="nil"/>
                  </w:tcBorders>
                  <w:vAlign w:val="center"/>
                </w:tcPr>
                <w:p w14:paraId="22233780">
                  <w:pPr>
                    <w:jc w:val="center"/>
                    <w:rPr>
                      <w:szCs w:val="21"/>
                    </w:rPr>
                  </w:pPr>
                  <w:r>
                    <w:rPr>
                      <w:szCs w:val="21"/>
                    </w:rPr>
                    <w:t>0.2871</w:t>
                  </w:r>
                </w:p>
              </w:tc>
            </w:tr>
            <w:tr w14:paraId="48F0E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109B9E09">
                  <w:pPr>
                    <w:jc w:val="center"/>
                    <w:rPr>
                      <w:szCs w:val="21"/>
                    </w:rPr>
                  </w:pPr>
                  <w:r>
                    <w:rPr>
                      <w:szCs w:val="21"/>
                    </w:rPr>
                    <w:t>10(km/h)</w:t>
                  </w:r>
                </w:p>
              </w:tc>
              <w:tc>
                <w:tcPr>
                  <w:tcW w:w="1153" w:type="dxa"/>
                  <w:tcBorders>
                    <w:tl2br w:val="nil"/>
                    <w:tr2bl w:val="nil"/>
                  </w:tcBorders>
                  <w:vAlign w:val="center"/>
                </w:tcPr>
                <w:p w14:paraId="17D705C4">
                  <w:pPr>
                    <w:jc w:val="center"/>
                    <w:rPr>
                      <w:szCs w:val="21"/>
                    </w:rPr>
                  </w:pPr>
                  <w:r>
                    <w:rPr>
                      <w:szCs w:val="21"/>
                    </w:rPr>
                    <w:t>0.1021</w:t>
                  </w:r>
                </w:p>
              </w:tc>
              <w:tc>
                <w:tcPr>
                  <w:tcW w:w="1155" w:type="dxa"/>
                  <w:tcBorders>
                    <w:tl2br w:val="nil"/>
                    <w:tr2bl w:val="nil"/>
                  </w:tcBorders>
                  <w:vAlign w:val="center"/>
                </w:tcPr>
                <w:p w14:paraId="58BD696A">
                  <w:pPr>
                    <w:jc w:val="center"/>
                    <w:rPr>
                      <w:szCs w:val="21"/>
                    </w:rPr>
                  </w:pPr>
                  <w:r>
                    <w:rPr>
                      <w:szCs w:val="21"/>
                    </w:rPr>
                    <w:t>0.1717</w:t>
                  </w:r>
                </w:p>
              </w:tc>
              <w:tc>
                <w:tcPr>
                  <w:tcW w:w="1153" w:type="dxa"/>
                  <w:tcBorders>
                    <w:tl2br w:val="nil"/>
                    <w:tr2bl w:val="nil"/>
                  </w:tcBorders>
                  <w:vAlign w:val="center"/>
                </w:tcPr>
                <w:p w14:paraId="01AD7013">
                  <w:pPr>
                    <w:jc w:val="center"/>
                    <w:rPr>
                      <w:szCs w:val="21"/>
                    </w:rPr>
                  </w:pPr>
                  <w:r>
                    <w:rPr>
                      <w:szCs w:val="21"/>
                    </w:rPr>
                    <w:t>0.2328</w:t>
                  </w:r>
                </w:p>
              </w:tc>
              <w:tc>
                <w:tcPr>
                  <w:tcW w:w="1153" w:type="dxa"/>
                  <w:tcBorders>
                    <w:tl2br w:val="nil"/>
                    <w:tr2bl w:val="nil"/>
                  </w:tcBorders>
                  <w:vAlign w:val="center"/>
                </w:tcPr>
                <w:p w14:paraId="14707D58">
                  <w:pPr>
                    <w:jc w:val="center"/>
                    <w:rPr>
                      <w:szCs w:val="21"/>
                    </w:rPr>
                  </w:pPr>
                  <w:r>
                    <w:rPr>
                      <w:szCs w:val="21"/>
                    </w:rPr>
                    <w:t>0.2888</w:t>
                  </w:r>
                </w:p>
              </w:tc>
              <w:tc>
                <w:tcPr>
                  <w:tcW w:w="1153" w:type="dxa"/>
                  <w:tcBorders>
                    <w:tl2br w:val="nil"/>
                    <w:tr2bl w:val="nil"/>
                  </w:tcBorders>
                  <w:vAlign w:val="center"/>
                </w:tcPr>
                <w:p w14:paraId="27A033E4">
                  <w:pPr>
                    <w:jc w:val="center"/>
                    <w:rPr>
                      <w:szCs w:val="21"/>
                    </w:rPr>
                  </w:pPr>
                  <w:r>
                    <w:rPr>
                      <w:szCs w:val="21"/>
                    </w:rPr>
                    <w:t>0.3414</w:t>
                  </w:r>
                </w:p>
              </w:tc>
              <w:tc>
                <w:tcPr>
                  <w:tcW w:w="1031" w:type="dxa"/>
                  <w:tcBorders>
                    <w:tl2br w:val="nil"/>
                    <w:tr2bl w:val="nil"/>
                  </w:tcBorders>
                  <w:vAlign w:val="center"/>
                </w:tcPr>
                <w:p w14:paraId="3A5EEAD8">
                  <w:pPr>
                    <w:jc w:val="center"/>
                    <w:rPr>
                      <w:szCs w:val="21"/>
                    </w:rPr>
                  </w:pPr>
                  <w:r>
                    <w:rPr>
                      <w:szCs w:val="21"/>
                    </w:rPr>
                    <w:t>0.5742</w:t>
                  </w:r>
                </w:p>
              </w:tc>
            </w:tr>
            <w:tr w14:paraId="6CCE3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47C78EFD">
                  <w:pPr>
                    <w:jc w:val="center"/>
                    <w:rPr>
                      <w:szCs w:val="21"/>
                    </w:rPr>
                  </w:pPr>
                  <w:r>
                    <w:rPr>
                      <w:szCs w:val="21"/>
                    </w:rPr>
                    <w:t>15(km/h)</w:t>
                  </w:r>
                </w:p>
              </w:tc>
              <w:tc>
                <w:tcPr>
                  <w:tcW w:w="1153" w:type="dxa"/>
                  <w:tcBorders>
                    <w:tl2br w:val="nil"/>
                    <w:tr2bl w:val="nil"/>
                  </w:tcBorders>
                  <w:vAlign w:val="center"/>
                </w:tcPr>
                <w:p w14:paraId="2660F07C">
                  <w:pPr>
                    <w:jc w:val="center"/>
                    <w:rPr>
                      <w:szCs w:val="21"/>
                    </w:rPr>
                  </w:pPr>
                  <w:r>
                    <w:rPr>
                      <w:szCs w:val="21"/>
                    </w:rPr>
                    <w:t>0.1532</w:t>
                  </w:r>
                </w:p>
              </w:tc>
              <w:tc>
                <w:tcPr>
                  <w:tcW w:w="1155" w:type="dxa"/>
                  <w:tcBorders>
                    <w:tl2br w:val="nil"/>
                    <w:tr2bl w:val="nil"/>
                  </w:tcBorders>
                  <w:vAlign w:val="center"/>
                </w:tcPr>
                <w:p w14:paraId="0C4697F6">
                  <w:pPr>
                    <w:jc w:val="center"/>
                    <w:rPr>
                      <w:szCs w:val="21"/>
                    </w:rPr>
                  </w:pPr>
                  <w:r>
                    <w:rPr>
                      <w:szCs w:val="21"/>
                    </w:rPr>
                    <w:t>0.2576</w:t>
                  </w:r>
                </w:p>
              </w:tc>
              <w:tc>
                <w:tcPr>
                  <w:tcW w:w="1153" w:type="dxa"/>
                  <w:tcBorders>
                    <w:tl2br w:val="nil"/>
                    <w:tr2bl w:val="nil"/>
                  </w:tcBorders>
                  <w:vAlign w:val="center"/>
                </w:tcPr>
                <w:p w14:paraId="5DC55ACF">
                  <w:pPr>
                    <w:jc w:val="center"/>
                    <w:rPr>
                      <w:szCs w:val="21"/>
                    </w:rPr>
                  </w:pPr>
                  <w:r>
                    <w:rPr>
                      <w:szCs w:val="21"/>
                    </w:rPr>
                    <w:t>0.3491</w:t>
                  </w:r>
                </w:p>
              </w:tc>
              <w:tc>
                <w:tcPr>
                  <w:tcW w:w="1153" w:type="dxa"/>
                  <w:tcBorders>
                    <w:tl2br w:val="nil"/>
                    <w:tr2bl w:val="nil"/>
                  </w:tcBorders>
                  <w:vAlign w:val="center"/>
                </w:tcPr>
                <w:p w14:paraId="2B63CDC1">
                  <w:pPr>
                    <w:jc w:val="center"/>
                    <w:rPr>
                      <w:szCs w:val="21"/>
                    </w:rPr>
                  </w:pPr>
                  <w:r>
                    <w:rPr>
                      <w:szCs w:val="21"/>
                    </w:rPr>
                    <w:t>0.4332</w:t>
                  </w:r>
                </w:p>
              </w:tc>
              <w:tc>
                <w:tcPr>
                  <w:tcW w:w="1153" w:type="dxa"/>
                  <w:tcBorders>
                    <w:tl2br w:val="nil"/>
                    <w:tr2bl w:val="nil"/>
                  </w:tcBorders>
                  <w:vAlign w:val="center"/>
                </w:tcPr>
                <w:p w14:paraId="65E9D9D8">
                  <w:pPr>
                    <w:jc w:val="center"/>
                    <w:rPr>
                      <w:szCs w:val="21"/>
                    </w:rPr>
                  </w:pPr>
                  <w:r>
                    <w:rPr>
                      <w:szCs w:val="21"/>
                    </w:rPr>
                    <w:t>0.5121</w:t>
                  </w:r>
                </w:p>
              </w:tc>
              <w:tc>
                <w:tcPr>
                  <w:tcW w:w="1031" w:type="dxa"/>
                  <w:tcBorders>
                    <w:tl2br w:val="nil"/>
                    <w:tr2bl w:val="nil"/>
                  </w:tcBorders>
                  <w:vAlign w:val="center"/>
                </w:tcPr>
                <w:p w14:paraId="6E4DBA4C">
                  <w:pPr>
                    <w:jc w:val="center"/>
                    <w:rPr>
                      <w:szCs w:val="21"/>
                    </w:rPr>
                  </w:pPr>
                  <w:r>
                    <w:rPr>
                      <w:szCs w:val="21"/>
                    </w:rPr>
                    <w:t>0.8613</w:t>
                  </w:r>
                </w:p>
              </w:tc>
            </w:tr>
            <w:tr w14:paraId="30D74D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369" w:type="dxa"/>
                  <w:tcBorders>
                    <w:tl2br w:val="nil"/>
                    <w:tr2bl w:val="nil"/>
                  </w:tcBorders>
                  <w:vAlign w:val="center"/>
                </w:tcPr>
                <w:p w14:paraId="40F417AA">
                  <w:pPr>
                    <w:jc w:val="center"/>
                    <w:rPr>
                      <w:szCs w:val="21"/>
                    </w:rPr>
                  </w:pPr>
                  <w:r>
                    <w:rPr>
                      <w:szCs w:val="21"/>
                    </w:rPr>
                    <w:t>25(km/h)</w:t>
                  </w:r>
                </w:p>
              </w:tc>
              <w:tc>
                <w:tcPr>
                  <w:tcW w:w="1153" w:type="dxa"/>
                  <w:tcBorders>
                    <w:tl2br w:val="nil"/>
                    <w:tr2bl w:val="nil"/>
                  </w:tcBorders>
                  <w:vAlign w:val="center"/>
                </w:tcPr>
                <w:p w14:paraId="31DC42E3">
                  <w:pPr>
                    <w:jc w:val="center"/>
                    <w:rPr>
                      <w:szCs w:val="21"/>
                    </w:rPr>
                  </w:pPr>
                  <w:r>
                    <w:rPr>
                      <w:szCs w:val="21"/>
                    </w:rPr>
                    <w:t>0.2553</w:t>
                  </w:r>
                </w:p>
              </w:tc>
              <w:tc>
                <w:tcPr>
                  <w:tcW w:w="1155" w:type="dxa"/>
                  <w:tcBorders>
                    <w:tl2br w:val="nil"/>
                    <w:tr2bl w:val="nil"/>
                  </w:tcBorders>
                  <w:vAlign w:val="center"/>
                </w:tcPr>
                <w:p w14:paraId="65ACC6D9">
                  <w:pPr>
                    <w:jc w:val="center"/>
                    <w:rPr>
                      <w:szCs w:val="21"/>
                    </w:rPr>
                  </w:pPr>
                  <w:r>
                    <w:rPr>
                      <w:szCs w:val="21"/>
                    </w:rPr>
                    <w:t>0.4293</w:t>
                  </w:r>
                </w:p>
              </w:tc>
              <w:tc>
                <w:tcPr>
                  <w:tcW w:w="1153" w:type="dxa"/>
                  <w:tcBorders>
                    <w:tl2br w:val="nil"/>
                    <w:tr2bl w:val="nil"/>
                  </w:tcBorders>
                  <w:vAlign w:val="center"/>
                </w:tcPr>
                <w:p w14:paraId="5FDE21C0">
                  <w:pPr>
                    <w:jc w:val="center"/>
                    <w:rPr>
                      <w:szCs w:val="21"/>
                    </w:rPr>
                  </w:pPr>
                  <w:r>
                    <w:rPr>
                      <w:szCs w:val="21"/>
                    </w:rPr>
                    <w:t>0.5819</w:t>
                  </w:r>
                </w:p>
              </w:tc>
              <w:tc>
                <w:tcPr>
                  <w:tcW w:w="1153" w:type="dxa"/>
                  <w:tcBorders>
                    <w:tl2br w:val="nil"/>
                    <w:tr2bl w:val="nil"/>
                  </w:tcBorders>
                  <w:vAlign w:val="center"/>
                </w:tcPr>
                <w:p w14:paraId="1E039F37">
                  <w:pPr>
                    <w:jc w:val="center"/>
                    <w:rPr>
                      <w:szCs w:val="21"/>
                    </w:rPr>
                  </w:pPr>
                  <w:r>
                    <w:rPr>
                      <w:szCs w:val="21"/>
                    </w:rPr>
                    <w:t>0.7220</w:t>
                  </w:r>
                </w:p>
              </w:tc>
              <w:tc>
                <w:tcPr>
                  <w:tcW w:w="1153" w:type="dxa"/>
                  <w:tcBorders>
                    <w:tl2br w:val="nil"/>
                    <w:tr2bl w:val="nil"/>
                  </w:tcBorders>
                  <w:vAlign w:val="center"/>
                </w:tcPr>
                <w:p w14:paraId="413F0F7F">
                  <w:pPr>
                    <w:jc w:val="center"/>
                    <w:rPr>
                      <w:szCs w:val="21"/>
                    </w:rPr>
                  </w:pPr>
                  <w:r>
                    <w:rPr>
                      <w:szCs w:val="21"/>
                    </w:rPr>
                    <w:t>0.8536</w:t>
                  </w:r>
                </w:p>
              </w:tc>
              <w:tc>
                <w:tcPr>
                  <w:tcW w:w="1031" w:type="dxa"/>
                  <w:tcBorders>
                    <w:tl2br w:val="nil"/>
                    <w:tr2bl w:val="nil"/>
                  </w:tcBorders>
                  <w:vAlign w:val="center"/>
                </w:tcPr>
                <w:p w14:paraId="2A4A7BBF">
                  <w:pPr>
                    <w:jc w:val="center"/>
                    <w:rPr>
                      <w:szCs w:val="21"/>
                    </w:rPr>
                  </w:pPr>
                  <w:r>
                    <w:rPr>
                      <w:szCs w:val="21"/>
                    </w:rPr>
                    <w:t>1.4355</w:t>
                  </w:r>
                </w:p>
              </w:tc>
            </w:tr>
          </w:tbl>
          <w:p w14:paraId="1239A89C">
            <w:pPr>
              <w:pStyle w:val="58"/>
              <w:spacing w:before="156" w:beforeLines="50"/>
              <w:rPr>
                <w:rFonts w:hAnsi="Times New Roman"/>
                <w:b/>
                <w:kern w:val="28"/>
                <w:szCs w:val="24"/>
              </w:rPr>
            </w:pPr>
            <w:r>
              <w:rPr>
                <w:rFonts w:hAnsi="Times New Roman"/>
                <w:kern w:val="2"/>
                <w:szCs w:val="24"/>
              </w:rPr>
              <w:t>如果施工阶段对汽车行驶路面勤洒水（每天4~5次），可以使空气中粉尘量减少70%左右，可以收到很好的降尘效果。参考同类工程调查报告，洒水的试验资料如表4-2。当施工场地洒水频率为4~5次/天时，扬尘造成的TSP污染距离可缩小到20~50m范围内。</w:t>
            </w:r>
          </w:p>
          <w:p w14:paraId="18AB7037">
            <w:pPr>
              <w:jc w:val="center"/>
              <w:rPr>
                <w:b/>
                <w:kern w:val="28"/>
                <w:szCs w:val="21"/>
              </w:rPr>
            </w:pPr>
            <w:r>
              <w:rPr>
                <w:b/>
                <w:kern w:val="28"/>
                <w:szCs w:val="21"/>
              </w:rPr>
              <w:t>表4-2</w:t>
            </w:r>
            <w:r>
              <w:rPr>
                <w:rFonts w:hint="eastAsia"/>
                <w:b/>
                <w:kern w:val="28"/>
                <w:szCs w:val="21"/>
                <w:lang w:val="en-US" w:eastAsia="zh-CN"/>
              </w:rPr>
              <w:t xml:space="preserve">  </w:t>
            </w:r>
            <w:r>
              <w:rPr>
                <w:b/>
                <w:kern w:val="28"/>
                <w:szCs w:val="21"/>
              </w:rPr>
              <w:t>施工阶段使用洒水车降尘试验结果</w:t>
            </w:r>
          </w:p>
          <w:tbl>
            <w:tblPr>
              <w:tblStyle w:val="32"/>
              <w:tblW w:w="833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278"/>
              <w:gridCol w:w="1465"/>
              <w:gridCol w:w="1464"/>
              <w:gridCol w:w="1466"/>
              <w:gridCol w:w="1464"/>
            </w:tblGrid>
            <w:tr w14:paraId="3D77B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2471" w:type="dxa"/>
                  <w:gridSpan w:val="2"/>
                  <w:tcBorders>
                    <w:top w:val="single" w:color="auto" w:sz="12" w:space="0"/>
                    <w:left w:val="nil"/>
                  </w:tcBorders>
                  <w:vAlign w:val="center"/>
                </w:tcPr>
                <w:p w14:paraId="38662C10">
                  <w:pPr>
                    <w:jc w:val="center"/>
                    <w:rPr>
                      <w:rFonts w:ascii="Times New Roman" w:hAnsi="Times New Roman" w:eastAsia="宋体" w:cs="Times New Roman"/>
                      <w:kern w:val="2"/>
                      <w:sz w:val="21"/>
                      <w:szCs w:val="21"/>
                      <w:lang w:val="en-US" w:eastAsia="zh-CN" w:bidi="ar-SA"/>
                    </w:rPr>
                  </w:pPr>
                  <w:r>
                    <w:rPr>
                      <w:szCs w:val="21"/>
                    </w:rPr>
                    <w:t>距路边距离(m)</w:t>
                  </w:r>
                </w:p>
              </w:tc>
              <w:tc>
                <w:tcPr>
                  <w:tcW w:w="1465" w:type="dxa"/>
                  <w:tcBorders>
                    <w:top w:val="single" w:color="auto" w:sz="12" w:space="0"/>
                  </w:tcBorders>
                  <w:vAlign w:val="center"/>
                </w:tcPr>
                <w:p w14:paraId="321DD082">
                  <w:pPr>
                    <w:jc w:val="center"/>
                    <w:rPr>
                      <w:rFonts w:ascii="Times New Roman" w:hAnsi="Times New Roman" w:eastAsia="宋体" w:cs="Times New Roman"/>
                      <w:kern w:val="2"/>
                      <w:sz w:val="21"/>
                      <w:szCs w:val="21"/>
                      <w:lang w:val="en-US" w:eastAsia="zh-CN" w:bidi="ar-SA"/>
                    </w:rPr>
                  </w:pPr>
                  <w:r>
                    <w:rPr>
                      <w:szCs w:val="21"/>
                    </w:rPr>
                    <w:t>5</w:t>
                  </w:r>
                </w:p>
              </w:tc>
              <w:tc>
                <w:tcPr>
                  <w:tcW w:w="1464" w:type="dxa"/>
                  <w:tcBorders>
                    <w:top w:val="single" w:color="auto" w:sz="12" w:space="0"/>
                  </w:tcBorders>
                  <w:vAlign w:val="center"/>
                </w:tcPr>
                <w:p w14:paraId="7EF5F29D">
                  <w:pPr>
                    <w:jc w:val="center"/>
                    <w:rPr>
                      <w:rFonts w:ascii="Times New Roman" w:hAnsi="Times New Roman" w:eastAsia="宋体" w:cs="Times New Roman"/>
                      <w:kern w:val="2"/>
                      <w:sz w:val="21"/>
                      <w:szCs w:val="21"/>
                      <w:lang w:val="en-US" w:eastAsia="zh-CN" w:bidi="ar-SA"/>
                    </w:rPr>
                  </w:pPr>
                  <w:r>
                    <w:rPr>
                      <w:szCs w:val="21"/>
                    </w:rPr>
                    <w:t>20</w:t>
                  </w:r>
                </w:p>
              </w:tc>
              <w:tc>
                <w:tcPr>
                  <w:tcW w:w="1466" w:type="dxa"/>
                  <w:tcBorders>
                    <w:top w:val="single" w:color="auto" w:sz="12" w:space="0"/>
                  </w:tcBorders>
                  <w:vAlign w:val="center"/>
                </w:tcPr>
                <w:p w14:paraId="63246ADB">
                  <w:pPr>
                    <w:jc w:val="center"/>
                    <w:rPr>
                      <w:rFonts w:ascii="Times New Roman" w:hAnsi="Times New Roman" w:eastAsia="宋体" w:cs="Times New Roman"/>
                      <w:kern w:val="2"/>
                      <w:sz w:val="21"/>
                      <w:szCs w:val="21"/>
                      <w:lang w:val="en-US" w:eastAsia="zh-CN" w:bidi="ar-SA"/>
                    </w:rPr>
                  </w:pPr>
                  <w:r>
                    <w:rPr>
                      <w:szCs w:val="21"/>
                    </w:rPr>
                    <w:t>50</w:t>
                  </w:r>
                </w:p>
              </w:tc>
              <w:tc>
                <w:tcPr>
                  <w:tcW w:w="1464" w:type="dxa"/>
                  <w:tcBorders>
                    <w:top w:val="single" w:color="auto" w:sz="12" w:space="0"/>
                    <w:right w:val="nil"/>
                  </w:tcBorders>
                  <w:vAlign w:val="center"/>
                </w:tcPr>
                <w:p w14:paraId="322C2ABC">
                  <w:pPr>
                    <w:jc w:val="center"/>
                    <w:rPr>
                      <w:rFonts w:ascii="Times New Roman" w:hAnsi="Times New Roman" w:eastAsia="宋体" w:cs="Times New Roman"/>
                      <w:kern w:val="2"/>
                      <w:sz w:val="21"/>
                      <w:szCs w:val="21"/>
                      <w:lang w:val="en-US" w:eastAsia="zh-CN" w:bidi="ar-SA"/>
                    </w:rPr>
                  </w:pPr>
                  <w:r>
                    <w:rPr>
                      <w:szCs w:val="21"/>
                    </w:rPr>
                    <w:t>100</w:t>
                  </w:r>
                </w:p>
              </w:tc>
            </w:tr>
            <w:tr w14:paraId="76A31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193" w:type="dxa"/>
                  <w:vMerge w:val="restart"/>
                  <w:tcBorders>
                    <w:left w:val="nil"/>
                  </w:tcBorders>
                  <w:vAlign w:val="center"/>
                </w:tcPr>
                <w:p w14:paraId="77D430B6">
                  <w:pPr>
                    <w:jc w:val="center"/>
                    <w:rPr>
                      <w:szCs w:val="21"/>
                    </w:rPr>
                  </w:pPr>
                  <w:r>
                    <w:rPr>
                      <w:szCs w:val="21"/>
                    </w:rPr>
                    <w:t>TSP浓度</w:t>
                  </w:r>
                </w:p>
                <w:p w14:paraId="210C084C">
                  <w:pPr>
                    <w:jc w:val="center"/>
                    <w:rPr>
                      <w:szCs w:val="21"/>
                    </w:rPr>
                  </w:pPr>
                  <w:r>
                    <w:rPr>
                      <w:szCs w:val="21"/>
                    </w:rPr>
                    <w:t>(mg/m³)</w:t>
                  </w:r>
                </w:p>
              </w:tc>
              <w:tc>
                <w:tcPr>
                  <w:tcW w:w="1278" w:type="dxa"/>
                  <w:vAlign w:val="center"/>
                </w:tcPr>
                <w:p w14:paraId="65528E5D">
                  <w:pPr>
                    <w:jc w:val="center"/>
                    <w:rPr>
                      <w:szCs w:val="21"/>
                    </w:rPr>
                  </w:pPr>
                  <w:r>
                    <w:rPr>
                      <w:szCs w:val="21"/>
                    </w:rPr>
                    <w:t>不洒水</w:t>
                  </w:r>
                </w:p>
              </w:tc>
              <w:tc>
                <w:tcPr>
                  <w:tcW w:w="1465" w:type="dxa"/>
                  <w:vAlign w:val="center"/>
                </w:tcPr>
                <w:p w14:paraId="06EAC82C">
                  <w:pPr>
                    <w:jc w:val="center"/>
                    <w:rPr>
                      <w:szCs w:val="21"/>
                    </w:rPr>
                  </w:pPr>
                  <w:r>
                    <w:rPr>
                      <w:szCs w:val="21"/>
                    </w:rPr>
                    <w:t>10.14</w:t>
                  </w:r>
                </w:p>
              </w:tc>
              <w:tc>
                <w:tcPr>
                  <w:tcW w:w="1464" w:type="dxa"/>
                  <w:vAlign w:val="center"/>
                </w:tcPr>
                <w:p w14:paraId="0F75A088">
                  <w:pPr>
                    <w:jc w:val="center"/>
                    <w:rPr>
                      <w:szCs w:val="21"/>
                    </w:rPr>
                  </w:pPr>
                  <w:r>
                    <w:rPr>
                      <w:szCs w:val="21"/>
                    </w:rPr>
                    <w:t>2.81</w:t>
                  </w:r>
                </w:p>
              </w:tc>
              <w:tc>
                <w:tcPr>
                  <w:tcW w:w="1466" w:type="dxa"/>
                  <w:vAlign w:val="center"/>
                </w:tcPr>
                <w:p w14:paraId="00E2C324">
                  <w:pPr>
                    <w:jc w:val="center"/>
                    <w:rPr>
                      <w:szCs w:val="21"/>
                    </w:rPr>
                  </w:pPr>
                  <w:r>
                    <w:rPr>
                      <w:szCs w:val="21"/>
                    </w:rPr>
                    <w:t>1.15</w:t>
                  </w:r>
                </w:p>
              </w:tc>
              <w:tc>
                <w:tcPr>
                  <w:tcW w:w="1464" w:type="dxa"/>
                  <w:tcBorders>
                    <w:right w:val="nil"/>
                  </w:tcBorders>
                  <w:vAlign w:val="center"/>
                </w:tcPr>
                <w:p w14:paraId="19D4E61B">
                  <w:pPr>
                    <w:jc w:val="center"/>
                    <w:rPr>
                      <w:szCs w:val="21"/>
                    </w:rPr>
                  </w:pPr>
                  <w:r>
                    <w:rPr>
                      <w:szCs w:val="21"/>
                    </w:rPr>
                    <w:t>0.86</w:t>
                  </w:r>
                </w:p>
              </w:tc>
            </w:tr>
            <w:tr w14:paraId="3E15E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1193" w:type="dxa"/>
                  <w:vMerge w:val="continue"/>
                  <w:tcBorders>
                    <w:left w:val="nil"/>
                    <w:bottom w:val="single" w:color="auto" w:sz="12" w:space="0"/>
                  </w:tcBorders>
                  <w:vAlign w:val="center"/>
                </w:tcPr>
                <w:p w14:paraId="48B5FE62">
                  <w:pPr>
                    <w:jc w:val="center"/>
                    <w:rPr>
                      <w:szCs w:val="21"/>
                    </w:rPr>
                  </w:pPr>
                </w:p>
              </w:tc>
              <w:tc>
                <w:tcPr>
                  <w:tcW w:w="1278" w:type="dxa"/>
                  <w:tcBorders>
                    <w:bottom w:val="single" w:color="auto" w:sz="12" w:space="0"/>
                  </w:tcBorders>
                  <w:vAlign w:val="center"/>
                </w:tcPr>
                <w:p w14:paraId="68FFDC19">
                  <w:pPr>
                    <w:jc w:val="center"/>
                    <w:rPr>
                      <w:szCs w:val="21"/>
                    </w:rPr>
                  </w:pPr>
                  <w:r>
                    <w:rPr>
                      <w:szCs w:val="21"/>
                    </w:rPr>
                    <w:t>洒水</w:t>
                  </w:r>
                </w:p>
              </w:tc>
              <w:tc>
                <w:tcPr>
                  <w:tcW w:w="1465" w:type="dxa"/>
                  <w:tcBorders>
                    <w:bottom w:val="single" w:color="auto" w:sz="12" w:space="0"/>
                  </w:tcBorders>
                  <w:vAlign w:val="center"/>
                </w:tcPr>
                <w:p w14:paraId="4EEA30C6">
                  <w:pPr>
                    <w:jc w:val="center"/>
                    <w:rPr>
                      <w:szCs w:val="21"/>
                    </w:rPr>
                  </w:pPr>
                  <w:r>
                    <w:rPr>
                      <w:szCs w:val="21"/>
                    </w:rPr>
                    <w:t>2.01</w:t>
                  </w:r>
                </w:p>
              </w:tc>
              <w:tc>
                <w:tcPr>
                  <w:tcW w:w="1464" w:type="dxa"/>
                  <w:tcBorders>
                    <w:bottom w:val="single" w:color="auto" w:sz="12" w:space="0"/>
                  </w:tcBorders>
                  <w:vAlign w:val="center"/>
                </w:tcPr>
                <w:p w14:paraId="3B459141">
                  <w:pPr>
                    <w:jc w:val="center"/>
                    <w:rPr>
                      <w:szCs w:val="21"/>
                    </w:rPr>
                  </w:pPr>
                  <w:r>
                    <w:rPr>
                      <w:szCs w:val="21"/>
                    </w:rPr>
                    <w:t>1.40</w:t>
                  </w:r>
                </w:p>
              </w:tc>
              <w:tc>
                <w:tcPr>
                  <w:tcW w:w="1466" w:type="dxa"/>
                  <w:tcBorders>
                    <w:bottom w:val="single" w:color="auto" w:sz="12" w:space="0"/>
                  </w:tcBorders>
                  <w:vAlign w:val="center"/>
                </w:tcPr>
                <w:p w14:paraId="46F1D52F">
                  <w:pPr>
                    <w:jc w:val="center"/>
                    <w:rPr>
                      <w:szCs w:val="21"/>
                    </w:rPr>
                  </w:pPr>
                  <w:r>
                    <w:rPr>
                      <w:szCs w:val="21"/>
                    </w:rPr>
                    <w:t>0.68</w:t>
                  </w:r>
                </w:p>
              </w:tc>
              <w:tc>
                <w:tcPr>
                  <w:tcW w:w="1464" w:type="dxa"/>
                  <w:tcBorders>
                    <w:bottom w:val="single" w:color="auto" w:sz="12" w:space="0"/>
                    <w:right w:val="nil"/>
                  </w:tcBorders>
                  <w:vAlign w:val="center"/>
                </w:tcPr>
                <w:p w14:paraId="35DB0FE1">
                  <w:pPr>
                    <w:jc w:val="center"/>
                    <w:rPr>
                      <w:szCs w:val="21"/>
                    </w:rPr>
                  </w:pPr>
                  <w:r>
                    <w:rPr>
                      <w:szCs w:val="21"/>
                    </w:rPr>
                    <w:t>0.60</w:t>
                  </w:r>
                </w:p>
              </w:tc>
            </w:tr>
          </w:tbl>
          <w:p w14:paraId="68B1367C">
            <w:pPr>
              <w:pStyle w:val="62"/>
              <w:ind w:firstLine="480"/>
              <w:rPr>
                <w:rFonts w:cs="Times New Roman"/>
                <w:szCs w:val="24"/>
              </w:rPr>
            </w:pPr>
            <w:r>
              <w:rPr>
                <w:rStyle w:val="90"/>
                <w:rFonts w:cs="Times New Roman"/>
                <w:szCs w:val="24"/>
              </w:rPr>
              <w:t>另外，粉状筑路材料若遮盖不严在运输过程中也会随风起尘，特</w:t>
            </w:r>
            <w:r>
              <w:rPr>
                <w:rFonts w:cs="Times New Roman"/>
                <w:szCs w:val="24"/>
              </w:rPr>
              <w:t>别是大风天气，影响将更为严重。因此要加强对粉状施工材料的运输管理，使用帆布密封或采用罐体车运输，以最大限度的减少原材料运输过程中产生的扬尘。</w:t>
            </w:r>
          </w:p>
          <w:p w14:paraId="5D9624B8">
            <w:pPr>
              <w:pStyle w:val="62"/>
              <w:ind w:firstLine="480"/>
              <w:rPr>
                <w:rFonts w:hAnsi="宋体" w:cs="Times New Roman"/>
              </w:rPr>
            </w:pPr>
            <w:r>
              <w:rPr>
                <w:rFonts w:hAnsi="宋体" w:cs="Times New Roman"/>
              </w:rPr>
              <w:t>施工运输扬尘等将对施工道路旁的村庄造成一定的影响。根据施工布置和现场调查，本项目</w:t>
            </w:r>
            <w:r>
              <w:rPr>
                <w:rFonts w:hint="eastAsia" w:hAnsi="宋体" w:cs="Times New Roman"/>
              </w:rPr>
              <w:t>运输道路经过</w:t>
            </w:r>
            <w:r>
              <w:rPr>
                <w:rFonts w:hint="eastAsia"/>
                <w:u w:val="none"/>
                <w:lang w:val="en-US" w:eastAsia="zh-CN"/>
              </w:rPr>
              <w:t>江河里居民点、乌龟冲居民点和刘家湾居民点</w:t>
            </w:r>
            <w:r>
              <w:rPr>
                <w:rFonts w:hint="eastAsia" w:hAnsi="宋体" w:cs="Times New Roman"/>
              </w:rPr>
              <w:t>时，距离居民房较近，因此本项目建设过程中应特别加强上述居民点段道路防尘及道路清洁。</w:t>
            </w:r>
          </w:p>
          <w:p w14:paraId="1992B8D5">
            <w:pPr>
              <w:pStyle w:val="62"/>
              <w:ind w:firstLine="480"/>
              <w:rPr>
                <w:rFonts w:hAnsi="宋体" w:cs="Times New Roman"/>
              </w:rPr>
            </w:pPr>
            <w:r>
              <w:rPr>
                <w:rFonts w:hAnsi="宋体" w:cs="Times New Roman"/>
              </w:rPr>
              <w:t>（3）砂石料、水泥等物料堆场扬尘</w:t>
            </w:r>
          </w:p>
          <w:p w14:paraId="00924F6C">
            <w:pPr>
              <w:pStyle w:val="58"/>
              <w:rPr>
                <w:rFonts w:hAnsi="Times New Roman"/>
                <w:kern w:val="2"/>
                <w:szCs w:val="24"/>
              </w:rPr>
            </w:pPr>
            <w:r>
              <w:rPr>
                <w:rFonts w:hAnsi="Times New Roman"/>
                <w:kern w:val="2"/>
                <w:szCs w:val="24"/>
              </w:rPr>
              <w:t>道路施工阶段扬尘的另一个主要来源是露天堆场和裸露场地的风力扬尘。由于施工需要，一些建筑材料需露天堆放，一些施工作业点表层土壤需人工开挖且临时堆放，在气候干燥又有风的情况下，会产生扬尘，其扬尘量可按堆场起尘的经验公式计算：</w:t>
            </w:r>
          </w:p>
          <w:p w14:paraId="7F18377D">
            <w:pPr>
              <w:spacing w:line="360" w:lineRule="auto"/>
              <w:ind w:firstLine="482"/>
              <w:rPr>
                <w:spacing w:val="4"/>
              </w:rPr>
            </w:pPr>
            <w:r>
              <w:rPr>
                <w:spacing w:val="4"/>
                <w:position w:val="-12"/>
              </w:rPr>
              <w:object>
                <v:shape id="_x0000_i1027" o:spt="75" type="#_x0000_t75" style="height:21.5pt;width:138.65pt;" o:ole="t" fillcolor="#6D6D6D" filled="f" o:preferrelative="t" stroked="f" coordsize="21600,21600">
                  <v:path/>
                  <v:fill on="f" focussize="0,0"/>
                  <v:stroke on="f" joinstyle="miter"/>
                  <v:imagedata r:id="rId39" o:title=""/>
                  <o:lock v:ext="edit" aspectratio="t"/>
                  <w10:wrap type="none"/>
                  <w10:anchorlock/>
                </v:shape>
                <o:OLEObject Type="Embed" ProgID="Equation.3" ShapeID="_x0000_i1027" DrawAspect="Content" ObjectID="_1468075727" r:id="rId38">
                  <o:LockedField>false</o:LockedField>
                </o:OLEObject>
              </w:object>
            </w:r>
          </w:p>
          <w:p w14:paraId="2A6010AA">
            <w:pPr>
              <w:spacing w:line="360" w:lineRule="auto"/>
              <w:ind w:firstLine="480"/>
              <w:rPr>
                <w:spacing w:val="4"/>
                <w:sz w:val="24"/>
              </w:rPr>
            </w:pPr>
            <w:r>
              <w:rPr>
                <w:spacing w:val="4"/>
                <w:sz w:val="24"/>
              </w:rPr>
              <w:t>式中：</w:t>
            </w:r>
            <w:r>
              <w:rPr>
                <w:i/>
                <w:spacing w:val="4"/>
                <w:sz w:val="24"/>
              </w:rPr>
              <w:t>Q</w:t>
            </w:r>
            <w:r>
              <w:rPr>
                <w:spacing w:val="4"/>
                <w:sz w:val="24"/>
              </w:rPr>
              <w:t>——起尘量，kg/吨·年；</w:t>
            </w:r>
          </w:p>
          <w:p w14:paraId="77C4D963">
            <w:pPr>
              <w:spacing w:line="360" w:lineRule="auto"/>
              <w:ind w:firstLine="480"/>
              <w:rPr>
                <w:spacing w:val="4"/>
                <w:sz w:val="24"/>
              </w:rPr>
            </w:pPr>
            <w:r>
              <w:rPr>
                <w:i/>
                <w:spacing w:val="4"/>
                <w:sz w:val="24"/>
              </w:rPr>
              <w:t>V</w:t>
            </w:r>
            <w:r>
              <w:rPr>
                <w:spacing w:val="4"/>
                <w:sz w:val="24"/>
                <w:vertAlign w:val="subscript"/>
              </w:rPr>
              <w:t>50</w:t>
            </w:r>
            <w:r>
              <w:rPr>
                <w:spacing w:val="4"/>
                <w:sz w:val="24"/>
              </w:rPr>
              <w:t>——距地面50m处风速，m/s；</w:t>
            </w:r>
          </w:p>
          <w:p w14:paraId="5F70F1C2">
            <w:pPr>
              <w:spacing w:line="360" w:lineRule="auto"/>
              <w:ind w:firstLine="480"/>
              <w:rPr>
                <w:spacing w:val="4"/>
                <w:sz w:val="24"/>
              </w:rPr>
            </w:pPr>
            <w:r>
              <w:rPr>
                <w:i/>
                <w:spacing w:val="4"/>
                <w:sz w:val="24"/>
              </w:rPr>
              <w:t>V</w:t>
            </w:r>
            <w:r>
              <w:rPr>
                <w:spacing w:val="4"/>
                <w:sz w:val="24"/>
                <w:vertAlign w:val="subscript"/>
              </w:rPr>
              <w:t>0</w:t>
            </w:r>
            <w:r>
              <w:rPr>
                <w:spacing w:val="4"/>
                <w:sz w:val="24"/>
              </w:rPr>
              <w:t>——起尘风速，m/s；</w:t>
            </w:r>
          </w:p>
          <w:p w14:paraId="5A808D2A">
            <w:pPr>
              <w:spacing w:line="360" w:lineRule="auto"/>
              <w:ind w:firstLine="480"/>
              <w:rPr>
                <w:spacing w:val="4"/>
                <w:sz w:val="24"/>
              </w:rPr>
            </w:pPr>
            <w:r>
              <w:rPr>
                <w:i/>
                <w:spacing w:val="4"/>
                <w:sz w:val="24"/>
              </w:rPr>
              <w:t>W</w:t>
            </w:r>
            <w:r>
              <w:rPr>
                <w:spacing w:val="4"/>
                <w:sz w:val="24"/>
              </w:rPr>
              <w:t>——尘粒的含水率，%。</w:t>
            </w:r>
          </w:p>
          <w:p w14:paraId="4D652B5E">
            <w:pPr>
              <w:pStyle w:val="58"/>
              <w:rPr>
                <w:rFonts w:hAnsi="Times New Roman"/>
                <w:kern w:val="2"/>
                <w:szCs w:val="24"/>
              </w:rPr>
            </w:pPr>
            <w:r>
              <w:rPr>
                <w:rFonts w:hAnsi="Times New Roman"/>
                <w:kern w:val="2"/>
                <w:szCs w:val="24"/>
              </w:rPr>
              <w:t>起尘风速与粒径和含水率有关。因此，减少露天堆放和保证一定的含水率及减少裸露地面是减少风力起尘的有效手段。粉尘在空气中的扩散稀释与风速等气象条件有关，也与粉尘本身的沉降速度有关。不同粒径粉尘的沉降速度见表4-3。由表可知，粉尘的沉降速度随粒径的增大而迅速增大。当粒径为250</w:t>
            </w:r>
            <w:r>
              <w:rPr>
                <w:rFonts w:hAnsi="Times New Roman"/>
                <w:kern w:val="2"/>
                <w:szCs w:val="24"/>
              </w:rPr>
              <w:sym w:font="Symbol" w:char="F06D"/>
            </w:r>
            <w:r>
              <w:rPr>
                <w:rFonts w:hAnsi="Times New Roman"/>
                <w:kern w:val="2"/>
                <w:szCs w:val="24"/>
              </w:rPr>
              <w:t>m时，沉降速度为1.005m/s，因此可以认为当尘粒大于250</w:t>
            </w:r>
            <w:r>
              <w:rPr>
                <w:rFonts w:hAnsi="Times New Roman"/>
                <w:kern w:val="2"/>
                <w:szCs w:val="24"/>
              </w:rPr>
              <w:sym w:font="Symbol" w:char="F06D"/>
            </w:r>
            <w:r>
              <w:rPr>
                <w:rFonts w:hAnsi="Times New Roman"/>
                <w:kern w:val="2"/>
                <w:szCs w:val="24"/>
              </w:rPr>
              <w:t>m时，主要影响范围在扬尘点下风向近距离范围内，而真正对外环境产生影响的是一些微小粒径的粉尘。</w:t>
            </w:r>
            <w:r>
              <w:rPr>
                <w:rFonts w:hAnsi="Times New Roman"/>
              </w:rPr>
              <w:t>采取洒水、篷布遮挡等措施，可有效地防止风吹扬尘。</w:t>
            </w:r>
          </w:p>
          <w:p w14:paraId="35A70A42">
            <w:pPr>
              <w:jc w:val="center"/>
              <w:rPr>
                <w:b/>
                <w:kern w:val="28"/>
                <w:szCs w:val="21"/>
              </w:rPr>
            </w:pPr>
            <w:r>
              <w:rPr>
                <w:b/>
                <w:kern w:val="28"/>
                <w:szCs w:val="21"/>
              </w:rPr>
              <w:t>表4-3</w:t>
            </w:r>
            <w:r>
              <w:rPr>
                <w:rFonts w:hint="eastAsia"/>
                <w:b/>
                <w:kern w:val="28"/>
                <w:szCs w:val="21"/>
                <w:lang w:val="en-US" w:eastAsia="zh-CN"/>
              </w:rPr>
              <w:t xml:space="preserve">  </w:t>
            </w:r>
            <w:r>
              <w:rPr>
                <w:b/>
                <w:kern w:val="28"/>
                <w:szCs w:val="21"/>
              </w:rPr>
              <w:t>不同粒径尘粒的沉降速度</w:t>
            </w:r>
          </w:p>
          <w:tbl>
            <w:tblPr>
              <w:tblStyle w:val="32"/>
              <w:tblW w:w="81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06"/>
              <w:gridCol w:w="945"/>
              <w:gridCol w:w="898"/>
              <w:gridCol w:w="942"/>
              <w:gridCol w:w="946"/>
              <w:gridCol w:w="943"/>
              <w:gridCol w:w="941"/>
              <w:gridCol w:w="946"/>
            </w:tblGrid>
            <w:tr w14:paraId="70C9B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top w:val="single" w:color="auto" w:sz="12" w:space="0"/>
                    <w:left w:val="nil"/>
                  </w:tcBorders>
                  <w:vAlign w:val="center"/>
                </w:tcPr>
                <w:p w14:paraId="2F3B29DB">
                  <w:pPr>
                    <w:jc w:val="center"/>
                    <w:rPr>
                      <w:rFonts w:ascii="Times New Roman" w:hAnsi="Times New Roman" w:eastAsia="宋体" w:cs="Times New Roman"/>
                      <w:kern w:val="2"/>
                      <w:sz w:val="21"/>
                      <w:szCs w:val="21"/>
                      <w:lang w:val="en-US" w:eastAsia="zh-CN" w:bidi="ar-SA"/>
                    </w:rPr>
                  </w:pPr>
                  <w:r>
                    <w:rPr>
                      <w:szCs w:val="21"/>
                    </w:rPr>
                    <w:t>粉尘粒径(</w:t>
                  </w:r>
                  <w:r>
                    <w:rPr>
                      <w:szCs w:val="21"/>
                    </w:rPr>
                    <w:sym w:font="Symbol" w:char="F06D"/>
                  </w:r>
                  <w:r>
                    <w:rPr>
                      <w:szCs w:val="21"/>
                    </w:rPr>
                    <w:t>m)</w:t>
                  </w:r>
                </w:p>
              </w:tc>
              <w:tc>
                <w:tcPr>
                  <w:tcW w:w="945" w:type="dxa"/>
                  <w:tcBorders>
                    <w:top w:val="single" w:color="auto" w:sz="12" w:space="0"/>
                  </w:tcBorders>
                  <w:vAlign w:val="center"/>
                </w:tcPr>
                <w:p w14:paraId="61B74A24">
                  <w:pPr>
                    <w:jc w:val="center"/>
                    <w:rPr>
                      <w:rFonts w:ascii="Times New Roman" w:hAnsi="Times New Roman" w:eastAsia="宋体" w:cs="Times New Roman"/>
                      <w:kern w:val="2"/>
                      <w:sz w:val="21"/>
                      <w:szCs w:val="21"/>
                      <w:lang w:val="en-US" w:eastAsia="zh-CN" w:bidi="ar-SA"/>
                    </w:rPr>
                  </w:pPr>
                  <w:r>
                    <w:rPr>
                      <w:szCs w:val="21"/>
                    </w:rPr>
                    <w:t>10</w:t>
                  </w:r>
                </w:p>
              </w:tc>
              <w:tc>
                <w:tcPr>
                  <w:tcW w:w="898" w:type="dxa"/>
                  <w:tcBorders>
                    <w:top w:val="single" w:color="auto" w:sz="12" w:space="0"/>
                  </w:tcBorders>
                  <w:vAlign w:val="center"/>
                </w:tcPr>
                <w:p w14:paraId="7C97E98A">
                  <w:pPr>
                    <w:jc w:val="center"/>
                    <w:rPr>
                      <w:rFonts w:ascii="Times New Roman" w:hAnsi="Times New Roman" w:eastAsia="宋体" w:cs="Times New Roman"/>
                      <w:kern w:val="2"/>
                      <w:sz w:val="21"/>
                      <w:szCs w:val="21"/>
                      <w:lang w:val="en-US" w:eastAsia="zh-CN" w:bidi="ar-SA"/>
                    </w:rPr>
                  </w:pPr>
                  <w:r>
                    <w:rPr>
                      <w:szCs w:val="21"/>
                    </w:rPr>
                    <w:t>20</w:t>
                  </w:r>
                </w:p>
              </w:tc>
              <w:tc>
                <w:tcPr>
                  <w:tcW w:w="942" w:type="dxa"/>
                  <w:tcBorders>
                    <w:top w:val="single" w:color="auto" w:sz="12" w:space="0"/>
                  </w:tcBorders>
                  <w:vAlign w:val="center"/>
                </w:tcPr>
                <w:p w14:paraId="2FD77FA8">
                  <w:pPr>
                    <w:jc w:val="center"/>
                    <w:rPr>
                      <w:rFonts w:ascii="Times New Roman" w:hAnsi="Times New Roman" w:eastAsia="宋体" w:cs="Times New Roman"/>
                      <w:kern w:val="2"/>
                      <w:sz w:val="21"/>
                      <w:szCs w:val="21"/>
                      <w:lang w:val="en-US" w:eastAsia="zh-CN" w:bidi="ar-SA"/>
                    </w:rPr>
                  </w:pPr>
                  <w:r>
                    <w:rPr>
                      <w:szCs w:val="21"/>
                    </w:rPr>
                    <w:t>30</w:t>
                  </w:r>
                </w:p>
              </w:tc>
              <w:tc>
                <w:tcPr>
                  <w:tcW w:w="946" w:type="dxa"/>
                  <w:tcBorders>
                    <w:top w:val="single" w:color="auto" w:sz="12" w:space="0"/>
                  </w:tcBorders>
                  <w:vAlign w:val="center"/>
                </w:tcPr>
                <w:p w14:paraId="1A17947D">
                  <w:pPr>
                    <w:jc w:val="center"/>
                    <w:rPr>
                      <w:rFonts w:ascii="Times New Roman" w:hAnsi="Times New Roman" w:eastAsia="宋体" w:cs="Times New Roman"/>
                      <w:kern w:val="2"/>
                      <w:sz w:val="21"/>
                      <w:szCs w:val="21"/>
                      <w:lang w:val="en-US" w:eastAsia="zh-CN" w:bidi="ar-SA"/>
                    </w:rPr>
                  </w:pPr>
                  <w:r>
                    <w:rPr>
                      <w:szCs w:val="21"/>
                    </w:rPr>
                    <w:t>40</w:t>
                  </w:r>
                </w:p>
              </w:tc>
              <w:tc>
                <w:tcPr>
                  <w:tcW w:w="943" w:type="dxa"/>
                  <w:tcBorders>
                    <w:top w:val="single" w:color="auto" w:sz="12" w:space="0"/>
                  </w:tcBorders>
                  <w:vAlign w:val="center"/>
                </w:tcPr>
                <w:p w14:paraId="6B717D86">
                  <w:pPr>
                    <w:jc w:val="center"/>
                    <w:rPr>
                      <w:rFonts w:ascii="Times New Roman" w:hAnsi="Times New Roman" w:eastAsia="宋体" w:cs="Times New Roman"/>
                      <w:kern w:val="2"/>
                      <w:sz w:val="21"/>
                      <w:szCs w:val="21"/>
                      <w:lang w:val="en-US" w:eastAsia="zh-CN" w:bidi="ar-SA"/>
                    </w:rPr>
                  </w:pPr>
                  <w:r>
                    <w:rPr>
                      <w:szCs w:val="21"/>
                    </w:rPr>
                    <w:t>50</w:t>
                  </w:r>
                </w:p>
              </w:tc>
              <w:tc>
                <w:tcPr>
                  <w:tcW w:w="941" w:type="dxa"/>
                  <w:tcBorders>
                    <w:top w:val="single" w:color="auto" w:sz="12" w:space="0"/>
                  </w:tcBorders>
                  <w:vAlign w:val="center"/>
                </w:tcPr>
                <w:p w14:paraId="2C5C174D">
                  <w:pPr>
                    <w:jc w:val="center"/>
                    <w:rPr>
                      <w:rFonts w:ascii="Times New Roman" w:hAnsi="Times New Roman" w:eastAsia="宋体" w:cs="Times New Roman"/>
                      <w:kern w:val="2"/>
                      <w:sz w:val="21"/>
                      <w:szCs w:val="21"/>
                      <w:lang w:val="en-US" w:eastAsia="zh-CN" w:bidi="ar-SA"/>
                    </w:rPr>
                  </w:pPr>
                  <w:r>
                    <w:rPr>
                      <w:szCs w:val="21"/>
                    </w:rPr>
                    <w:t>60</w:t>
                  </w:r>
                </w:p>
              </w:tc>
              <w:tc>
                <w:tcPr>
                  <w:tcW w:w="946" w:type="dxa"/>
                  <w:tcBorders>
                    <w:top w:val="single" w:color="auto" w:sz="12" w:space="0"/>
                    <w:right w:val="nil"/>
                  </w:tcBorders>
                  <w:vAlign w:val="center"/>
                </w:tcPr>
                <w:p w14:paraId="3B4BEAE7">
                  <w:pPr>
                    <w:jc w:val="center"/>
                    <w:rPr>
                      <w:rFonts w:ascii="Times New Roman" w:hAnsi="Times New Roman" w:eastAsia="宋体" w:cs="Times New Roman"/>
                      <w:kern w:val="2"/>
                      <w:sz w:val="21"/>
                      <w:szCs w:val="21"/>
                      <w:lang w:val="en-US" w:eastAsia="zh-CN" w:bidi="ar-SA"/>
                    </w:rPr>
                  </w:pPr>
                  <w:r>
                    <w:rPr>
                      <w:szCs w:val="21"/>
                    </w:rPr>
                    <w:t>70</w:t>
                  </w:r>
                </w:p>
              </w:tc>
            </w:tr>
            <w:tr w14:paraId="17A90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29D1EC7E">
                  <w:pPr>
                    <w:jc w:val="center"/>
                    <w:rPr>
                      <w:szCs w:val="21"/>
                    </w:rPr>
                  </w:pPr>
                  <w:r>
                    <w:rPr>
                      <w:szCs w:val="21"/>
                    </w:rPr>
                    <w:t>沉降速度(m/s)</w:t>
                  </w:r>
                </w:p>
              </w:tc>
              <w:tc>
                <w:tcPr>
                  <w:tcW w:w="945" w:type="dxa"/>
                  <w:vAlign w:val="center"/>
                </w:tcPr>
                <w:p w14:paraId="3E09F049">
                  <w:pPr>
                    <w:jc w:val="center"/>
                    <w:rPr>
                      <w:szCs w:val="21"/>
                    </w:rPr>
                  </w:pPr>
                  <w:r>
                    <w:rPr>
                      <w:szCs w:val="21"/>
                    </w:rPr>
                    <w:t>0.003</w:t>
                  </w:r>
                </w:p>
              </w:tc>
              <w:tc>
                <w:tcPr>
                  <w:tcW w:w="898" w:type="dxa"/>
                  <w:vAlign w:val="center"/>
                </w:tcPr>
                <w:p w14:paraId="55F0DB4C">
                  <w:pPr>
                    <w:jc w:val="center"/>
                    <w:rPr>
                      <w:szCs w:val="21"/>
                    </w:rPr>
                  </w:pPr>
                  <w:r>
                    <w:rPr>
                      <w:szCs w:val="21"/>
                    </w:rPr>
                    <w:t>0.012</w:t>
                  </w:r>
                </w:p>
              </w:tc>
              <w:tc>
                <w:tcPr>
                  <w:tcW w:w="942" w:type="dxa"/>
                  <w:vAlign w:val="center"/>
                </w:tcPr>
                <w:p w14:paraId="3B4F26AA">
                  <w:pPr>
                    <w:jc w:val="center"/>
                    <w:rPr>
                      <w:szCs w:val="21"/>
                    </w:rPr>
                  </w:pPr>
                  <w:r>
                    <w:rPr>
                      <w:szCs w:val="21"/>
                    </w:rPr>
                    <w:t>0.027</w:t>
                  </w:r>
                </w:p>
              </w:tc>
              <w:tc>
                <w:tcPr>
                  <w:tcW w:w="946" w:type="dxa"/>
                  <w:vAlign w:val="center"/>
                </w:tcPr>
                <w:p w14:paraId="6426FA23">
                  <w:pPr>
                    <w:jc w:val="center"/>
                    <w:rPr>
                      <w:szCs w:val="21"/>
                    </w:rPr>
                  </w:pPr>
                  <w:r>
                    <w:rPr>
                      <w:szCs w:val="21"/>
                    </w:rPr>
                    <w:t>0.048</w:t>
                  </w:r>
                </w:p>
              </w:tc>
              <w:tc>
                <w:tcPr>
                  <w:tcW w:w="943" w:type="dxa"/>
                  <w:vAlign w:val="center"/>
                </w:tcPr>
                <w:p w14:paraId="59C3EFA8">
                  <w:pPr>
                    <w:jc w:val="center"/>
                    <w:rPr>
                      <w:szCs w:val="21"/>
                    </w:rPr>
                  </w:pPr>
                  <w:r>
                    <w:rPr>
                      <w:szCs w:val="21"/>
                    </w:rPr>
                    <w:t>0.075</w:t>
                  </w:r>
                </w:p>
              </w:tc>
              <w:tc>
                <w:tcPr>
                  <w:tcW w:w="941" w:type="dxa"/>
                  <w:vAlign w:val="center"/>
                </w:tcPr>
                <w:p w14:paraId="5079EDAC">
                  <w:pPr>
                    <w:jc w:val="center"/>
                    <w:rPr>
                      <w:szCs w:val="21"/>
                    </w:rPr>
                  </w:pPr>
                  <w:r>
                    <w:rPr>
                      <w:szCs w:val="21"/>
                    </w:rPr>
                    <w:t>0.108</w:t>
                  </w:r>
                </w:p>
              </w:tc>
              <w:tc>
                <w:tcPr>
                  <w:tcW w:w="946" w:type="dxa"/>
                  <w:tcBorders>
                    <w:right w:val="nil"/>
                  </w:tcBorders>
                  <w:vAlign w:val="center"/>
                </w:tcPr>
                <w:p w14:paraId="62668270">
                  <w:pPr>
                    <w:jc w:val="center"/>
                    <w:rPr>
                      <w:szCs w:val="21"/>
                    </w:rPr>
                  </w:pPr>
                  <w:r>
                    <w:rPr>
                      <w:szCs w:val="21"/>
                    </w:rPr>
                    <w:t>0.147</w:t>
                  </w:r>
                </w:p>
              </w:tc>
            </w:tr>
            <w:tr w14:paraId="0DB08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1606" w:type="dxa"/>
                  <w:tcBorders>
                    <w:left w:val="nil"/>
                  </w:tcBorders>
                  <w:vAlign w:val="center"/>
                </w:tcPr>
                <w:p w14:paraId="7CF49769">
                  <w:pPr>
                    <w:jc w:val="center"/>
                    <w:rPr>
                      <w:szCs w:val="21"/>
                    </w:rPr>
                  </w:pPr>
                  <w:r>
                    <w:rPr>
                      <w:szCs w:val="21"/>
                    </w:rPr>
                    <w:t>粉尘粒径(</w:t>
                  </w:r>
                  <w:r>
                    <w:rPr>
                      <w:szCs w:val="21"/>
                    </w:rPr>
                    <w:sym w:font="Symbol" w:char="F06D"/>
                  </w:r>
                  <w:r>
                    <w:rPr>
                      <w:szCs w:val="21"/>
                    </w:rPr>
                    <w:t>m)</w:t>
                  </w:r>
                </w:p>
              </w:tc>
              <w:tc>
                <w:tcPr>
                  <w:tcW w:w="945" w:type="dxa"/>
                  <w:vAlign w:val="center"/>
                </w:tcPr>
                <w:p w14:paraId="1D45E465">
                  <w:pPr>
                    <w:jc w:val="center"/>
                    <w:rPr>
                      <w:szCs w:val="21"/>
                    </w:rPr>
                  </w:pPr>
                  <w:r>
                    <w:rPr>
                      <w:szCs w:val="21"/>
                    </w:rPr>
                    <w:t>80</w:t>
                  </w:r>
                </w:p>
              </w:tc>
              <w:tc>
                <w:tcPr>
                  <w:tcW w:w="898" w:type="dxa"/>
                  <w:vAlign w:val="center"/>
                </w:tcPr>
                <w:p w14:paraId="39D6A395">
                  <w:pPr>
                    <w:jc w:val="center"/>
                    <w:rPr>
                      <w:szCs w:val="21"/>
                    </w:rPr>
                  </w:pPr>
                  <w:r>
                    <w:rPr>
                      <w:szCs w:val="21"/>
                    </w:rPr>
                    <w:t>90</w:t>
                  </w:r>
                </w:p>
              </w:tc>
              <w:tc>
                <w:tcPr>
                  <w:tcW w:w="942" w:type="dxa"/>
                  <w:vAlign w:val="center"/>
                </w:tcPr>
                <w:p w14:paraId="38BF13CB">
                  <w:pPr>
                    <w:jc w:val="center"/>
                    <w:rPr>
                      <w:szCs w:val="21"/>
                    </w:rPr>
                  </w:pPr>
                  <w:r>
                    <w:rPr>
                      <w:szCs w:val="21"/>
                    </w:rPr>
                    <w:t>100</w:t>
                  </w:r>
                </w:p>
              </w:tc>
              <w:tc>
                <w:tcPr>
                  <w:tcW w:w="946" w:type="dxa"/>
                  <w:vAlign w:val="center"/>
                </w:tcPr>
                <w:p w14:paraId="781B854D">
                  <w:pPr>
                    <w:jc w:val="center"/>
                    <w:rPr>
                      <w:szCs w:val="21"/>
                    </w:rPr>
                  </w:pPr>
                  <w:r>
                    <w:rPr>
                      <w:szCs w:val="21"/>
                    </w:rPr>
                    <w:t>150</w:t>
                  </w:r>
                </w:p>
              </w:tc>
              <w:tc>
                <w:tcPr>
                  <w:tcW w:w="943" w:type="dxa"/>
                  <w:vAlign w:val="center"/>
                </w:tcPr>
                <w:p w14:paraId="597293BD">
                  <w:pPr>
                    <w:jc w:val="center"/>
                    <w:rPr>
                      <w:szCs w:val="21"/>
                    </w:rPr>
                  </w:pPr>
                  <w:r>
                    <w:rPr>
                      <w:szCs w:val="21"/>
                    </w:rPr>
                    <w:t>200</w:t>
                  </w:r>
                </w:p>
              </w:tc>
              <w:tc>
                <w:tcPr>
                  <w:tcW w:w="941" w:type="dxa"/>
                  <w:vAlign w:val="center"/>
                </w:tcPr>
                <w:p w14:paraId="124A6F7F">
                  <w:pPr>
                    <w:jc w:val="center"/>
                    <w:rPr>
                      <w:szCs w:val="21"/>
                    </w:rPr>
                  </w:pPr>
                  <w:r>
                    <w:rPr>
                      <w:szCs w:val="21"/>
                    </w:rPr>
                    <w:t>250</w:t>
                  </w:r>
                </w:p>
              </w:tc>
              <w:tc>
                <w:tcPr>
                  <w:tcW w:w="946" w:type="dxa"/>
                  <w:tcBorders>
                    <w:right w:val="nil"/>
                  </w:tcBorders>
                  <w:vAlign w:val="center"/>
                </w:tcPr>
                <w:p w14:paraId="336D7173">
                  <w:pPr>
                    <w:jc w:val="center"/>
                    <w:rPr>
                      <w:szCs w:val="21"/>
                    </w:rPr>
                  </w:pPr>
                  <w:r>
                    <w:rPr>
                      <w:szCs w:val="21"/>
                    </w:rPr>
                    <w:t>350</w:t>
                  </w:r>
                </w:p>
              </w:tc>
            </w:tr>
            <w:tr w14:paraId="508CB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39B8AF71">
                  <w:pPr>
                    <w:jc w:val="center"/>
                    <w:rPr>
                      <w:szCs w:val="21"/>
                    </w:rPr>
                  </w:pPr>
                  <w:r>
                    <w:rPr>
                      <w:szCs w:val="21"/>
                    </w:rPr>
                    <w:t>沉降速度(m/s)</w:t>
                  </w:r>
                </w:p>
              </w:tc>
              <w:tc>
                <w:tcPr>
                  <w:tcW w:w="945" w:type="dxa"/>
                  <w:vAlign w:val="center"/>
                </w:tcPr>
                <w:p w14:paraId="58780405">
                  <w:pPr>
                    <w:jc w:val="center"/>
                    <w:rPr>
                      <w:szCs w:val="21"/>
                    </w:rPr>
                  </w:pPr>
                  <w:r>
                    <w:rPr>
                      <w:szCs w:val="21"/>
                    </w:rPr>
                    <w:t>0.158</w:t>
                  </w:r>
                </w:p>
              </w:tc>
              <w:tc>
                <w:tcPr>
                  <w:tcW w:w="898" w:type="dxa"/>
                  <w:vAlign w:val="center"/>
                </w:tcPr>
                <w:p w14:paraId="6DBC70FC">
                  <w:pPr>
                    <w:jc w:val="center"/>
                    <w:rPr>
                      <w:szCs w:val="21"/>
                    </w:rPr>
                  </w:pPr>
                  <w:r>
                    <w:rPr>
                      <w:szCs w:val="21"/>
                    </w:rPr>
                    <w:t>0.170</w:t>
                  </w:r>
                </w:p>
              </w:tc>
              <w:tc>
                <w:tcPr>
                  <w:tcW w:w="942" w:type="dxa"/>
                  <w:vAlign w:val="center"/>
                </w:tcPr>
                <w:p w14:paraId="37DF966C">
                  <w:pPr>
                    <w:jc w:val="center"/>
                    <w:rPr>
                      <w:szCs w:val="21"/>
                    </w:rPr>
                  </w:pPr>
                  <w:r>
                    <w:rPr>
                      <w:szCs w:val="21"/>
                    </w:rPr>
                    <w:t>0.182</w:t>
                  </w:r>
                </w:p>
              </w:tc>
              <w:tc>
                <w:tcPr>
                  <w:tcW w:w="946" w:type="dxa"/>
                  <w:vAlign w:val="center"/>
                </w:tcPr>
                <w:p w14:paraId="7459F49D">
                  <w:pPr>
                    <w:jc w:val="center"/>
                    <w:rPr>
                      <w:szCs w:val="21"/>
                    </w:rPr>
                  </w:pPr>
                  <w:r>
                    <w:rPr>
                      <w:szCs w:val="21"/>
                    </w:rPr>
                    <w:t>0.239</w:t>
                  </w:r>
                </w:p>
              </w:tc>
              <w:tc>
                <w:tcPr>
                  <w:tcW w:w="943" w:type="dxa"/>
                  <w:vAlign w:val="center"/>
                </w:tcPr>
                <w:p w14:paraId="7834E136">
                  <w:pPr>
                    <w:jc w:val="center"/>
                    <w:rPr>
                      <w:szCs w:val="21"/>
                    </w:rPr>
                  </w:pPr>
                  <w:r>
                    <w:rPr>
                      <w:szCs w:val="21"/>
                    </w:rPr>
                    <w:t>0.804</w:t>
                  </w:r>
                </w:p>
              </w:tc>
              <w:tc>
                <w:tcPr>
                  <w:tcW w:w="941" w:type="dxa"/>
                  <w:vAlign w:val="center"/>
                </w:tcPr>
                <w:p w14:paraId="1DA7ECC1">
                  <w:pPr>
                    <w:jc w:val="center"/>
                    <w:rPr>
                      <w:szCs w:val="21"/>
                    </w:rPr>
                  </w:pPr>
                  <w:r>
                    <w:rPr>
                      <w:szCs w:val="21"/>
                    </w:rPr>
                    <w:t>1.005</w:t>
                  </w:r>
                </w:p>
              </w:tc>
              <w:tc>
                <w:tcPr>
                  <w:tcW w:w="946" w:type="dxa"/>
                  <w:tcBorders>
                    <w:right w:val="nil"/>
                  </w:tcBorders>
                  <w:vAlign w:val="center"/>
                </w:tcPr>
                <w:p w14:paraId="51C34CFE">
                  <w:pPr>
                    <w:jc w:val="center"/>
                    <w:rPr>
                      <w:szCs w:val="21"/>
                    </w:rPr>
                  </w:pPr>
                  <w:r>
                    <w:rPr>
                      <w:szCs w:val="21"/>
                    </w:rPr>
                    <w:t>1.829</w:t>
                  </w:r>
                </w:p>
              </w:tc>
            </w:tr>
            <w:tr w14:paraId="00381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tcBorders>
                  <w:vAlign w:val="center"/>
                </w:tcPr>
                <w:p w14:paraId="4CE24D7E">
                  <w:pPr>
                    <w:jc w:val="center"/>
                    <w:rPr>
                      <w:szCs w:val="21"/>
                    </w:rPr>
                  </w:pPr>
                  <w:r>
                    <w:rPr>
                      <w:szCs w:val="21"/>
                    </w:rPr>
                    <w:t>粉尘粒径(</w:t>
                  </w:r>
                  <w:r>
                    <w:rPr>
                      <w:szCs w:val="21"/>
                    </w:rPr>
                    <w:sym w:font="Symbol" w:char="F06D"/>
                  </w:r>
                  <w:r>
                    <w:rPr>
                      <w:szCs w:val="21"/>
                    </w:rPr>
                    <w:t>m)</w:t>
                  </w:r>
                </w:p>
              </w:tc>
              <w:tc>
                <w:tcPr>
                  <w:tcW w:w="945" w:type="dxa"/>
                  <w:vAlign w:val="center"/>
                </w:tcPr>
                <w:p w14:paraId="2FC03DB9">
                  <w:pPr>
                    <w:jc w:val="center"/>
                    <w:rPr>
                      <w:szCs w:val="21"/>
                    </w:rPr>
                  </w:pPr>
                  <w:r>
                    <w:rPr>
                      <w:szCs w:val="21"/>
                    </w:rPr>
                    <w:t>450</w:t>
                  </w:r>
                </w:p>
              </w:tc>
              <w:tc>
                <w:tcPr>
                  <w:tcW w:w="898" w:type="dxa"/>
                  <w:vAlign w:val="center"/>
                </w:tcPr>
                <w:p w14:paraId="7EA18029">
                  <w:pPr>
                    <w:jc w:val="center"/>
                    <w:rPr>
                      <w:szCs w:val="21"/>
                    </w:rPr>
                  </w:pPr>
                  <w:r>
                    <w:rPr>
                      <w:szCs w:val="21"/>
                    </w:rPr>
                    <w:t>550</w:t>
                  </w:r>
                </w:p>
              </w:tc>
              <w:tc>
                <w:tcPr>
                  <w:tcW w:w="942" w:type="dxa"/>
                  <w:vAlign w:val="center"/>
                </w:tcPr>
                <w:p w14:paraId="0537159C">
                  <w:pPr>
                    <w:jc w:val="center"/>
                    <w:rPr>
                      <w:szCs w:val="21"/>
                    </w:rPr>
                  </w:pPr>
                  <w:r>
                    <w:rPr>
                      <w:szCs w:val="21"/>
                    </w:rPr>
                    <w:t>650</w:t>
                  </w:r>
                </w:p>
              </w:tc>
              <w:tc>
                <w:tcPr>
                  <w:tcW w:w="946" w:type="dxa"/>
                  <w:vAlign w:val="center"/>
                </w:tcPr>
                <w:p w14:paraId="4511D653">
                  <w:pPr>
                    <w:jc w:val="center"/>
                    <w:rPr>
                      <w:szCs w:val="21"/>
                    </w:rPr>
                  </w:pPr>
                  <w:r>
                    <w:rPr>
                      <w:szCs w:val="21"/>
                    </w:rPr>
                    <w:t>750</w:t>
                  </w:r>
                </w:p>
              </w:tc>
              <w:tc>
                <w:tcPr>
                  <w:tcW w:w="943" w:type="dxa"/>
                  <w:vAlign w:val="center"/>
                </w:tcPr>
                <w:p w14:paraId="70CF4185">
                  <w:pPr>
                    <w:jc w:val="center"/>
                    <w:rPr>
                      <w:szCs w:val="21"/>
                    </w:rPr>
                  </w:pPr>
                  <w:r>
                    <w:rPr>
                      <w:szCs w:val="21"/>
                    </w:rPr>
                    <w:t>850</w:t>
                  </w:r>
                </w:p>
              </w:tc>
              <w:tc>
                <w:tcPr>
                  <w:tcW w:w="941" w:type="dxa"/>
                  <w:vAlign w:val="center"/>
                </w:tcPr>
                <w:p w14:paraId="2F5284BE">
                  <w:pPr>
                    <w:jc w:val="center"/>
                    <w:rPr>
                      <w:szCs w:val="21"/>
                    </w:rPr>
                  </w:pPr>
                  <w:r>
                    <w:rPr>
                      <w:szCs w:val="21"/>
                    </w:rPr>
                    <w:t>950</w:t>
                  </w:r>
                </w:p>
              </w:tc>
              <w:tc>
                <w:tcPr>
                  <w:tcW w:w="946" w:type="dxa"/>
                  <w:tcBorders>
                    <w:right w:val="nil"/>
                  </w:tcBorders>
                  <w:vAlign w:val="center"/>
                </w:tcPr>
                <w:p w14:paraId="330B5817">
                  <w:pPr>
                    <w:jc w:val="center"/>
                    <w:rPr>
                      <w:szCs w:val="21"/>
                    </w:rPr>
                  </w:pPr>
                  <w:r>
                    <w:rPr>
                      <w:szCs w:val="21"/>
                    </w:rPr>
                    <w:t>1050</w:t>
                  </w:r>
                </w:p>
              </w:tc>
            </w:tr>
            <w:tr w14:paraId="71E33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606" w:type="dxa"/>
                  <w:tcBorders>
                    <w:left w:val="nil"/>
                    <w:bottom w:val="single" w:color="auto" w:sz="12" w:space="0"/>
                  </w:tcBorders>
                  <w:vAlign w:val="center"/>
                </w:tcPr>
                <w:p w14:paraId="438EDE06">
                  <w:pPr>
                    <w:jc w:val="center"/>
                    <w:rPr>
                      <w:szCs w:val="21"/>
                    </w:rPr>
                  </w:pPr>
                  <w:r>
                    <w:rPr>
                      <w:szCs w:val="21"/>
                    </w:rPr>
                    <w:t>沉降速度(m/s)</w:t>
                  </w:r>
                </w:p>
              </w:tc>
              <w:tc>
                <w:tcPr>
                  <w:tcW w:w="945" w:type="dxa"/>
                  <w:tcBorders>
                    <w:bottom w:val="single" w:color="auto" w:sz="12" w:space="0"/>
                  </w:tcBorders>
                  <w:vAlign w:val="center"/>
                </w:tcPr>
                <w:p w14:paraId="10657C3D">
                  <w:pPr>
                    <w:jc w:val="center"/>
                    <w:rPr>
                      <w:szCs w:val="21"/>
                    </w:rPr>
                  </w:pPr>
                  <w:r>
                    <w:rPr>
                      <w:szCs w:val="21"/>
                    </w:rPr>
                    <w:t>2.211</w:t>
                  </w:r>
                </w:p>
              </w:tc>
              <w:tc>
                <w:tcPr>
                  <w:tcW w:w="898" w:type="dxa"/>
                  <w:tcBorders>
                    <w:bottom w:val="single" w:color="auto" w:sz="12" w:space="0"/>
                  </w:tcBorders>
                  <w:vAlign w:val="center"/>
                </w:tcPr>
                <w:p w14:paraId="3DB5039A">
                  <w:pPr>
                    <w:jc w:val="center"/>
                    <w:rPr>
                      <w:szCs w:val="21"/>
                    </w:rPr>
                  </w:pPr>
                  <w:r>
                    <w:rPr>
                      <w:szCs w:val="21"/>
                    </w:rPr>
                    <w:t>2.614</w:t>
                  </w:r>
                </w:p>
              </w:tc>
              <w:tc>
                <w:tcPr>
                  <w:tcW w:w="942" w:type="dxa"/>
                  <w:tcBorders>
                    <w:bottom w:val="single" w:color="auto" w:sz="12" w:space="0"/>
                  </w:tcBorders>
                  <w:vAlign w:val="center"/>
                </w:tcPr>
                <w:p w14:paraId="0F6F1C4B">
                  <w:pPr>
                    <w:jc w:val="center"/>
                    <w:rPr>
                      <w:szCs w:val="21"/>
                    </w:rPr>
                  </w:pPr>
                  <w:r>
                    <w:rPr>
                      <w:szCs w:val="21"/>
                    </w:rPr>
                    <w:t>3.016</w:t>
                  </w:r>
                </w:p>
              </w:tc>
              <w:tc>
                <w:tcPr>
                  <w:tcW w:w="946" w:type="dxa"/>
                  <w:tcBorders>
                    <w:bottom w:val="single" w:color="auto" w:sz="12" w:space="0"/>
                  </w:tcBorders>
                  <w:vAlign w:val="center"/>
                </w:tcPr>
                <w:p w14:paraId="4C372BB1">
                  <w:pPr>
                    <w:jc w:val="center"/>
                    <w:rPr>
                      <w:szCs w:val="21"/>
                    </w:rPr>
                  </w:pPr>
                  <w:r>
                    <w:rPr>
                      <w:szCs w:val="21"/>
                    </w:rPr>
                    <w:t>3.418</w:t>
                  </w:r>
                </w:p>
              </w:tc>
              <w:tc>
                <w:tcPr>
                  <w:tcW w:w="943" w:type="dxa"/>
                  <w:tcBorders>
                    <w:bottom w:val="single" w:color="auto" w:sz="12" w:space="0"/>
                  </w:tcBorders>
                  <w:vAlign w:val="center"/>
                </w:tcPr>
                <w:p w14:paraId="1303F0A9">
                  <w:pPr>
                    <w:jc w:val="center"/>
                    <w:rPr>
                      <w:szCs w:val="21"/>
                    </w:rPr>
                  </w:pPr>
                  <w:r>
                    <w:rPr>
                      <w:szCs w:val="21"/>
                    </w:rPr>
                    <w:t>3.820</w:t>
                  </w:r>
                </w:p>
              </w:tc>
              <w:tc>
                <w:tcPr>
                  <w:tcW w:w="941" w:type="dxa"/>
                  <w:tcBorders>
                    <w:bottom w:val="single" w:color="auto" w:sz="12" w:space="0"/>
                  </w:tcBorders>
                  <w:vAlign w:val="center"/>
                </w:tcPr>
                <w:p w14:paraId="142BF4F9">
                  <w:pPr>
                    <w:jc w:val="center"/>
                    <w:rPr>
                      <w:szCs w:val="21"/>
                    </w:rPr>
                  </w:pPr>
                  <w:r>
                    <w:rPr>
                      <w:szCs w:val="21"/>
                    </w:rPr>
                    <w:t>4.222</w:t>
                  </w:r>
                </w:p>
              </w:tc>
              <w:tc>
                <w:tcPr>
                  <w:tcW w:w="946" w:type="dxa"/>
                  <w:tcBorders>
                    <w:bottom w:val="single" w:color="auto" w:sz="12" w:space="0"/>
                    <w:right w:val="nil"/>
                  </w:tcBorders>
                  <w:vAlign w:val="center"/>
                </w:tcPr>
                <w:p w14:paraId="7EF80297">
                  <w:pPr>
                    <w:jc w:val="center"/>
                    <w:rPr>
                      <w:szCs w:val="21"/>
                    </w:rPr>
                  </w:pPr>
                  <w:r>
                    <w:rPr>
                      <w:szCs w:val="21"/>
                    </w:rPr>
                    <w:t>4.624</w:t>
                  </w:r>
                </w:p>
              </w:tc>
            </w:tr>
          </w:tbl>
          <w:p w14:paraId="5302D61D">
            <w:pPr>
              <w:pStyle w:val="62"/>
              <w:ind w:firstLine="480"/>
              <w:rPr>
                <w:rFonts w:hAnsi="宋体" w:cs="Times New Roman"/>
              </w:rPr>
            </w:pPr>
            <w:r>
              <w:rPr>
                <w:rFonts w:hint="eastAsia" w:hAnsi="宋体" w:cs="Times New Roman"/>
              </w:rPr>
              <w:t>（</w:t>
            </w:r>
            <w:r>
              <w:rPr>
                <w:rFonts w:hAnsi="宋体" w:cs="Times New Roman"/>
              </w:rPr>
              <w:t>4</w:t>
            </w:r>
            <w:r>
              <w:rPr>
                <w:rFonts w:hint="eastAsia" w:hAnsi="宋体" w:cs="Times New Roman"/>
              </w:rPr>
              <w:t>）土建扬尘</w:t>
            </w:r>
          </w:p>
          <w:p w14:paraId="0459FCC8">
            <w:pPr>
              <w:pStyle w:val="62"/>
              <w:ind w:firstLine="480"/>
              <w:rPr>
                <w:rFonts w:hAnsi="宋体" w:cs="Times New Roman"/>
              </w:rPr>
            </w:pPr>
            <w:r>
              <w:rPr>
                <w:rFonts w:hint="eastAsia" w:hAnsi="宋体" w:cs="Times New Roman"/>
              </w:rPr>
              <w:t>土建扬尘主要为在大风天气时，没有采取任何措施的情况下进行大量的土石的填、埋、搬、运等作业，这些作业将产生大量的扬尘。通过洒水、围挡施工、大风天气禁止施工情况下，可减少土建扬尘的产生。</w:t>
            </w:r>
          </w:p>
          <w:p w14:paraId="33E3E616">
            <w:pPr>
              <w:pStyle w:val="62"/>
              <w:ind w:firstLine="480"/>
              <w:rPr>
                <w:rFonts w:hAnsi="宋体" w:cs="Times New Roman"/>
              </w:rPr>
            </w:pPr>
            <w:r>
              <w:rPr>
                <w:rFonts w:hAnsi="宋体" w:cs="Times New Roman"/>
              </w:rPr>
              <w:t>（</w:t>
            </w:r>
            <w:r>
              <w:rPr>
                <w:rFonts w:hint="eastAsia" w:hAnsi="宋体" w:cs="Times New Roman"/>
                <w:lang w:val="en-US" w:eastAsia="zh-CN"/>
              </w:rPr>
              <w:t>5</w:t>
            </w:r>
            <w:r>
              <w:rPr>
                <w:rFonts w:hAnsi="宋体" w:cs="Times New Roman"/>
              </w:rPr>
              <w:t>）钻爆粉尘</w:t>
            </w:r>
          </w:p>
          <w:p w14:paraId="7A491BB8">
            <w:pPr>
              <w:pStyle w:val="62"/>
              <w:ind w:firstLine="480"/>
              <w:rPr>
                <w:rFonts w:hAnsi="宋体" w:cs="Times New Roman"/>
              </w:rPr>
            </w:pPr>
            <w:r>
              <w:rPr>
                <w:rFonts w:hAnsi="宋体" w:cs="Times New Roman"/>
              </w:rPr>
              <w:t>钻爆粉尘来源于</w:t>
            </w:r>
            <w:r>
              <w:rPr>
                <w:rFonts w:hint="eastAsia" w:hAnsi="宋体" w:cs="Times New Roman"/>
              </w:rPr>
              <w:t>施工过程</w:t>
            </w:r>
            <w:r>
              <w:rPr>
                <w:rFonts w:hAnsi="宋体" w:cs="Times New Roman"/>
              </w:rPr>
              <w:t>钻孔、爆破产生的粉尘</w:t>
            </w:r>
            <w:r>
              <w:rPr>
                <w:rFonts w:hint="eastAsia" w:hAnsi="宋体" w:cs="Times New Roman"/>
              </w:rPr>
              <w:t>，</w:t>
            </w:r>
            <w:r>
              <w:rPr>
                <w:rFonts w:hAnsi="宋体" w:cs="Times New Roman"/>
              </w:rPr>
              <w:t>钻孔时需要水冷，产生的粉尘量较少；爆破在短时间内可产生较大的粉尘污染。</w:t>
            </w:r>
          </w:p>
          <w:p w14:paraId="5DB05102">
            <w:pPr>
              <w:pStyle w:val="62"/>
              <w:ind w:firstLine="480"/>
              <w:rPr>
                <w:rFonts w:hAnsi="宋体" w:cs="Times New Roman"/>
              </w:rPr>
            </w:pPr>
            <w:r>
              <w:rPr>
                <w:rFonts w:hAnsi="宋体" w:cs="Times New Roman"/>
              </w:rPr>
              <w:t>为减少施工期扬尘的产生，必须对施工区道路进行管理、养护、定时进行洒水，使路面保持平坦、无损、清洁，处于良好运行状况；</w:t>
            </w:r>
            <w:r>
              <w:rPr>
                <w:rFonts w:hint="eastAsia" w:hAnsi="宋体" w:cs="Times New Roman"/>
              </w:rPr>
              <w:t>运输车辆进入场区范围内后降低车速，同时可适当采取洒水降尘措施</w:t>
            </w:r>
            <w:r>
              <w:rPr>
                <w:rFonts w:hAnsi="宋体" w:cs="Times New Roman"/>
              </w:rPr>
              <w:t>。对回填土、废弃物和临时堆料应在指定的堆放点规范堆存，场地周围采取围挡措施，防止大风引起的扬尘而造成污染。</w:t>
            </w:r>
          </w:p>
          <w:p w14:paraId="1CC31051">
            <w:pPr>
              <w:pStyle w:val="62"/>
              <w:ind w:firstLine="480"/>
              <w:jc w:val="left"/>
              <w:rPr>
                <w:rFonts w:hAnsi="宋体" w:cs="Times New Roman"/>
              </w:rPr>
            </w:pPr>
            <w:r>
              <w:rPr>
                <w:rFonts w:hAnsi="宋体" w:cs="Times New Roman"/>
              </w:rPr>
              <w:t>钻爆粉尘来源于</w:t>
            </w:r>
            <w:r>
              <w:rPr>
                <w:rFonts w:hint="eastAsia" w:hAnsi="宋体" w:cs="Times New Roman"/>
              </w:rPr>
              <w:t>施工过程</w:t>
            </w:r>
            <w:r>
              <w:rPr>
                <w:rFonts w:hAnsi="宋体" w:cs="Times New Roman"/>
              </w:rPr>
              <w:t>钻孔、爆破产生的粉尘。钻孔时需要水冷，产生的粉尘量较少；爆破在短时间内可产生较大的粉尘污染，环评建议在爆破之后通过洒水作业，可有效减少粉尘产生量，同时爆破为间断施工，</w:t>
            </w:r>
            <w:r>
              <w:rPr>
                <w:rFonts w:hint="eastAsia" w:hAnsi="宋体" w:cs="Times New Roman"/>
              </w:rPr>
              <w:t>且</w:t>
            </w:r>
            <w:r>
              <w:rPr>
                <w:rFonts w:hAnsi="宋体" w:cs="Times New Roman"/>
              </w:rPr>
              <w:t>位于山地环境，环境空气稀释能力较强，植被较高，爆破粉尘不会对区域环境空气产生明显影响。</w:t>
            </w:r>
          </w:p>
          <w:p w14:paraId="2ED6F9E9">
            <w:pPr>
              <w:adjustRightInd w:val="0"/>
              <w:snapToGrid w:val="0"/>
              <w:spacing w:line="360" w:lineRule="auto"/>
              <w:ind w:firstLine="480" w:firstLineChars="200"/>
              <w:jc w:val="left"/>
              <w:rPr>
                <w:rFonts w:hAnsi="宋体"/>
                <w:sz w:val="24"/>
              </w:rPr>
            </w:pPr>
            <w:r>
              <w:rPr>
                <w:rFonts w:hint="eastAsia" w:hAnsi="宋体"/>
                <w:sz w:val="24"/>
              </w:rPr>
              <w:t>综上所述，若施工单位严格按照环评提出施工期粉尘防治措施严格执行，项目施工期粉尘将得到有效控制，施工期粉尘排放影响较小</w:t>
            </w:r>
            <w:r>
              <w:rPr>
                <w:rFonts w:hAnsi="宋体"/>
                <w:sz w:val="24"/>
              </w:rPr>
              <w:t>。</w:t>
            </w:r>
          </w:p>
          <w:p w14:paraId="0C58BF42">
            <w:pPr>
              <w:adjustRightInd w:val="0"/>
              <w:snapToGrid w:val="0"/>
              <w:spacing w:line="360" w:lineRule="auto"/>
              <w:outlineLvl w:val="1"/>
              <w:rPr>
                <w:b/>
                <w:bCs/>
                <w:sz w:val="24"/>
              </w:rPr>
            </w:pPr>
            <w:r>
              <w:rPr>
                <w:b/>
                <w:bCs/>
                <w:sz w:val="24"/>
              </w:rPr>
              <w:t>4.3</w:t>
            </w:r>
            <w:r>
              <w:rPr>
                <w:rFonts w:hint="eastAsia"/>
                <w:b/>
                <w:bCs/>
                <w:sz w:val="24"/>
              </w:rPr>
              <w:t>施工期废水环境影响分析</w:t>
            </w:r>
          </w:p>
          <w:p w14:paraId="7BCF72E6">
            <w:pPr>
              <w:pStyle w:val="62"/>
              <w:ind w:firstLine="480"/>
              <w:rPr>
                <w:rFonts w:hAnsi="宋体" w:cs="Times New Roman"/>
              </w:rPr>
            </w:pPr>
            <w:r>
              <w:rPr>
                <w:rFonts w:hAnsi="宋体" w:cs="Times New Roman"/>
              </w:rPr>
              <w:t>（1）</w:t>
            </w:r>
            <w:r>
              <w:rPr>
                <w:rFonts w:hint="eastAsia" w:hAnsi="宋体" w:cs="Times New Roman"/>
              </w:rPr>
              <w:t>施工</w:t>
            </w:r>
            <w:r>
              <w:rPr>
                <w:rFonts w:hAnsi="宋体" w:cs="Times New Roman"/>
              </w:rPr>
              <w:t>废水</w:t>
            </w:r>
          </w:p>
          <w:p w14:paraId="71277D6C">
            <w:pPr>
              <w:pStyle w:val="62"/>
              <w:ind w:firstLine="480"/>
              <w:rPr>
                <w:rFonts w:hAnsi="宋体" w:cs="Times New Roman"/>
              </w:rPr>
            </w:pPr>
            <w:r>
              <w:rPr>
                <w:rFonts w:hint="eastAsia" w:hAnsi="宋体" w:cs="Times New Roman"/>
              </w:rPr>
              <w:t>施</w:t>
            </w:r>
            <w:r>
              <w:rPr>
                <w:rFonts w:hAnsi="宋体" w:cs="Times New Roman"/>
              </w:rPr>
              <w:t>工期的生产废水主要为施工机械设备、运输车辆的清洗废水，</w:t>
            </w:r>
            <w:r>
              <w:rPr>
                <w:rFonts w:hint="eastAsia" w:hAnsi="宋体" w:cs="Times New Roman"/>
              </w:rPr>
              <w:t>和混凝土拌合系统冲洗废水，施工期</w:t>
            </w:r>
            <w:r>
              <w:rPr>
                <w:rFonts w:hAnsi="宋体" w:cs="Times New Roman"/>
              </w:rPr>
              <w:t>废水</w:t>
            </w:r>
            <w:r>
              <w:rPr>
                <w:rFonts w:hint="eastAsia" w:hAnsi="宋体" w:cs="Times New Roman"/>
              </w:rPr>
              <w:t>均</w:t>
            </w:r>
            <w:r>
              <w:rPr>
                <w:rFonts w:hAnsi="宋体" w:cs="Times New Roman"/>
              </w:rPr>
              <w:t>为间歇排放，废水中的主要污染物为SS和石油类。施工期</w:t>
            </w:r>
            <w:r>
              <w:rPr>
                <w:rFonts w:hint="eastAsia" w:hAnsi="宋体" w:cs="Times New Roman"/>
                <w:lang w:val="en-US" w:eastAsia="zh-CN"/>
              </w:rPr>
              <w:t>的</w:t>
            </w:r>
            <w:r>
              <w:rPr>
                <w:rFonts w:hAnsi="宋体" w:cs="Times New Roman"/>
              </w:rPr>
              <w:t>施工废水经隔油、沉淀处理后</w:t>
            </w:r>
            <w:r>
              <w:rPr>
                <w:rFonts w:hint="eastAsia" w:hAnsi="宋体" w:cs="Times New Roman"/>
              </w:rPr>
              <w:t>用于车辆清洗或道路区洒水抑尘，不外排地表水体，施工期施工废水对地表水环境</w:t>
            </w:r>
            <w:r>
              <w:rPr>
                <w:rFonts w:hAnsi="宋体" w:cs="Times New Roman"/>
              </w:rPr>
              <w:t>影响</w:t>
            </w:r>
            <w:r>
              <w:rPr>
                <w:rFonts w:hint="eastAsia" w:hAnsi="宋体" w:cs="Times New Roman"/>
              </w:rPr>
              <w:t>较小</w:t>
            </w:r>
            <w:r>
              <w:rPr>
                <w:rFonts w:hAnsi="宋体" w:cs="Times New Roman"/>
              </w:rPr>
              <w:t>。</w:t>
            </w:r>
          </w:p>
          <w:p w14:paraId="4F3D4267">
            <w:pPr>
              <w:pStyle w:val="62"/>
              <w:ind w:firstLine="480"/>
              <w:rPr>
                <w:rFonts w:hint="default" w:hAnsi="宋体" w:cs="Times New Roman"/>
                <w:color w:val="FF0000"/>
                <w:u w:val="none"/>
                <w:lang w:val="en-US" w:eastAsia="zh-CN"/>
              </w:rPr>
            </w:pPr>
            <w:r>
              <w:rPr>
                <w:rFonts w:hint="eastAsia" w:hAnsi="宋体" w:cs="Times New Roman"/>
                <w:color w:val="FF0000"/>
                <w:u w:val="none"/>
                <w:lang w:val="en-US" w:eastAsia="zh-CN"/>
              </w:rPr>
              <w:t>根据前述分析，</w:t>
            </w:r>
            <w:r>
              <w:rPr>
                <w:rFonts w:hint="eastAsia" w:hAnsi="宋体" w:cs="Times New Roman"/>
                <w:color w:val="FF0000"/>
                <w:u w:val="none"/>
              </w:rPr>
              <w:t>本项目</w:t>
            </w:r>
            <w:r>
              <w:rPr>
                <w:rFonts w:hint="eastAsia" w:hAnsi="宋体" w:cs="Times New Roman"/>
                <w:color w:val="FF0000"/>
                <w:u w:val="none"/>
                <w:lang w:val="en-US" w:eastAsia="zh-CN"/>
              </w:rPr>
              <w:t>DZ17与三都镇地下水水源保护区无水力联系。施工废水如不及时收集和处理，随意漫流，可能对凉水冲水库、芷江水库、杨梅岭水库以及东山冲水库的水质造成不利影响，进而影响各水库的灌溉功能。</w:t>
            </w:r>
          </w:p>
          <w:p w14:paraId="0C306873">
            <w:pPr>
              <w:pStyle w:val="62"/>
              <w:ind w:firstLine="480"/>
              <w:rPr>
                <w:rFonts w:hAnsi="宋体" w:cs="Times New Roman"/>
                <w:color w:val="FF0000"/>
              </w:rPr>
            </w:pPr>
            <w:r>
              <w:rPr>
                <w:rFonts w:hAnsi="宋体" w:cs="Times New Roman"/>
                <w:color w:val="FF0000"/>
              </w:rPr>
              <w:t>为确保</w:t>
            </w:r>
            <w:r>
              <w:rPr>
                <w:rFonts w:hint="eastAsia" w:hAnsi="宋体" w:cs="Times New Roman"/>
                <w:color w:val="FF0000"/>
                <w:lang w:val="en-US" w:eastAsia="zh-CN"/>
              </w:rPr>
              <w:t>各水库</w:t>
            </w:r>
            <w:r>
              <w:rPr>
                <w:rFonts w:hAnsi="宋体" w:cs="Times New Roman"/>
                <w:color w:val="FF0000"/>
              </w:rPr>
              <w:t>不受工程施工影响，建设单位施工工程中应采取必要的措施加以保护。</w:t>
            </w:r>
          </w:p>
          <w:p w14:paraId="3AEB2277">
            <w:pPr>
              <w:pStyle w:val="62"/>
              <w:ind w:firstLine="480"/>
              <w:rPr>
                <w:rFonts w:hAnsi="宋体" w:cs="Times New Roman"/>
                <w:color w:val="FF0000"/>
              </w:rPr>
            </w:pPr>
            <w:r>
              <w:rPr>
                <w:rFonts w:hAnsi="宋体" w:cs="Times New Roman"/>
                <w:color w:val="FF0000"/>
              </w:rPr>
              <w:t>①严格划定施工边界，</w:t>
            </w:r>
            <w:r>
              <w:rPr>
                <w:rFonts w:hint="eastAsia" w:hAnsi="宋体" w:cs="Times New Roman"/>
                <w:color w:val="FF0000"/>
              </w:rPr>
              <w:t>严禁任意扩大施工区域，严禁野蛮施工</w:t>
            </w:r>
            <w:r>
              <w:rPr>
                <w:rFonts w:hAnsi="宋体" w:cs="Times New Roman"/>
                <w:color w:val="FF0000"/>
              </w:rPr>
              <w:t>。</w:t>
            </w:r>
          </w:p>
          <w:p w14:paraId="4096D1D6">
            <w:pPr>
              <w:pStyle w:val="62"/>
              <w:ind w:firstLine="480"/>
              <w:rPr>
                <w:rFonts w:hAnsi="宋体" w:cs="Times New Roman"/>
                <w:color w:val="FF0000"/>
              </w:rPr>
            </w:pPr>
            <w:r>
              <w:rPr>
                <w:rFonts w:hAnsi="宋体" w:cs="Times New Roman"/>
                <w:color w:val="FF0000"/>
              </w:rPr>
              <w:t>②临近</w:t>
            </w:r>
            <w:r>
              <w:rPr>
                <w:rFonts w:hint="eastAsia" w:hAnsi="宋体" w:cs="Times New Roman"/>
                <w:color w:val="FF0000"/>
                <w:lang w:val="en-US" w:eastAsia="zh-CN"/>
              </w:rPr>
              <w:t>水库</w:t>
            </w:r>
            <w:r>
              <w:rPr>
                <w:rFonts w:hAnsi="宋体" w:cs="Times New Roman"/>
                <w:color w:val="FF0000"/>
              </w:rPr>
              <w:t>的工程施工时应设置截、排、引流以及拦挡措施，确保所有废水不进入</w:t>
            </w:r>
            <w:r>
              <w:rPr>
                <w:rFonts w:hint="eastAsia" w:hAnsi="宋体" w:cs="Times New Roman"/>
                <w:color w:val="FF0000"/>
              </w:rPr>
              <w:t>地表水环境</w:t>
            </w:r>
            <w:r>
              <w:rPr>
                <w:rFonts w:hAnsi="宋体" w:cs="Times New Roman"/>
                <w:color w:val="FF0000"/>
              </w:rPr>
              <w:t>。</w:t>
            </w:r>
          </w:p>
          <w:p w14:paraId="662CD187">
            <w:pPr>
              <w:pStyle w:val="62"/>
              <w:ind w:firstLine="480"/>
              <w:rPr>
                <w:rFonts w:hAnsi="宋体" w:cs="Times New Roman"/>
                <w:color w:val="FF0000"/>
              </w:rPr>
            </w:pPr>
            <w:r>
              <w:rPr>
                <w:rFonts w:hAnsi="宋体" w:cs="Times New Roman"/>
                <w:color w:val="FF0000"/>
              </w:rPr>
              <w:t>③水库附近工程施工期间做到边施工边绿化，土方开挖、表土堆存等应合理有序，尽可能选择降雨较少的旱季施工，最大限度减少水土流失发生的可能性，同时应做好工程加固措施，以防止山体滑坡等事故风险发生。</w:t>
            </w:r>
          </w:p>
          <w:p w14:paraId="357E7912">
            <w:pPr>
              <w:pStyle w:val="62"/>
              <w:ind w:firstLine="480"/>
              <w:rPr>
                <w:rFonts w:hAnsi="宋体" w:cs="Times New Roman"/>
                <w:color w:val="FF0000"/>
              </w:rPr>
            </w:pPr>
            <w:r>
              <w:rPr>
                <w:rFonts w:hAnsi="宋体" w:cs="Times New Roman"/>
                <w:color w:val="FF0000"/>
              </w:rPr>
              <w:fldChar w:fldCharType="begin"/>
            </w:r>
            <w:r>
              <w:rPr>
                <w:rFonts w:hAnsi="宋体" w:cs="Times New Roman"/>
                <w:color w:val="FF0000"/>
              </w:rPr>
              <w:instrText xml:space="preserve"> = 4 \* GB3 \* MERGEFORMAT </w:instrText>
            </w:r>
            <w:r>
              <w:rPr>
                <w:rFonts w:hAnsi="宋体" w:cs="Times New Roman"/>
                <w:color w:val="FF0000"/>
              </w:rPr>
              <w:fldChar w:fldCharType="separate"/>
            </w:r>
            <w:r>
              <w:rPr>
                <w:rFonts w:hAnsi="宋体" w:cs="Times New Roman"/>
                <w:color w:val="FF0000"/>
              </w:rPr>
              <w:t>④</w:t>
            </w:r>
            <w:r>
              <w:rPr>
                <w:rFonts w:hAnsi="宋体" w:cs="Times New Roman"/>
                <w:color w:val="FF0000"/>
              </w:rPr>
              <w:fldChar w:fldCharType="end"/>
            </w:r>
            <w:r>
              <w:rPr>
                <w:rFonts w:hAnsi="宋体" w:cs="Times New Roman"/>
                <w:color w:val="FF0000"/>
              </w:rPr>
              <w:t>运输车辆</w:t>
            </w:r>
            <w:r>
              <w:rPr>
                <w:rFonts w:hint="eastAsia" w:hAnsi="宋体" w:cs="Times New Roman"/>
                <w:color w:val="FF0000"/>
              </w:rPr>
              <w:t>运输</w:t>
            </w:r>
            <w:r>
              <w:rPr>
                <w:rFonts w:hAnsi="宋体" w:cs="Times New Roman"/>
                <w:color w:val="FF0000"/>
              </w:rPr>
              <w:t>时应减速行驶，防止建筑材料和弃渣掉落。施工弃渣应及时清运，</w:t>
            </w:r>
            <w:r>
              <w:rPr>
                <w:rFonts w:hint="eastAsia" w:hAnsi="宋体" w:cs="Times New Roman"/>
                <w:color w:val="FF0000"/>
              </w:rPr>
              <w:t>禁止乱弃。</w:t>
            </w:r>
          </w:p>
          <w:p w14:paraId="5D23FC75">
            <w:pPr>
              <w:pStyle w:val="62"/>
              <w:ind w:firstLine="480"/>
              <w:rPr>
                <w:rFonts w:hAnsi="宋体" w:cs="Times New Roman"/>
              </w:rPr>
            </w:pPr>
            <w:r>
              <w:rPr>
                <w:rFonts w:hAnsi="宋体" w:cs="Times New Roman"/>
              </w:rPr>
              <w:t>（2）生活污水</w:t>
            </w:r>
          </w:p>
          <w:p w14:paraId="1FBA9BDF">
            <w:pPr>
              <w:pStyle w:val="62"/>
              <w:ind w:firstLine="480"/>
              <w:rPr>
                <w:rFonts w:hAnsi="宋体" w:cs="Times New Roman"/>
              </w:rPr>
            </w:pPr>
            <w:r>
              <w:rPr>
                <w:rFonts w:hAnsi="宋体" w:cs="Times New Roman"/>
              </w:rPr>
              <w:t>施工</w:t>
            </w:r>
            <w:r>
              <w:rPr>
                <w:rFonts w:hint="eastAsia" w:hAnsi="宋体" w:cs="Times New Roman"/>
                <w:lang w:val="en-US" w:eastAsia="zh-CN"/>
              </w:rPr>
              <w:t>区</w:t>
            </w:r>
            <w:r>
              <w:rPr>
                <w:rFonts w:hint="eastAsia" w:hAnsi="宋体" w:cs="Times New Roman"/>
              </w:rPr>
              <w:t>设临时旱厕，粪污集中收集后定期清理，用于周边旱地、农田施肥，不外排。其他生活污水污染物含量较低，经沉淀池处理后浇灌周边林地，对环境影响较小。</w:t>
            </w:r>
          </w:p>
          <w:p w14:paraId="1E9F2DFE">
            <w:pPr>
              <w:adjustRightInd w:val="0"/>
              <w:snapToGrid w:val="0"/>
              <w:spacing w:line="360" w:lineRule="auto"/>
              <w:ind w:firstLine="480" w:firstLineChars="200"/>
              <w:rPr>
                <w:rFonts w:hAnsi="宋体"/>
                <w:sz w:val="24"/>
              </w:rPr>
            </w:pPr>
            <w:r>
              <w:rPr>
                <w:sz w:val="24"/>
              </w:rPr>
              <w:t>综上所述，在严格落实本报告提出的水污染防治措施后，本项目的建设对周边地表水环境影响很小。</w:t>
            </w:r>
          </w:p>
          <w:p w14:paraId="6C718419">
            <w:pPr>
              <w:adjustRightInd w:val="0"/>
              <w:snapToGrid w:val="0"/>
              <w:spacing w:line="360" w:lineRule="auto"/>
              <w:outlineLvl w:val="1"/>
              <w:rPr>
                <w:b/>
                <w:bCs/>
                <w:sz w:val="24"/>
              </w:rPr>
            </w:pPr>
            <w:r>
              <w:rPr>
                <w:b/>
                <w:bCs/>
                <w:sz w:val="24"/>
              </w:rPr>
              <w:t>4.4</w:t>
            </w:r>
            <w:r>
              <w:rPr>
                <w:rFonts w:hint="eastAsia"/>
                <w:b/>
                <w:bCs/>
                <w:sz w:val="24"/>
              </w:rPr>
              <w:t>施工期声环境影响分析</w:t>
            </w:r>
          </w:p>
          <w:p w14:paraId="13315A13">
            <w:pPr>
              <w:pStyle w:val="59"/>
              <w:ind w:firstLine="480"/>
              <w:rPr>
                <w:rFonts w:cs="Times New Roman"/>
              </w:rPr>
            </w:pPr>
            <w:r>
              <w:rPr>
                <w:rFonts w:hint="eastAsia" w:cs="Times New Roman"/>
                <w:lang w:eastAsia="zh-CN"/>
              </w:rPr>
              <w:t>（</w:t>
            </w:r>
            <w:r>
              <w:rPr>
                <w:rFonts w:hint="eastAsia" w:cs="Times New Roman"/>
                <w:lang w:val="en-US" w:eastAsia="zh-CN"/>
              </w:rPr>
              <w:t>1</w:t>
            </w:r>
            <w:r>
              <w:rPr>
                <w:rFonts w:hint="eastAsia" w:cs="Times New Roman"/>
                <w:lang w:eastAsia="zh-CN"/>
              </w:rPr>
              <w:t>）</w:t>
            </w:r>
            <w:r>
              <w:rPr>
                <w:rFonts w:cs="Times New Roman"/>
              </w:rPr>
              <w:t>施工机械噪声影响范围预测</w:t>
            </w:r>
          </w:p>
          <w:p w14:paraId="604F8FE9">
            <w:pPr>
              <w:pStyle w:val="59"/>
              <w:ind w:firstLine="480"/>
              <w:rPr>
                <w:rFonts w:cs="Times New Roman"/>
              </w:rPr>
            </w:pPr>
            <w:r>
              <w:rPr>
                <w:rFonts w:cs="Times New Roman"/>
              </w:rPr>
              <w:t>工程施工使用的机械设备运行产生噪声，其声级约在85～105dB(A)范围内。对于施工噪声的衰减计算采用的无指向性点声源的几何发散衰减的基本公式：</w:t>
            </w:r>
          </w:p>
          <w:p w14:paraId="199A6B85">
            <w:pPr>
              <w:pStyle w:val="59"/>
              <w:ind w:firstLine="480"/>
              <w:rPr>
                <w:rFonts w:cs="Times New Roman"/>
              </w:rPr>
            </w:pPr>
            <w:r>
              <w:rPr>
                <w:rFonts w:cs="Times New Roman"/>
              </w:rPr>
              <w:t>L(r)=L(r</w:t>
            </w:r>
            <w:r>
              <w:rPr>
                <w:rFonts w:cs="Times New Roman"/>
                <w:vertAlign w:val="subscript"/>
              </w:rPr>
              <w:t>0</w:t>
            </w:r>
            <w:r>
              <w:rPr>
                <w:rFonts w:cs="Times New Roman"/>
              </w:rPr>
              <w:t>)-20lg(r/r</w:t>
            </w:r>
            <w:r>
              <w:rPr>
                <w:rFonts w:cs="Times New Roman"/>
                <w:vertAlign w:val="subscript"/>
              </w:rPr>
              <w:t>0</w:t>
            </w:r>
            <w:r>
              <w:rPr>
                <w:rFonts w:cs="Times New Roman"/>
              </w:rPr>
              <w:t xml:space="preserve">)                                       </w:t>
            </w:r>
          </w:p>
          <w:p w14:paraId="39EA46A2">
            <w:pPr>
              <w:pStyle w:val="59"/>
              <w:ind w:firstLine="480"/>
              <w:rPr>
                <w:rFonts w:cs="Times New Roman"/>
              </w:rPr>
            </w:pPr>
            <w:r>
              <w:rPr>
                <w:rFonts w:cs="Times New Roman"/>
              </w:rPr>
              <w:t>式中：L(r)：距声源r(m)处的噪声值，dB(A)；</w:t>
            </w:r>
          </w:p>
          <w:p w14:paraId="0A159FFD">
            <w:pPr>
              <w:pStyle w:val="59"/>
              <w:ind w:firstLine="480"/>
              <w:rPr>
                <w:rFonts w:cs="Times New Roman"/>
              </w:rPr>
            </w:pPr>
            <w:r>
              <w:rPr>
                <w:rFonts w:cs="Times New Roman"/>
              </w:rPr>
              <w:t xml:space="preserve">      L(r</w:t>
            </w:r>
            <w:r>
              <w:rPr>
                <w:rFonts w:cs="Times New Roman"/>
                <w:vertAlign w:val="subscript"/>
              </w:rPr>
              <w:t>0</w:t>
            </w:r>
            <w:r>
              <w:rPr>
                <w:rFonts w:cs="Times New Roman"/>
              </w:rPr>
              <w:t>)：距声源r</w:t>
            </w:r>
            <w:r>
              <w:rPr>
                <w:rFonts w:cs="Times New Roman"/>
                <w:vertAlign w:val="subscript"/>
              </w:rPr>
              <w:t>0</w:t>
            </w:r>
            <w:r>
              <w:rPr>
                <w:rFonts w:cs="Times New Roman"/>
              </w:rPr>
              <w:t>(m)处的噪声值；</w:t>
            </w:r>
          </w:p>
          <w:p w14:paraId="252ADF59">
            <w:pPr>
              <w:pStyle w:val="59"/>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cs="Times New Roman"/>
              </w:rPr>
            </w:pPr>
            <w:r>
              <w:rPr>
                <w:rFonts w:cs="Times New Roman"/>
              </w:rPr>
              <w:t>根据公式对机械设备运行噪声衰减值计算，预测结果见表4</w:t>
            </w:r>
            <w:r>
              <w:rPr>
                <w:rFonts w:hint="eastAsia" w:cs="Times New Roman"/>
                <w:lang w:val="en-US" w:eastAsia="zh-CN"/>
              </w:rPr>
              <w:t>-</w:t>
            </w:r>
            <w:r>
              <w:rPr>
                <w:rFonts w:cs="Times New Roman"/>
              </w:rPr>
              <w:t>4。</w:t>
            </w:r>
          </w:p>
          <w:p w14:paraId="1FB2C0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szCs w:val="21"/>
              </w:rPr>
            </w:pPr>
            <w:r>
              <w:rPr>
                <w:b/>
                <w:szCs w:val="21"/>
              </w:rPr>
              <w:t>表4</w:t>
            </w:r>
            <w:r>
              <w:rPr>
                <w:rFonts w:hint="eastAsia"/>
                <w:b/>
                <w:szCs w:val="21"/>
                <w:lang w:val="en-US" w:eastAsia="zh-CN"/>
              </w:rPr>
              <w:t>-</w:t>
            </w:r>
            <w:r>
              <w:rPr>
                <w:b/>
                <w:szCs w:val="21"/>
              </w:rPr>
              <w:t>4</w:t>
            </w:r>
            <w:r>
              <w:rPr>
                <w:rFonts w:hint="eastAsia"/>
                <w:b/>
                <w:szCs w:val="21"/>
                <w:lang w:val="en-US" w:eastAsia="zh-CN"/>
              </w:rPr>
              <w:t xml:space="preserve">  </w:t>
            </w:r>
            <w:r>
              <w:rPr>
                <w:b/>
                <w:szCs w:val="21"/>
              </w:rPr>
              <w:t>施工机械噪声衰减计算结果  单位：dB(A)</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3"/>
              <w:gridCol w:w="583"/>
              <w:gridCol w:w="539"/>
              <w:gridCol w:w="535"/>
              <w:gridCol w:w="572"/>
              <w:gridCol w:w="571"/>
              <w:gridCol w:w="571"/>
              <w:gridCol w:w="572"/>
              <w:gridCol w:w="571"/>
              <w:gridCol w:w="571"/>
              <w:gridCol w:w="572"/>
              <w:gridCol w:w="571"/>
              <w:gridCol w:w="571"/>
              <w:gridCol w:w="572"/>
              <w:gridCol w:w="7"/>
            </w:tblGrid>
            <w:tr w14:paraId="115D1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 w:type="dxa"/>
                  <w:vMerge w:val="restart"/>
                  <w:tcBorders>
                    <w:top w:val="single" w:color="auto" w:sz="12" w:space="0"/>
                  </w:tcBorders>
                  <w:vAlign w:val="center"/>
                </w:tcPr>
                <w:p w14:paraId="31030726">
                  <w:pPr>
                    <w:ind w:right="-107" w:rightChars="-51"/>
                    <w:jc w:val="center"/>
                    <w:rPr>
                      <w:sz w:val="18"/>
                      <w:szCs w:val="18"/>
                    </w:rPr>
                  </w:pPr>
                  <w:r>
                    <w:rPr>
                      <w:sz w:val="18"/>
                      <w:szCs w:val="18"/>
                    </w:rPr>
                    <w:t>施工</w:t>
                  </w:r>
                </w:p>
                <w:p w14:paraId="47A8AA14">
                  <w:pPr>
                    <w:ind w:right="-107" w:rightChars="-51"/>
                    <w:jc w:val="center"/>
                    <w:rPr>
                      <w:sz w:val="18"/>
                      <w:szCs w:val="18"/>
                    </w:rPr>
                  </w:pPr>
                  <w:r>
                    <w:rPr>
                      <w:sz w:val="18"/>
                      <w:szCs w:val="18"/>
                    </w:rPr>
                    <w:t>机械</w:t>
                  </w:r>
                </w:p>
              </w:tc>
              <w:tc>
                <w:tcPr>
                  <w:tcW w:w="583" w:type="dxa"/>
                  <w:vMerge w:val="restart"/>
                  <w:tcBorders>
                    <w:top w:val="single" w:color="auto" w:sz="12" w:space="0"/>
                  </w:tcBorders>
                  <w:vAlign w:val="center"/>
                </w:tcPr>
                <w:p w14:paraId="0E9725C0">
                  <w:pPr>
                    <w:jc w:val="center"/>
                    <w:rPr>
                      <w:sz w:val="18"/>
                      <w:szCs w:val="18"/>
                    </w:rPr>
                  </w:pPr>
                  <w:r>
                    <w:rPr>
                      <w:sz w:val="18"/>
                      <w:szCs w:val="18"/>
                    </w:rPr>
                    <w:t>源强</w:t>
                  </w:r>
                </w:p>
              </w:tc>
              <w:tc>
                <w:tcPr>
                  <w:tcW w:w="6795" w:type="dxa"/>
                  <w:gridSpan w:val="13"/>
                  <w:tcBorders>
                    <w:top w:val="single" w:color="auto" w:sz="12" w:space="0"/>
                    <w:right w:val="nil"/>
                  </w:tcBorders>
                  <w:vAlign w:val="center"/>
                </w:tcPr>
                <w:p w14:paraId="3FD605DF">
                  <w:pPr>
                    <w:jc w:val="center"/>
                    <w:rPr>
                      <w:sz w:val="18"/>
                      <w:szCs w:val="18"/>
                    </w:rPr>
                  </w:pPr>
                  <w:r>
                    <w:rPr>
                      <w:sz w:val="18"/>
                      <w:szCs w:val="18"/>
                    </w:rPr>
                    <w:t>距声源距离 r(m)</w:t>
                  </w:r>
                </w:p>
              </w:tc>
            </w:tr>
            <w:tr w14:paraId="0C4DC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vMerge w:val="continue"/>
                  <w:tcBorders>
                    <w:left w:val="nil"/>
                  </w:tcBorders>
                  <w:vAlign w:val="center"/>
                </w:tcPr>
                <w:p w14:paraId="0A43BAE9">
                  <w:pPr>
                    <w:jc w:val="center"/>
                    <w:rPr>
                      <w:sz w:val="18"/>
                      <w:szCs w:val="18"/>
                    </w:rPr>
                  </w:pPr>
                </w:p>
              </w:tc>
              <w:tc>
                <w:tcPr>
                  <w:tcW w:w="583" w:type="dxa"/>
                  <w:vMerge w:val="continue"/>
                  <w:vAlign w:val="center"/>
                </w:tcPr>
                <w:p w14:paraId="4F75E9D2">
                  <w:pPr>
                    <w:jc w:val="center"/>
                    <w:rPr>
                      <w:sz w:val="18"/>
                      <w:szCs w:val="18"/>
                    </w:rPr>
                  </w:pPr>
                </w:p>
              </w:tc>
              <w:tc>
                <w:tcPr>
                  <w:tcW w:w="539" w:type="dxa"/>
                  <w:vAlign w:val="center"/>
                </w:tcPr>
                <w:p w14:paraId="241BCA3F">
                  <w:pPr>
                    <w:jc w:val="center"/>
                    <w:rPr>
                      <w:sz w:val="18"/>
                      <w:szCs w:val="18"/>
                    </w:rPr>
                  </w:pPr>
                  <w:r>
                    <w:rPr>
                      <w:sz w:val="18"/>
                      <w:szCs w:val="18"/>
                    </w:rPr>
                    <w:t>5</w:t>
                  </w:r>
                </w:p>
              </w:tc>
              <w:tc>
                <w:tcPr>
                  <w:tcW w:w="535" w:type="dxa"/>
                  <w:vAlign w:val="center"/>
                </w:tcPr>
                <w:p w14:paraId="0CEB1800">
                  <w:pPr>
                    <w:jc w:val="center"/>
                    <w:rPr>
                      <w:sz w:val="18"/>
                      <w:szCs w:val="18"/>
                    </w:rPr>
                  </w:pPr>
                  <w:r>
                    <w:rPr>
                      <w:sz w:val="18"/>
                      <w:szCs w:val="18"/>
                    </w:rPr>
                    <w:t>10</w:t>
                  </w:r>
                </w:p>
              </w:tc>
              <w:tc>
                <w:tcPr>
                  <w:tcW w:w="572" w:type="dxa"/>
                  <w:vAlign w:val="center"/>
                </w:tcPr>
                <w:p w14:paraId="0B846C93">
                  <w:pPr>
                    <w:jc w:val="center"/>
                    <w:rPr>
                      <w:sz w:val="18"/>
                      <w:szCs w:val="18"/>
                    </w:rPr>
                  </w:pPr>
                  <w:r>
                    <w:rPr>
                      <w:sz w:val="18"/>
                      <w:szCs w:val="18"/>
                    </w:rPr>
                    <w:t>20</w:t>
                  </w:r>
                </w:p>
              </w:tc>
              <w:tc>
                <w:tcPr>
                  <w:tcW w:w="571" w:type="dxa"/>
                  <w:vAlign w:val="center"/>
                </w:tcPr>
                <w:p w14:paraId="259D14A5">
                  <w:pPr>
                    <w:jc w:val="center"/>
                    <w:rPr>
                      <w:sz w:val="18"/>
                      <w:szCs w:val="18"/>
                    </w:rPr>
                  </w:pPr>
                  <w:r>
                    <w:rPr>
                      <w:sz w:val="18"/>
                      <w:szCs w:val="18"/>
                    </w:rPr>
                    <w:t>30</w:t>
                  </w:r>
                </w:p>
              </w:tc>
              <w:tc>
                <w:tcPr>
                  <w:tcW w:w="571" w:type="dxa"/>
                  <w:vAlign w:val="center"/>
                </w:tcPr>
                <w:p w14:paraId="421BB6CF">
                  <w:pPr>
                    <w:jc w:val="center"/>
                    <w:rPr>
                      <w:sz w:val="18"/>
                      <w:szCs w:val="18"/>
                    </w:rPr>
                  </w:pPr>
                  <w:r>
                    <w:rPr>
                      <w:sz w:val="18"/>
                      <w:szCs w:val="18"/>
                    </w:rPr>
                    <w:t>40</w:t>
                  </w:r>
                </w:p>
              </w:tc>
              <w:tc>
                <w:tcPr>
                  <w:tcW w:w="572" w:type="dxa"/>
                  <w:vAlign w:val="center"/>
                </w:tcPr>
                <w:p w14:paraId="0CC7AF70">
                  <w:pPr>
                    <w:jc w:val="center"/>
                    <w:rPr>
                      <w:sz w:val="18"/>
                      <w:szCs w:val="18"/>
                    </w:rPr>
                  </w:pPr>
                  <w:r>
                    <w:rPr>
                      <w:sz w:val="18"/>
                      <w:szCs w:val="18"/>
                    </w:rPr>
                    <w:t>50</w:t>
                  </w:r>
                </w:p>
              </w:tc>
              <w:tc>
                <w:tcPr>
                  <w:tcW w:w="571" w:type="dxa"/>
                  <w:vAlign w:val="center"/>
                </w:tcPr>
                <w:p w14:paraId="64787185">
                  <w:pPr>
                    <w:jc w:val="center"/>
                    <w:rPr>
                      <w:sz w:val="18"/>
                      <w:szCs w:val="18"/>
                    </w:rPr>
                  </w:pPr>
                  <w:r>
                    <w:rPr>
                      <w:sz w:val="18"/>
                      <w:szCs w:val="18"/>
                    </w:rPr>
                    <w:t>60</w:t>
                  </w:r>
                </w:p>
              </w:tc>
              <w:tc>
                <w:tcPr>
                  <w:tcW w:w="571" w:type="dxa"/>
                  <w:vAlign w:val="center"/>
                </w:tcPr>
                <w:p w14:paraId="5DBC00C2">
                  <w:pPr>
                    <w:jc w:val="center"/>
                    <w:rPr>
                      <w:sz w:val="18"/>
                      <w:szCs w:val="18"/>
                    </w:rPr>
                  </w:pPr>
                  <w:r>
                    <w:rPr>
                      <w:sz w:val="18"/>
                      <w:szCs w:val="18"/>
                    </w:rPr>
                    <w:t>80</w:t>
                  </w:r>
                </w:p>
              </w:tc>
              <w:tc>
                <w:tcPr>
                  <w:tcW w:w="572" w:type="dxa"/>
                  <w:vAlign w:val="center"/>
                </w:tcPr>
                <w:p w14:paraId="78B847D0">
                  <w:pPr>
                    <w:jc w:val="center"/>
                    <w:rPr>
                      <w:sz w:val="18"/>
                      <w:szCs w:val="18"/>
                    </w:rPr>
                  </w:pPr>
                  <w:r>
                    <w:rPr>
                      <w:sz w:val="18"/>
                      <w:szCs w:val="18"/>
                    </w:rPr>
                    <w:t>100</w:t>
                  </w:r>
                </w:p>
              </w:tc>
              <w:tc>
                <w:tcPr>
                  <w:tcW w:w="571" w:type="dxa"/>
                  <w:vAlign w:val="center"/>
                </w:tcPr>
                <w:p w14:paraId="24C7FAB5">
                  <w:pPr>
                    <w:jc w:val="center"/>
                    <w:rPr>
                      <w:sz w:val="18"/>
                      <w:szCs w:val="18"/>
                    </w:rPr>
                  </w:pPr>
                  <w:r>
                    <w:rPr>
                      <w:sz w:val="18"/>
                      <w:szCs w:val="18"/>
                    </w:rPr>
                    <w:t>150</w:t>
                  </w:r>
                </w:p>
              </w:tc>
              <w:tc>
                <w:tcPr>
                  <w:tcW w:w="571" w:type="dxa"/>
                  <w:vAlign w:val="center"/>
                </w:tcPr>
                <w:p w14:paraId="4DEA9BFA">
                  <w:pPr>
                    <w:jc w:val="center"/>
                    <w:rPr>
                      <w:sz w:val="18"/>
                      <w:szCs w:val="18"/>
                    </w:rPr>
                  </w:pPr>
                  <w:r>
                    <w:rPr>
                      <w:sz w:val="18"/>
                      <w:szCs w:val="18"/>
                    </w:rPr>
                    <w:t>200</w:t>
                  </w:r>
                </w:p>
              </w:tc>
              <w:tc>
                <w:tcPr>
                  <w:tcW w:w="572" w:type="dxa"/>
                  <w:tcBorders>
                    <w:right w:val="nil"/>
                  </w:tcBorders>
                  <w:vAlign w:val="center"/>
                </w:tcPr>
                <w:p w14:paraId="58D40136">
                  <w:pPr>
                    <w:jc w:val="center"/>
                    <w:rPr>
                      <w:sz w:val="18"/>
                      <w:szCs w:val="18"/>
                    </w:rPr>
                  </w:pPr>
                  <w:r>
                    <w:rPr>
                      <w:sz w:val="18"/>
                      <w:szCs w:val="18"/>
                    </w:rPr>
                    <w:t>300</w:t>
                  </w:r>
                </w:p>
              </w:tc>
            </w:tr>
            <w:tr w14:paraId="1C051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tcBorders>
                  <w:vAlign w:val="center"/>
                </w:tcPr>
                <w:p w14:paraId="010045C1">
                  <w:pPr>
                    <w:jc w:val="center"/>
                    <w:rPr>
                      <w:sz w:val="18"/>
                      <w:szCs w:val="18"/>
                    </w:rPr>
                  </w:pPr>
                  <w:r>
                    <w:rPr>
                      <w:sz w:val="18"/>
                      <w:szCs w:val="18"/>
                    </w:rPr>
                    <w:t>卷扬机</w:t>
                  </w:r>
                </w:p>
              </w:tc>
              <w:tc>
                <w:tcPr>
                  <w:tcW w:w="583" w:type="dxa"/>
                  <w:vAlign w:val="center"/>
                </w:tcPr>
                <w:p w14:paraId="2A11893D">
                  <w:pPr>
                    <w:jc w:val="center"/>
                    <w:rPr>
                      <w:sz w:val="18"/>
                      <w:szCs w:val="18"/>
                    </w:rPr>
                  </w:pPr>
                  <w:r>
                    <w:rPr>
                      <w:sz w:val="18"/>
                      <w:szCs w:val="18"/>
                    </w:rPr>
                    <w:t>105</w:t>
                  </w:r>
                </w:p>
              </w:tc>
              <w:tc>
                <w:tcPr>
                  <w:tcW w:w="539" w:type="dxa"/>
                  <w:vAlign w:val="center"/>
                </w:tcPr>
                <w:p w14:paraId="707ADE24">
                  <w:pPr>
                    <w:jc w:val="center"/>
                    <w:rPr>
                      <w:sz w:val="18"/>
                      <w:szCs w:val="18"/>
                    </w:rPr>
                  </w:pPr>
                  <w:r>
                    <w:rPr>
                      <w:sz w:val="18"/>
                      <w:szCs w:val="18"/>
                    </w:rPr>
                    <w:t>91.0</w:t>
                  </w:r>
                </w:p>
              </w:tc>
              <w:tc>
                <w:tcPr>
                  <w:tcW w:w="535" w:type="dxa"/>
                  <w:vAlign w:val="center"/>
                </w:tcPr>
                <w:p w14:paraId="2F2BF8BE">
                  <w:pPr>
                    <w:jc w:val="center"/>
                    <w:rPr>
                      <w:sz w:val="18"/>
                      <w:szCs w:val="18"/>
                    </w:rPr>
                  </w:pPr>
                  <w:r>
                    <w:rPr>
                      <w:sz w:val="18"/>
                      <w:szCs w:val="18"/>
                    </w:rPr>
                    <w:t>85.0</w:t>
                  </w:r>
                </w:p>
              </w:tc>
              <w:tc>
                <w:tcPr>
                  <w:tcW w:w="572" w:type="dxa"/>
                  <w:vAlign w:val="center"/>
                </w:tcPr>
                <w:p w14:paraId="446B3BA9">
                  <w:pPr>
                    <w:jc w:val="center"/>
                    <w:rPr>
                      <w:sz w:val="18"/>
                      <w:szCs w:val="18"/>
                    </w:rPr>
                  </w:pPr>
                  <w:r>
                    <w:rPr>
                      <w:sz w:val="18"/>
                      <w:szCs w:val="18"/>
                    </w:rPr>
                    <w:t>79.0</w:t>
                  </w:r>
                </w:p>
              </w:tc>
              <w:tc>
                <w:tcPr>
                  <w:tcW w:w="571" w:type="dxa"/>
                  <w:vAlign w:val="center"/>
                </w:tcPr>
                <w:p w14:paraId="644CE4EC">
                  <w:pPr>
                    <w:jc w:val="center"/>
                    <w:rPr>
                      <w:sz w:val="18"/>
                      <w:szCs w:val="18"/>
                    </w:rPr>
                  </w:pPr>
                  <w:r>
                    <w:rPr>
                      <w:sz w:val="18"/>
                      <w:szCs w:val="18"/>
                    </w:rPr>
                    <w:t>75.5</w:t>
                  </w:r>
                </w:p>
              </w:tc>
              <w:tc>
                <w:tcPr>
                  <w:tcW w:w="571" w:type="dxa"/>
                  <w:vAlign w:val="center"/>
                </w:tcPr>
                <w:p w14:paraId="536FFC9E">
                  <w:pPr>
                    <w:jc w:val="center"/>
                    <w:rPr>
                      <w:sz w:val="18"/>
                      <w:szCs w:val="18"/>
                    </w:rPr>
                  </w:pPr>
                  <w:r>
                    <w:rPr>
                      <w:sz w:val="18"/>
                      <w:szCs w:val="18"/>
                    </w:rPr>
                    <w:t>73.0</w:t>
                  </w:r>
                </w:p>
              </w:tc>
              <w:tc>
                <w:tcPr>
                  <w:tcW w:w="572" w:type="dxa"/>
                  <w:vAlign w:val="center"/>
                </w:tcPr>
                <w:p w14:paraId="619B67B1">
                  <w:pPr>
                    <w:jc w:val="center"/>
                    <w:rPr>
                      <w:sz w:val="18"/>
                      <w:szCs w:val="18"/>
                    </w:rPr>
                  </w:pPr>
                  <w:r>
                    <w:rPr>
                      <w:sz w:val="18"/>
                      <w:szCs w:val="18"/>
                    </w:rPr>
                    <w:t>71.0</w:t>
                  </w:r>
                </w:p>
              </w:tc>
              <w:tc>
                <w:tcPr>
                  <w:tcW w:w="571" w:type="dxa"/>
                  <w:vAlign w:val="center"/>
                </w:tcPr>
                <w:p w14:paraId="099AD76B">
                  <w:pPr>
                    <w:jc w:val="center"/>
                    <w:rPr>
                      <w:sz w:val="18"/>
                      <w:szCs w:val="18"/>
                    </w:rPr>
                  </w:pPr>
                  <w:r>
                    <w:rPr>
                      <w:sz w:val="18"/>
                      <w:szCs w:val="18"/>
                    </w:rPr>
                    <w:t>69.4</w:t>
                  </w:r>
                </w:p>
              </w:tc>
              <w:tc>
                <w:tcPr>
                  <w:tcW w:w="571" w:type="dxa"/>
                  <w:vAlign w:val="center"/>
                </w:tcPr>
                <w:p w14:paraId="0364E793">
                  <w:pPr>
                    <w:jc w:val="center"/>
                    <w:rPr>
                      <w:sz w:val="18"/>
                      <w:szCs w:val="18"/>
                    </w:rPr>
                  </w:pPr>
                  <w:r>
                    <w:rPr>
                      <w:sz w:val="18"/>
                      <w:szCs w:val="18"/>
                    </w:rPr>
                    <w:t>66.9</w:t>
                  </w:r>
                </w:p>
              </w:tc>
              <w:tc>
                <w:tcPr>
                  <w:tcW w:w="572" w:type="dxa"/>
                  <w:vAlign w:val="center"/>
                </w:tcPr>
                <w:p w14:paraId="434924F2">
                  <w:pPr>
                    <w:jc w:val="center"/>
                    <w:rPr>
                      <w:sz w:val="18"/>
                      <w:szCs w:val="18"/>
                    </w:rPr>
                  </w:pPr>
                  <w:r>
                    <w:rPr>
                      <w:sz w:val="18"/>
                      <w:szCs w:val="18"/>
                    </w:rPr>
                    <w:t>65.0</w:t>
                  </w:r>
                </w:p>
              </w:tc>
              <w:tc>
                <w:tcPr>
                  <w:tcW w:w="571" w:type="dxa"/>
                  <w:vAlign w:val="center"/>
                </w:tcPr>
                <w:p w14:paraId="47980D8B">
                  <w:pPr>
                    <w:jc w:val="center"/>
                    <w:rPr>
                      <w:sz w:val="18"/>
                      <w:szCs w:val="18"/>
                    </w:rPr>
                  </w:pPr>
                  <w:r>
                    <w:rPr>
                      <w:sz w:val="18"/>
                      <w:szCs w:val="18"/>
                    </w:rPr>
                    <w:t>61.5</w:t>
                  </w:r>
                </w:p>
              </w:tc>
              <w:tc>
                <w:tcPr>
                  <w:tcW w:w="571" w:type="dxa"/>
                  <w:vAlign w:val="center"/>
                </w:tcPr>
                <w:p w14:paraId="7EC266EB">
                  <w:pPr>
                    <w:jc w:val="center"/>
                    <w:rPr>
                      <w:sz w:val="18"/>
                      <w:szCs w:val="18"/>
                    </w:rPr>
                  </w:pPr>
                  <w:r>
                    <w:rPr>
                      <w:sz w:val="18"/>
                      <w:szCs w:val="18"/>
                    </w:rPr>
                    <w:t>59.0</w:t>
                  </w:r>
                </w:p>
              </w:tc>
              <w:tc>
                <w:tcPr>
                  <w:tcW w:w="572" w:type="dxa"/>
                  <w:tcBorders>
                    <w:right w:val="nil"/>
                  </w:tcBorders>
                  <w:vAlign w:val="center"/>
                </w:tcPr>
                <w:p w14:paraId="110329E0">
                  <w:pPr>
                    <w:jc w:val="center"/>
                    <w:rPr>
                      <w:sz w:val="18"/>
                      <w:szCs w:val="18"/>
                    </w:rPr>
                  </w:pPr>
                  <w:r>
                    <w:rPr>
                      <w:sz w:val="18"/>
                      <w:szCs w:val="18"/>
                    </w:rPr>
                    <w:t>55.5</w:t>
                  </w:r>
                </w:p>
              </w:tc>
            </w:tr>
            <w:tr w14:paraId="79E66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tcBorders>
                  <w:vAlign w:val="center"/>
                </w:tcPr>
                <w:p w14:paraId="2E0762A4">
                  <w:pPr>
                    <w:jc w:val="center"/>
                    <w:rPr>
                      <w:sz w:val="18"/>
                      <w:szCs w:val="18"/>
                    </w:rPr>
                  </w:pPr>
                  <w:r>
                    <w:rPr>
                      <w:sz w:val="18"/>
                      <w:szCs w:val="18"/>
                    </w:rPr>
                    <w:t>压缩机</w:t>
                  </w:r>
                </w:p>
              </w:tc>
              <w:tc>
                <w:tcPr>
                  <w:tcW w:w="583" w:type="dxa"/>
                  <w:vAlign w:val="center"/>
                </w:tcPr>
                <w:p w14:paraId="71C487E9">
                  <w:pPr>
                    <w:jc w:val="center"/>
                    <w:rPr>
                      <w:sz w:val="18"/>
                      <w:szCs w:val="18"/>
                    </w:rPr>
                  </w:pPr>
                  <w:r>
                    <w:rPr>
                      <w:sz w:val="18"/>
                      <w:szCs w:val="18"/>
                    </w:rPr>
                    <w:t>105</w:t>
                  </w:r>
                </w:p>
              </w:tc>
              <w:tc>
                <w:tcPr>
                  <w:tcW w:w="539" w:type="dxa"/>
                  <w:vAlign w:val="center"/>
                </w:tcPr>
                <w:p w14:paraId="14E58694">
                  <w:pPr>
                    <w:jc w:val="center"/>
                    <w:rPr>
                      <w:sz w:val="18"/>
                      <w:szCs w:val="18"/>
                    </w:rPr>
                  </w:pPr>
                  <w:r>
                    <w:rPr>
                      <w:sz w:val="18"/>
                      <w:szCs w:val="18"/>
                    </w:rPr>
                    <w:t>91.0</w:t>
                  </w:r>
                </w:p>
              </w:tc>
              <w:tc>
                <w:tcPr>
                  <w:tcW w:w="535" w:type="dxa"/>
                  <w:vAlign w:val="center"/>
                </w:tcPr>
                <w:p w14:paraId="6EA8EB52">
                  <w:pPr>
                    <w:jc w:val="center"/>
                    <w:rPr>
                      <w:sz w:val="18"/>
                      <w:szCs w:val="18"/>
                    </w:rPr>
                  </w:pPr>
                  <w:r>
                    <w:rPr>
                      <w:sz w:val="18"/>
                      <w:szCs w:val="18"/>
                    </w:rPr>
                    <w:t>85.0</w:t>
                  </w:r>
                </w:p>
              </w:tc>
              <w:tc>
                <w:tcPr>
                  <w:tcW w:w="572" w:type="dxa"/>
                  <w:vAlign w:val="center"/>
                </w:tcPr>
                <w:p w14:paraId="1ED1114C">
                  <w:pPr>
                    <w:jc w:val="center"/>
                    <w:rPr>
                      <w:sz w:val="18"/>
                      <w:szCs w:val="18"/>
                    </w:rPr>
                  </w:pPr>
                  <w:r>
                    <w:rPr>
                      <w:sz w:val="18"/>
                      <w:szCs w:val="18"/>
                    </w:rPr>
                    <w:t>79.0</w:t>
                  </w:r>
                </w:p>
              </w:tc>
              <w:tc>
                <w:tcPr>
                  <w:tcW w:w="571" w:type="dxa"/>
                  <w:vAlign w:val="center"/>
                </w:tcPr>
                <w:p w14:paraId="66632D24">
                  <w:pPr>
                    <w:jc w:val="center"/>
                    <w:rPr>
                      <w:sz w:val="18"/>
                      <w:szCs w:val="18"/>
                    </w:rPr>
                  </w:pPr>
                  <w:r>
                    <w:rPr>
                      <w:sz w:val="18"/>
                      <w:szCs w:val="18"/>
                    </w:rPr>
                    <w:t>75.5</w:t>
                  </w:r>
                </w:p>
              </w:tc>
              <w:tc>
                <w:tcPr>
                  <w:tcW w:w="571" w:type="dxa"/>
                  <w:vAlign w:val="center"/>
                </w:tcPr>
                <w:p w14:paraId="0F7C52E4">
                  <w:pPr>
                    <w:jc w:val="center"/>
                    <w:rPr>
                      <w:sz w:val="18"/>
                      <w:szCs w:val="18"/>
                    </w:rPr>
                  </w:pPr>
                  <w:r>
                    <w:rPr>
                      <w:sz w:val="18"/>
                      <w:szCs w:val="18"/>
                    </w:rPr>
                    <w:t>73.0</w:t>
                  </w:r>
                </w:p>
              </w:tc>
              <w:tc>
                <w:tcPr>
                  <w:tcW w:w="572" w:type="dxa"/>
                  <w:vAlign w:val="center"/>
                </w:tcPr>
                <w:p w14:paraId="4A0B74CA">
                  <w:pPr>
                    <w:jc w:val="center"/>
                    <w:rPr>
                      <w:sz w:val="18"/>
                      <w:szCs w:val="18"/>
                    </w:rPr>
                  </w:pPr>
                  <w:r>
                    <w:rPr>
                      <w:sz w:val="18"/>
                      <w:szCs w:val="18"/>
                    </w:rPr>
                    <w:t>71.0</w:t>
                  </w:r>
                </w:p>
              </w:tc>
              <w:tc>
                <w:tcPr>
                  <w:tcW w:w="571" w:type="dxa"/>
                  <w:vAlign w:val="center"/>
                </w:tcPr>
                <w:p w14:paraId="6271B77A">
                  <w:pPr>
                    <w:jc w:val="center"/>
                    <w:rPr>
                      <w:sz w:val="18"/>
                      <w:szCs w:val="18"/>
                    </w:rPr>
                  </w:pPr>
                  <w:r>
                    <w:rPr>
                      <w:sz w:val="18"/>
                      <w:szCs w:val="18"/>
                    </w:rPr>
                    <w:t>69.4</w:t>
                  </w:r>
                </w:p>
              </w:tc>
              <w:tc>
                <w:tcPr>
                  <w:tcW w:w="571" w:type="dxa"/>
                  <w:vAlign w:val="center"/>
                </w:tcPr>
                <w:p w14:paraId="7D0D630A">
                  <w:pPr>
                    <w:jc w:val="center"/>
                    <w:rPr>
                      <w:sz w:val="18"/>
                      <w:szCs w:val="18"/>
                    </w:rPr>
                  </w:pPr>
                  <w:r>
                    <w:rPr>
                      <w:sz w:val="18"/>
                      <w:szCs w:val="18"/>
                    </w:rPr>
                    <w:t>66.9</w:t>
                  </w:r>
                </w:p>
              </w:tc>
              <w:tc>
                <w:tcPr>
                  <w:tcW w:w="572" w:type="dxa"/>
                  <w:vAlign w:val="center"/>
                </w:tcPr>
                <w:p w14:paraId="53D5A7C6">
                  <w:pPr>
                    <w:jc w:val="center"/>
                    <w:rPr>
                      <w:sz w:val="18"/>
                      <w:szCs w:val="18"/>
                    </w:rPr>
                  </w:pPr>
                  <w:r>
                    <w:rPr>
                      <w:sz w:val="18"/>
                      <w:szCs w:val="18"/>
                    </w:rPr>
                    <w:t>65.0</w:t>
                  </w:r>
                </w:p>
              </w:tc>
              <w:tc>
                <w:tcPr>
                  <w:tcW w:w="571" w:type="dxa"/>
                  <w:vAlign w:val="center"/>
                </w:tcPr>
                <w:p w14:paraId="664C1986">
                  <w:pPr>
                    <w:jc w:val="center"/>
                    <w:rPr>
                      <w:sz w:val="18"/>
                      <w:szCs w:val="18"/>
                    </w:rPr>
                  </w:pPr>
                  <w:r>
                    <w:rPr>
                      <w:sz w:val="18"/>
                      <w:szCs w:val="18"/>
                    </w:rPr>
                    <w:t>61.5</w:t>
                  </w:r>
                </w:p>
              </w:tc>
              <w:tc>
                <w:tcPr>
                  <w:tcW w:w="571" w:type="dxa"/>
                  <w:vAlign w:val="center"/>
                </w:tcPr>
                <w:p w14:paraId="2946BABF">
                  <w:pPr>
                    <w:jc w:val="center"/>
                    <w:rPr>
                      <w:sz w:val="18"/>
                      <w:szCs w:val="18"/>
                    </w:rPr>
                  </w:pPr>
                  <w:r>
                    <w:rPr>
                      <w:sz w:val="18"/>
                      <w:szCs w:val="18"/>
                    </w:rPr>
                    <w:t>59.0</w:t>
                  </w:r>
                </w:p>
              </w:tc>
              <w:tc>
                <w:tcPr>
                  <w:tcW w:w="572" w:type="dxa"/>
                  <w:tcBorders>
                    <w:right w:val="nil"/>
                  </w:tcBorders>
                  <w:vAlign w:val="center"/>
                </w:tcPr>
                <w:p w14:paraId="612F3975">
                  <w:pPr>
                    <w:jc w:val="center"/>
                    <w:rPr>
                      <w:sz w:val="18"/>
                      <w:szCs w:val="18"/>
                    </w:rPr>
                  </w:pPr>
                  <w:r>
                    <w:rPr>
                      <w:sz w:val="18"/>
                      <w:szCs w:val="18"/>
                    </w:rPr>
                    <w:t>55.5</w:t>
                  </w:r>
                </w:p>
              </w:tc>
            </w:tr>
            <w:tr w14:paraId="1187B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tcBorders>
                  <w:vAlign w:val="center"/>
                </w:tcPr>
                <w:p w14:paraId="0E3BA41D">
                  <w:pPr>
                    <w:jc w:val="center"/>
                    <w:rPr>
                      <w:sz w:val="18"/>
                      <w:szCs w:val="18"/>
                    </w:rPr>
                  </w:pPr>
                  <w:r>
                    <w:rPr>
                      <w:sz w:val="18"/>
                      <w:szCs w:val="18"/>
                    </w:rPr>
                    <w:t>汽车</w:t>
                  </w:r>
                </w:p>
              </w:tc>
              <w:tc>
                <w:tcPr>
                  <w:tcW w:w="583" w:type="dxa"/>
                  <w:vAlign w:val="center"/>
                </w:tcPr>
                <w:p w14:paraId="0B8E7136">
                  <w:pPr>
                    <w:jc w:val="center"/>
                    <w:rPr>
                      <w:sz w:val="18"/>
                      <w:szCs w:val="18"/>
                    </w:rPr>
                  </w:pPr>
                  <w:r>
                    <w:rPr>
                      <w:sz w:val="18"/>
                      <w:szCs w:val="18"/>
                    </w:rPr>
                    <w:t>85</w:t>
                  </w:r>
                </w:p>
              </w:tc>
              <w:tc>
                <w:tcPr>
                  <w:tcW w:w="539" w:type="dxa"/>
                  <w:vAlign w:val="center"/>
                </w:tcPr>
                <w:p w14:paraId="655C8EFF">
                  <w:pPr>
                    <w:jc w:val="center"/>
                    <w:rPr>
                      <w:sz w:val="18"/>
                      <w:szCs w:val="18"/>
                    </w:rPr>
                  </w:pPr>
                  <w:r>
                    <w:rPr>
                      <w:sz w:val="18"/>
                      <w:szCs w:val="18"/>
                    </w:rPr>
                    <w:t>71.0</w:t>
                  </w:r>
                </w:p>
              </w:tc>
              <w:tc>
                <w:tcPr>
                  <w:tcW w:w="535" w:type="dxa"/>
                  <w:vAlign w:val="center"/>
                </w:tcPr>
                <w:p w14:paraId="0B389C96">
                  <w:pPr>
                    <w:jc w:val="center"/>
                    <w:rPr>
                      <w:sz w:val="18"/>
                      <w:szCs w:val="18"/>
                    </w:rPr>
                  </w:pPr>
                  <w:r>
                    <w:rPr>
                      <w:sz w:val="18"/>
                      <w:szCs w:val="18"/>
                    </w:rPr>
                    <w:t>65.0</w:t>
                  </w:r>
                </w:p>
              </w:tc>
              <w:tc>
                <w:tcPr>
                  <w:tcW w:w="572" w:type="dxa"/>
                  <w:vAlign w:val="center"/>
                </w:tcPr>
                <w:p w14:paraId="332862FA">
                  <w:pPr>
                    <w:jc w:val="center"/>
                    <w:rPr>
                      <w:sz w:val="18"/>
                      <w:szCs w:val="18"/>
                    </w:rPr>
                  </w:pPr>
                  <w:r>
                    <w:rPr>
                      <w:sz w:val="18"/>
                      <w:szCs w:val="18"/>
                    </w:rPr>
                    <w:t>59.0</w:t>
                  </w:r>
                </w:p>
              </w:tc>
              <w:tc>
                <w:tcPr>
                  <w:tcW w:w="571" w:type="dxa"/>
                  <w:vAlign w:val="center"/>
                </w:tcPr>
                <w:p w14:paraId="70C5FF65">
                  <w:pPr>
                    <w:jc w:val="center"/>
                    <w:rPr>
                      <w:sz w:val="18"/>
                      <w:szCs w:val="18"/>
                    </w:rPr>
                  </w:pPr>
                  <w:r>
                    <w:rPr>
                      <w:sz w:val="18"/>
                      <w:szCs w:val="18"/>
                    </w:rPr>
                    <w:t>55.5</w:t>
                  </w:r>
                </w:p>
              </w:tc>
              <w:tc>
                <w:tcPr>
                  <w:tcW w:w="571" w:type="dxa"/>
                  <w:vAlign w:val="center"/>
                </w:tcPr>
                <w:p w14:paraId="750C2ACA">
                  <w:pPr>
                    <w:jc w:val="center"/>
                    <w:rPr>
                      <w:sz w:val="18"/>
                      <w:szCs w:val="18"/>
                    </w:rPr>
                  </w:pPr>
                  <w:r>
                    <w:rPr>
                      <w:sz w:val="18"/>
                      <w:szCs w:val="18"/>
                    </w:rPr>
                    <w:t>53.0</w:t>
                  </w:r>
                </w:p>
              </w:tc>
              <w:tc>
                <w:tcPr>
                  <w:tcW w:w="572" w:type="dxa"/>
                  <w:vAlign w:val="center"/>
                </w:tcPr>
                <w:p w14:paraId="24530E62">
                  <w:pPr>
                    <w:jc w:val="center"/>
                    <w:rPr>
                      <w:sz w:val="18"/>
                      <w:szCs w:val="18"/>
                    </w:rPr>
                  </w:pPr>
                  <w:r>
                    <w:rPr>
                      <w:sz w:val="18"/>
                      <w:szCs w:val="18"/>
                    </w:rPr>
                    <w:t>51.0</w:t>
                  </w:r>
                </w:p>
              </w:tc>
              <w:tc>
                <w:tcPr>
                  <w:tcW w:w="571" w:type="dxa"/>
                  <w:vAlign w:val="center"/>
                </w:tcPr>
                <w:p w14:paraId="482109EE">
                  <w:pPr>
                    <w:jc w:val="center"/>
                    <w:rPr>
                      <w:sz w:val="18"/>
                      <w:szCs w:val="18"/>
                    </w:rPr>
                  </w:pPr>
                  <w:r>
                    <w:rPr>
                      <w:sz w:val="18"/>
                      <w:szCs w:val="18"/>
                    </w:rPr>
                    <w:t>49.4</w:t>
                  </w:r>
                </w:p>
              </w:tc>
              <w:tc>
                <w:tcPr>
                  <w:tcW w:w="571" w:type="dxa"/>
                  <w:vAlign w:val="center"/>
                </w:tcPr>
                <w:p w14:paraId="6BD1C5CE">
                  <w:pPr>
                    <w:jc w:val="center"/>
                    <w:rPr>
                      <w:sz w:val="18"/>
                      <w:szCs w:val="18"/>
                    </w:rPr>
                  </w:pPr>
                  <w:r>
                    <w:rPr>
                      <w:sz w:val="18"/>
                      <w:szCs w:val="18"/>
                    </w:rPr>
                    <w:t>46.9</w:t>
                  </w:r>
                </w:p>
              </w:tc>
              <w:tc>
                <w:tcPr>
                  <w:tcW w:w="572" w:type="dxa"/>
                  <w:vAlign w:val="center"/>
                </w:tcPr>
                <w:p w14:paraId="4DCB1587">
                  <w:pPr>
                    <w:jc w:val="center"/>
                    <w:rPr>
                      <w:sz w:val="18"/>
                      <w:szCs w:val="18"/>
                    </w:rPr>
                  </w:pPr>
                  <w:r>
                    <w:rPr>
                      <w:sz w:val="18"/>
                      <w:szCs w:val="18"/>
                    </w:rPr>
                    <w:t>45</w:t>
                  </w:r>
                </w:p>
              </w:tc>
              <w:tc>
                <w:tcPr>
                  <w:tcW w:w="571" w:type="dxa"/>
                  <w:vAlign w:val="center"/>
                </w:tcPr>
                <w:p w14:paraId="541CC817">
                  <w:pPr>
                    <w:jc w:val="center"/>
                    <w:rPr>
                      <w:sz w:val="18"/>
                      <w:szCs w:val="18"/>
                    </w:rPr>
                  </w:pPr>
                  <w:r>
                    <w:rPr>
                      <w:sz w:val="18"/>
                      <w:szCs w:val="18"/>
                    </w:rPr>
                    <w:t>41.5</w:t>
                  </w:r>
                </w:p>
              </w:tc>
              <w:tc>
                <w:tcPr>
                  <w:tcW w:w="571" w:type="dxa"/>
                  <w:vAlign w:val="center"/>
                </w:tcPr>
                <w:p w14:paraId="2274E702">
                  <w:pPr>
                    <w:jc w:val="center"/>
                    <w:rPr>
                      <w:sz w:val="18"/>
                      <w:szCs w:val="18"/>
                    </w:rPr>
                  </w:pPr>
                  <w:r>
                    <w:rPr>
                      <w:sz w:val="18"/>
                      <w:szCs w:val="18"/>
                    </w:rPr>
                    <w:t>39</w:t>
                  </w:r>
                </w:p>
              </w:tc>
              <w:tc>
                <w:tcPr>
                  <w:tcW w:w="572" w:type="dxa"/>
                  <w:tcBorders>
                    <w:right w:val="nil"/>
                  </w:tcBorders>
                  <w:vAlign w:val="center"/>
                </w:tcPr>
                <w:p w14:paraId="07F3924A">
                  <w:pPr>
                    <w:jc w:val="center"/>
                    <w:rPr>
                      <w:sz w:val="18"/>
                      <w:szCs w:val="18"/>
                    </w:rPr>
                  </w:pPr>
                  <w:r>
                    <w:rPr>
                      <w:sz w:val="18"/>
                      <w:szCs w:val="18"/>
                    </w:rPr>
                    <w:t>35.5</w:t>
                  </w:r>
                </w:p>
              </w:tc>
            </w:tr>
            <w:tr w14:paraId="32B3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23" w:hRule="atLeast"/>
              </w:trPr>
              <w:tc>
                <w:tcPr>
                  <w:tcW w:w="833" w:type="dxa"/>
                  <w:tcBorders>
                    <w:left w:val="nil"/>
                    <w:bottom w:val="single" w:color="auto" w:sz="12" w:space="0"/>
                  </w:tcBorders>
                  <w:vAlign w:val="center"/>
                </w:tcPr>
                <w:p w14:paraId="683746AC">
                  <w:pPr>
                    <w:jc w:val="center"/>
                    <w:rPr>
                      <w:sz w:val="18"/>
                      <w:szCs w:val="18"/>
                    </w:rPr>
                  </w:pPr>
                  <w:r>
                    <w:rPr>
                      <w:sz w:val="18"/>
                      <w:szCs w:val="18"/>
                    </w:rPr>
                    <w:t>推土机</w:t>
                  </w:r>
                </w:p>
              </w:tc>
              <w:tc>
                <w:tcPr>
                  <w:tcW w:w="583" w:type="dxa"/>
                  <w:tcBorders>
                    <w:bottom w:val="single" w:color="auto" w:sz="12" w:space="0"/>
                  </w:tcBorders>
                  <w:vAlign w:val="center"/>
                </w:tcPr>
                <w:p w14:paraId="3CC425E6">
                  <w:pPr>
                    <w:jc w:val="center"/>
                    <w:rPr>
                      <w:sz w:val="18"/>
                      <w:szCs w:val="18"/>
                    </w:rPr>
                  </w:pPr>
                  <w:r>
                    <w:rPr>
                      <w:sz w:val="18"/>
                      <w:szCs w:val="18"/>
                    </w:rPr>
                    <w:t>96</w:t>
                  </w:r>
                </w:p>
              </w:tc>
              <w:tc>
                <w:tcPr>
                  <w:tcW w:w="539" w:type="dxa"/>
                  <w:tcBorders>
                    <w:bottom w:val="single" w:color="auto" w:sz="12" w:space="0"/>
                  </w:tcBorders>
                  <w:vAlign w:val="center"/>
                </w:tcPr>
                <w:p w14:paraId="2DAC6125">
                  <w:pPr>
                    <w:jc w:val="center"/>
                    <w:rPr>
                      <w:sz w:val="18"/>
                      <w:szCs w:val="18"/>
                    </w:rPr>
                  </w:pPr>
                  <w:r>
                    <w:rPr>
                      <w:sz w:val="18"/>
                      <w:szCs w:val="18"/>
                    </w:rPr>
                    <w:t>82.0</w:t>
                  </w:r>
                </w:p>
              </w:tc>
              <w:tc>
                <w:tcPr>
                  <w:tcW w:w="535" w:type="dxa"/>
                  <w:tcBorders>
                    <w:bottom w:val="single" w:color="auto" w:sz="12" w:space="0"/>
                  </w:tcBorders>
                  <w:vAlign w:val="center"/>
                </w:tcPr>
                <w:p w14:paraId="65BB19CE">
                  <w:pPr>
                    <w:jc w:val="center"/>
                    <w:rPr>
                      <w:sz w:val="18"/>
                      <w:szCs w:val="18"/>
                    </w:rPr>
                  </w:pPr>
                  <w:r>
                    <w:rPr>
                      <w:sz w:val="18"/>
                      <w:szCs w:val="18"/>
                    </w:rPr>
                    <w:t>76.0</w:t>
                  </w:r>
                </w:p>
              </w:tc>
              <w:tc>
                <w:tcPr>
                  <w:tcW w:w="572" w:type="dxa"/>
                  <w:tcBorders>
                    <w:bottom w:val="single" w:color="auto" w:sz="12" w:space="0"/>
                  </w:tcBorders>
                  <w:vAlign w:val="center"/>
                </w:tcPr>
                <w:p w14:paraId="1C2F7FD3">
                  <w:pPr>
                    <w:jc w:val="center"/>
                    <w:rPr>
                      <w:sz w:val="18"/>
                      <w:szCs w:val="18"/>
                    </w:rPr>
                  </w:pPr>
                  <w:r>
                    <w:rPr>
                      <w:sz w:val="18"/>
                      <w:szCs w:val="18"/>
                    </w:rPr>
                    <w:t>70.0</w:t>
                  </w:r>
                </w:p>
              </w:tc>
              <w:tc>
                <w:tcPr>
                  <w:tcW w:w="571" w:type="dxa"/>
                  <w:tcBorders>
                    <w:bottom w:val="single" w:color="auto" w:sz="12" w:space="0"/>
                  </w:tcBorders>
                  <w:vAlign w:val="center"/>
                </w:tcPr>
                <w:p w14:paraId="645DD437">
                  <w:pPr>
                    <w:jc w:val="center"/>
                    <w:rPr>
                      <w:sz w:val="18"/>
                      <w:szCs w:val="18"/>
                    </w:rPr>
                  </w:pPr>
                  <w:r>
                    <w:rPr>
                      <w:sz w:val="18"/>
                      <w:szCs w:val="18"/>
                    </w:rPr>
                    <w:t>66.5</w:t>
                  </w:r>
                </w:p>
              </w:tc>
              <w:tc>
                <w:tcPr>
                  <w:tcW w:w="571" w:type="dxa"/>
                  <w:tcBorders>
                    <w:bottom w:val="single" w:color="auto" w:sz="12" w:space="0"/>
                  </w:tcBorders>
                  <w:vAlign w:val="center"/>
                </w:tcPr>
                <w:p w14:paraId="4750904D">
                  <w:pPr>
                    <w:jc w:val="center"/>
                    <w:rPr>
                      <w:sz w:val="18"/>
                      <w:szCs w:val="18"/>
                    </w:rPr>
                  </w:pPr>
                  <w:r>
                    <w:rPr>
                      <w:sz w:val="18"/>
                      <w:szCs w:val="18"/>
                    </w:rPr>
                    <w:t>64.0</w:t>
                  </w:r>
                </w:p>
              </w:tc>
              <w:tc>
                <w:tcPr>
                  <w:tcW w:w="572" w:type="dxa"/>
                  <w:tcBorders>
                    <w:bottom w:val="single" w:color="auto" w:sz="12" w:space="0"/>
                  </w:tcBorders>
                  <w:vAlign w:val="center"/>
                </w:tcPr>
                <w:p w14:paraId="0DB20692">
                  <w:pPr>
                    <w:jc w:val="center"/>
                    <w:rPr>
                      <w:sz w:val="18"/>
                      <w:szCs w:val="18"/>
                    </w:rPr>
                  </w:pPr>
                  <w:r>
                    <w:rPr>
                      <w:sz w:val="18"/>
                      <w:szCs w:val="18"/>
                    </w:rPr>
                    <w:t>2.0</w:t>
                  </w:r>
                </w:p>
              </w:tc>
              <w:tc>
                <w:tcPr>
                  <w:tcW w:w="571" w:type="dxa"/>
                  <w:tcBorders>
                    <w:bottom w:val="single" w:color="auto" w:sz="12" w:space="0"/>
                  </w:tcBorders>
                  <w:vAlign w:val="center"/>
                </w:tcPr>
                <w:p w14:paraId="6F00A5E1">
                  <w:pPr>
                    <w:jc w:val="center"/>
                    <w:rPr>
                      <w:sz w:val="18"/>
                      <w:szCs w:val="18"/>
                    </w:rPr>
                  </w:pPr>
                  <w:r>
                    <w:rPr>
                      <w:sz w:val="18"/>
                      <w:szCs w:val="18"/>
                    </w:rPr>
                    <w:t>60.4</w:t>
                  </w:r>
                </w:p>
              </w:tc>
              <w:tc>
                <w:tcPr>
                  <w:tcW w:w="571" w:type="dxa"/>
                  <w:tcBorders>
                    <w:bottom w:val="single" w:color="auto" w:sz="12" w:space="0"/>
                  </w:tcBorders>
                  <w:vAlign w:val="center"/>
                </w:tcPr>
                <w:p w14:paraId="0B1232CB">
                  <w:pPr>
                    <w:jc w:val="center"/>
                    <w:rPr>
                      <w:sz w:val="18"/>
                      <w:szCs w:val="18"/>
                    </w:rPr>
                  </w:pPr>
                  <w:r>
                    <w:rPr>
                      <w:sz w:val="18"/>
                      <w:szCs w:val="18"/>
                    </w:rPr>
                    <w:t>57.9</w:t>
                  </w:r>
                </w:p>
              </w:tc>
              <w:tc>
                <w:tcPr>
                  <w:tcW w:w="572" w:type="dxa"/>
                  <w:tcBorders>
                    <w:bottom w:val="single" w:color="auto" w:sz="12" w:space="0"/>
                  </w:tcBorders>
                  <w:vAlign w:val="center"/>
                </w:tcPr>
                <w:p w14:paraId="0113B778">
                  <w:pPr>
                    <w:jc w:val="center"/>
                    <w:rPr>
                      <w:sz w:val="18"/>
                      <w:szCs w:val="18"/>
                    </w:rPr>
                  </w:pPr>
                  <w:r>
                    <w:rPr>
                      <w:sz w:val="18"/>
                      <w:szCs w:val="18"/>
                    </w:rPr>
                    <w:t>56.0</w:t>
                  </w:r>
                </w:p>
              </w:tc>
              <w:tc>
                <w:tcPr>
                  <w:tcW w:w="571" w:type="dxa"/>
                  <w:tcBorders>
                    <w:bottom w:val="single" w:color="auto" w:sz="12" w:space="0"/>
                  </w:tcBorders>
                  <w:vAlign w:val="center"/>
                </w:tcPr>
                <w:p w14:paraId="14DD7F6F">
                  <w:pPr>
                    <w:jc w:val="center"/>
                    <w:rPr>
                      <w:sz w:val="18"/>
                      <w:szCs w:val="18"/>
                    </w:rPr>
                  </w:pPr>
                  <w:r>
                    <w:rPr>
                      <w:sz w:val="18"/>
                      <w:szCs w:val="18"/>
                    </w:rPr>
                    <w:t>52.5</w:t>
                  </w:r>
                </w:p>
              </w:tc>
              <w:tc>
                <w:tcPr>
                  <w:tcW w:w="571" w:type="dxa"/>
                  <w:tcBorders>
                    <w:bottom w:val="single" w:color="auto" w:sz="12" w:space="0"/>
                  </w:tcBorders>
                  <w:vAlign w:val="center"/>
                </w:tcPr>
                <w:p w14:paraId="2BAAAD04">
                  <w:pPr>
                    <w:jc w:val="center"/>
                    <w:rPr>
                      <w:sz w:val="18"/>
                      <w:szCs w:val="18"/>
                    </w:rPr>
                  </w:pPr>
                  <w:r>
                    <w:rPr>
                      <w:sz w:val="18"/>
                      <w:szCs w:val="18"/>
                    </w:rPr>
                    <w:t>50.0</w:t>
                  </w:r>
                </w:p>
              </w:tc>
              <w:tc>
                <w:tcPr>
                  <w:tcW w:w="572" w:type="dxa"/>
                  <w:tcBorders>
                    <w:bottom w:val="single" w:color="auto" w:sz="12" w:space="0"/>
                    <w:right w:val="nil"/>
                  </w:tcBorders>
                  <w:vAlign w:val="center"/>
                </w:tcPr>
                <w:p w14:paraId="62478E91">
                  <w:pPr>
                    <w:jc w:val="center"/>
                    <w:rPr>
                      <w:sz w:val="18"/>
                      <w:szCs w:val="18"/>
                    </w:rPr>
                  </w:pPr>
                  <w:r>
                    <w:rPr>
                      <w:sz w:val="18"/>
                      <w:szCs w:val="18"/>
                    </w:rPr>
                    <w:t>46.5</w:t>
                  </w:r>
                </w:p>
              </w:tc>
            </w:tr>
          </w:tbl>
          <w:p w14:paraId="6BD1BC44">
            <w:pPr>
              <w:pStyle w:val="58"/>
              <w:keepNext w:val="0"/>
              <w:keepLines w:val="0"/>
              <w:pageBreakBefore w:val="0"/>
              <w:widowControl w:val="0"/>
              <w:kinsoku/>
              <w:wordWrap/>
              <w:overflowPunct/>
              <w:topLinePunct w:val="0"/>
              <w:autoSpaceDE/>
              <w:autoSpaceDN/>
              <w:bidi w:val="0"/>
              <w:adjustRightInd/>
              <w:snapToGrid/>
              <w:textAlignment w:val="auto"/>
              <w:rPr>
                <w:rFonts w:hAnsi="Times New Roman"/>
                <w:kern w:val="2"/>
                <w:szCs w:val="24"/>
              </w:rPr>
            </w:pPr>
            <w:r>
              <w:rPr>
                <w:rFonts w:hAnsi="Times New Roman"/>
              </w:rPr>
              <w:t>经计算得知，距声源60m处，噪声即降到70dB(A)以下，施工场界的昼间噪声可满足《建筑施工场界环境噪声排放标准》（GB12523-2011）要求；距声源200m处，噪声可降到60dB(A)以下，昼间噪声满足《声环境质量标准》（GB3096-2008）2类标准要求。</w:t>
            </w:r>
          </w:p>
          <w:p w14:paraId="7EED0401">
            <w:pPr>
              <w:pStyle w:val="58"/>
              <w:adjustRightInd w:val="0"/>
              <w:snapToGrid w:val="0"/>
              <w:rPr>
                <w:rFonts w:hAnsi="Times New Roman"/>
                <w:kern w:val="2"/>
                <w:szCs w:val="24"/>
              </w:rPr>
            </w:pPr>
            <w:r>
              <w:rPr>
                <w:rFonts w:hint="eastAsia" w:hAnsi="Times New Roman"/>
                <w:lang w:eastAsia="zh-CN"/>
              </w:rPr>
              <w:t>（</w:t>
            </w:r>
            <w:r>
              <w:rPr>
                <w:rFonts w:hint="eastAsia" w:hAnsi="Times New Roman"/>
                <w:lang w:val="en-US" w:eastAsia="zh-CN"/>
              </w:rPr>
              <w:t>2</w:t>
            </w:r>
            <w:r>
              <w:rPr>
                <w:rFonts w:hint="eastAsia" w:hAnsi="Times New Roman"/>
                <w:lang w:eastAsia="zh-CN"/>
              </w:rPr>
              <w:t>）</w:t>
            </w:r>
            <w:r>
              <w:rPr>
                <w:rFonts w:hAnsi="Times New Roman"/>
              </w:rPr>
              <w:t>风机作业施工噪声影响分析</w:t>
            </w:r>
          </w:p>
          <w:p w14:paraId="65CF8D36">
            <w:pPr>
              <w:pStyle w:val="58"/>
              <w:adjustRightInd w:val="0"/>
              <w:snapToGrid w:val="0"/>
              <w:rPr>
                <w:rFonts w:hAnsi="Times New Roman"/>
                <w:kern w:val="2"/>
                <w:szCs w:val="24"/>
              </w:rPr>
            </w:pPr>
            <w:r>
              <w:rPr>
                <w:rFonts w:hAnsi="Times New Roman"/>
              </w:rPr>
              <w:t>本工程风机施工作业均安排在昼间，</w:t>
            </w:r>
            <w:r>
              <w:rPr>
                <w:rFonts w:hint="eastAsia" w:hAnsi="Times New Roman"/>
                <w:lang w:val="en-US" w:eastAsia="zh-CN"/>
              </w:rPr>
              <w:t>最近居民为乌龟冲</w:t>
            </w:r>
            <w:r>
              <w:rPr>
                <w:rFonts w:hAnsi="Times New Roman"/>
              </w:rPr>
              <w:t>居民</w:t>
            </w:r>
            <w:r>
              <w:rPr>
                <w:rFonts w:hint="eastAsia" w:hAnsi="Times New Roman"/>
                <w:lang w:eastAsia="zh-CN"/>
              </w:rPr>
              <w:t>，</w:t>
            </w:r>
            <w:r>
              <w:rPr>
                <w:rFonts w:hAnsi="Times New Roman"/>
              </w:rPr>
              <w:t>水平距离风机点施工场地</w:t>
            </w:r>
            <w:r>
              <w:rPr>
                <w:rFonts w:hint="eastAsia" w:hAnsi="Times New Roman"/>
                <w:lang w:val="en-US" w:eastAsia="zh-CN"/>
              </w:rPr>
              <w:t>320</w:t>
            </w:r>
            <w:r>
              <w:rPr>
                <w:rFonts w:hAnsi="Times New Roman"/>
              </w:rPr>
              <w:t>m，且</w:t>
            </w:r>
            <w:r>
              <w:rPr>
                <w:rFonts w:hint="eastAsia" w:hAnsi="Times New Roman"/>
                <w:lang w:val="en-US" w:eastAsia="zh-CN"/>
              </w:rPr>
              <w:t>该</w:t>
            </w:r>
            <w:r>
              <w:rPr>
                <w:rFonts w:hAnsi="Times New Roman"/>
              </w:rPr>
              <w:t>居民点均位于山脚下，有树木遮挡，其声环境质量受施工噪声影响</w:t>
            </w:r>
            <w:r>
              <w:rPr>
                <w:rFonts w:hint="eastAsia" w:hAnsi="Times New Roman"/>
              </w:rPr>
              <w:t>较小</w:t>
            </w:r>
            <w:r>
              <w:rPr>
                <w:rFonts w:hAnsi="Times New Roman"/>
              </w:rPr>
              <w:t>，可满足《声环境质量标准》</w:t>
            </w:r>
            <w:r>
              <w:rPr>
                <w:rFonts w:hint="eastAsia" w:hAnsi="Times New Roman"/>
                <w:lang w:eastAsia="zh-CN"/>
              </w:rPr>
              <w:t>（</w:t>
            </w:r>
            <w:r>
              <w:rPr>
                <w:rFonts w:hAnsi="Times New Roman"/>
              </w:rPr>
              <w:t>GB3096-2008</w:t>
            </w:r>
            <w:r>
              <w:rPr>
                <w:rFonts w:hint="eastAsia" w:hAnsi="Times New Roman"/>
                <w:lang w:eastAsia="zh-CN"/>
              </w:rPr>
              <w:t>）</w:t>
            </w:r>
            <w:r>
              <w:rPr>
                <w:rFonts w:hAnsi="Times New Roman"/>
              </w:rPr>
              <w:t>2类标准要求。因此风机安装施工不会影响附近居民的正常生活。</w:t>
            </w:r>
          </w:p>
          <w:p w14:paraId="045C1D9B">
            <w:pPr>
              <w:pStyle w:val="59"/>
              <w:ind w:firstLine="480"/>
              <w:rPr>
                <w:rFonts w:cs="Times New Roman"/>
              </w:rPr>
            </w:pPr>
            <w:r>
              <w:rPr>
                <w:rFonts w:hint="eastAsia" w:cs="Times New Roman"/>
                <w:lang w:eastAsia="zh-CN"/>
              </w:rPr>
              <w:t>（</w:t>
            </w:r>
            <w:r>
              <w:rPr>
                <w:rFonts w:hint="eastAsia" w:cs="Times New Roman"/>
                <w:lang w:val="en-US" w:eastAsia="zh-CN"/>
              </w:rPr>
              <w:t>3</w:t>
            </w:r>
            <w:r>
              <w:rPr>
                <w:rFonts w:hint="eastAsia" w:cs="Times New Roman"/>
                <w:lang w:eastAsia="zh-CN"/>
              </w:rPr>
              <w:t>）</w:t>
            </w:r>
            <w:r>
              <w:rPr>
                <w:rFonts w:hint="eastAsia" w:cs="Times New Roman"/>
              </w:rPr>
              <w:t>施工区</w:t>
            </w:r>
            <w:r>
              <w:rPr>
                <w:rFonts w:cs="Times New Roman"/>
              </w:rPr>
              <w:t>噪声影响分析</w:t>
            </w:r>
          </w:p>
          <w:p w14:paraId="10DF5026">
            <w:pPr>
              <w:pStyle w:val="58"/>
              <w:adjustRightInd w:val="0"/>
              <w:snapToGrid w:val="0"/>
              <w:rPr>
                <w:rFonts w:hAnsi="Times New Roman"/>
              </w:rPr>
            </w:pPr>
            <w:r>
              <w:rPr>
                <w:rFonts w:hAnsi="Times New Roman"/>
              </w:rPr>
              <w:t>本项目</w:t>
            </w:r>
            <w:r>
              <w:rPr>
                <w:rFonts w:hint="eastAsia" w:hAnsi="Times New Roman"/>
              </w:rPr>
              <w:t>施工区</w:t>
            </w:r>
            <w:r>
              <w:rPr>
                <w:rFonts w:hAnsi="Times New Roman"/>
              </w:rPr>
              <w:t>布置在</w:t>
            </w:r>
            <w:r>
              <w:rPr>
                <w:rFonts w:hint="eastAsia" w:hAnsi="Times New Roman"/>
              </w:rPr>
              <w:t>升压站</w:t>
            </w:r>
            <w:r>
              <w:rPr>
                <w:rFonts w:hAnsi="Times New Roman"/>
              </w:rPr>
              <w:t>附近，场区内主要</w:t>
            </w:r>
            <w:r>
              <w:rPr>
                <w:rFonts w:hint="eastAsia" w:hAnsi="Times New Roman"/>
              </w:rPr>
              <w:t>综合加工厂、综合仓库、机械停放场、施工管理区、施工生活区、道路及其他、混凝土搅拌站、砂石料堆场</w:t>
            </w:r>
            <w:r>
              <w:rPr>
                <w:rFonts w:hAnsi="Times New Roman"/>
              </w:rPr>
              <w:t>等。</w:t>
            </w:r>
            <w:r>
              <w:rPr>
                <w:rFonts w:hint="eastAsia" w:hAnsi="Times New Roman"/>
              </w:rPr>
              <w:t>临时</w:t>
            </w:r>
            <w:r>
              <w:rPr>
                <w:rFonts w:hAnsi="Times New Roman"/>
              </w:rPr>
              <w:t>施工</w:t>
            </w:r>
            <w:r>
              <w:rPr>
                <w:rFonts w:hint="eastAsia" w:hAnsi="Times New Roman"/>
              </w:rPr>
              <w:t>区</w:t>
            </w:r>
            <w:r>
              <w:rPr>
                <w:rFonts w:hAnsi="Times New Roman"/>
              </w:rPr>
              <w:t>周边</w:t>
            </w:r>
            <w:r>
              <w:rPr>
                <w:rFonts w:hint="eastAsia" w:hAnsi="Times New Roman"/>
                <w:lang w:val="en-US" w:eastAsia="zh-CN"/>
              </w:rPr>
              <w:t>300</w:t>
            </w:r>
            <w:r>
              <w:rPr>
                <w:rFonts w:hAnsi="Times New Roman"/>
              </w:rPr>
              <w:t>m范围内无居民点，</w:t>
            </w:r>
            <w:r>
              <w:rPr>
                <w:rFonts w:hint="eastAsia" w:hAnsi="Times New Roman"/>
              </w:rPr>
              <w:t>临时施工区建设及场地内机械设备作业过程均在白天进行，施工</w:t>
            </w:r>
            <w:r>
              <w:rPr>
                <w:rFonts w:hAnsi="Times New Roman"/>
              </w:rPr>
              <w:t>机械噪声对居民生活产生影响</w:t>
            </w:r>
            <w:r>
              <w:rPr>
                <w:rFonts w:hint="eastAsia" w:hAnsi="Times New Roman"/>
              </w:rPr>
              <w:t>较小</w:t>
            </w:r>
            <w:r>
              <w:rPr>
                <w:rFonts w:hAnsi="Times New Roman"/>
              </w:rPr>
              <w:t>。</w:t>
            </w:r>
          </w:p>
          <w:p w14:paraId="1C6DDDCB">
            <w:pPr>
              <w:pStyle w:val="58"/>
              <w:adjustRightInd w:val="0"/>
              <w:snapToGrid w:val="0"/>
              <w:rPr>
                <w:rFonts w:hAnsi="Times New Roman"/>
                <w:u w:val="none"/>
              </w:rPr>
            </w:pPr>
            <w:r>
              <w:rPr>
                <w:rFonts w:hint="eastAsia" w:hAnsi="Times New Roman"/>
                <w:u w:val="none"/>
                <w:lang w:eastAsia="zh-CN"/>
              </w:rPr>
              <w:t>（</w:t>
            </w:r>
            <w:r>
              <w:rPr>
                <w:rFonts w:hint="eastAsia" w:hAnsi="Times New Roman"/>
                <w:u w:val="none"/>
                <w:lang w:val="en-US" w:eastAsia="zh-CN"/>
              </w:rPr>
              <w:t>4</w:t>
            </w:r>
            <w:r>
              <w:rPr>
                <w:rFonts w:hint="eastAsia" w:hAnsi="Times New Roman"/>
                <w:u w:val="none"/>
                <w:lang w:eastAsia="zh-CN"/>
              </w:rPr>
              <w:t>）</w:t>
            </w:r>
            <w:r>
              <w:rPr>
                <w:rFonts w:hAnsi="Times New Roman"/>
                <w:u w:val="none"/>
              </w:rPr>
              <w:t>道路施工噪声影响分析</w:t>
            </w:r>
          </w:p>
          <w:p w14:paraId="6C9A221A">
            <w:pPr>
              <w:adjustRightInd w:val="0"/>
              <w:snapToGrid w:val="0"/>
              <w:spacing w:line="360" w:lineRule="auto"/>
              <w:ind w:firstLine="480" w:firstLineChars="200"/>
              <w:rPr>
                <w:sz w:val="24"/>
                <w:u w:val="none"/>
              </w:rPr>
            </w:pPr>
            <w:r>
              <w:rPr>
                <w:color w:val="FF0000"/>
                <w:sz w:val="24"/>
                <w:u w:val="none"/>
              </w:rPr>
              <w:t>本项目</w:t>
            </w:r>
            <w:r>
              <w:rPr>
                <w:rFonts w:hint="eastAsia"/>
                <w:color w:val="FF0000"/>
                <w:sz w:val="24"/>
                <w:u w:val="none"/>
              </w:rPr>
              <w:t>进场道路</w:t>
            </w:r>
            <w:r>
              <w:rPr>
                <w:rFonts w:hint="eastAsia"/>
                <w:color w:val="FF0000"/>
                <w:sz w:val="24"/>
                <w:u w:val="none"/>
                <w:lang w:val="en-US" w:eastAsia="zh-CN"/>
              </w:rPr>
              <w:t>2.77</w:t>
            </w:r>
            <w:r>
              <w:rPr>
                <w:rFonts w:hint="eastAsia"/>
                <w:color w:val="FF0000"/>
                <w:sz w:val="24"/>
                <w:u w:val="none"/>
              </w:rPr>
              <w:t>km，利用现有村道；</w:t>
            </w:r>
            <w:r>
              <w:rPr>
                <w:color w:val="FF0000"/>
                <w:sz w:val="24"/>
                <w:u w:val="none"/>
              </w:rPr>
              <w:t>新建场内道路共</w:t>
            </w:r>
            <w:r>
              <w:rPr>
                <w:rFonts w:hint="eastAsia"/>
                <w:color w:val="FF0000"/>
                <w:sz w:val="24"/>
                <w:u w:val="none"/>
                <w:lang w:val="en-US" w:eastAsia="zh-CN"/>
              </w:rPr>
              <w:t>30.75</w:t>
            </w:r>
            <w:r>
              <w:rPr>
                <w:color w:val="FF0000"/>
                <w:sz w:val="24"/>
                <w:u w:val="none"/>
              </w:rPr>
              <w:t>km</w:t>
            </w:r>
            <w:r>
              <w:rPr>
                <w:rFonts w:hint="eastAsia"/>
                <w:color w:val="FF0000"/>
                <w:sz w:val="24"/>
                <w:u w:val="none"/>
              </w:rPr>
              <w:t>。</w:t>
            </w:r>
            <w:r>
              <w:rPr>
                <w:rFonts w:hint="eastAsia"/>
                <w:sz w:val="24"/>
                <w:u w:val="none"/>
              </w:rPr>
              <w:t>运输</w:t>
            </w:r>
            <w:r>
              <w:rPr>
                <w:sz w:val="24"/>
                <w:u w:val="none"/>
              </w:rPr>
              <w:t>道路</w:t>
            </w:r>
            <w:r>
              <w:rPr>
                <w:rFonts w:hint="eastAsia"/>
                <w:sz w:val="24"/>
                <w:u w:val="none"/>
              </w:rPr>
              <w:t>两侧</w:t>
            </w:r>
            <w:r>
              <w:rPr>
                <w:sz w:val="24"/>
                <w:u w:val="none"/>
              </w:rPr>
              <w:t>较近的居民点主要</w:t>
            </w:r>
            <w:r>
              <w:rPr>
                <w:rFonts w:hint="eastAsia"/>
                <w:sz w:val="24"/>
                <w:u w:val="none"/>
              </w:rPr>
              <w:t>有</w:t>
            </w:r>
            <w:r>
              <w:rPr>
                <w:rFonts w:hint="eastAsia"/>
                <w:sz w:val="24"/>
                <w:u w:val="none"/>
                <w:lang w:val="en-US" w:eastAsia="zh-CN"/>
              </w:rPr>
              <w:t>江河里居民点、乌龟冲居民点和刘家湾居民点</w:t>
            </w:r>
            <w:r>
              <w:rPr>
                <w:rFonts w:hint="eastAsia"/>
                <w:sz w:val="24"/>
                <w:u w:val="none"/>
              </w:rPr>
              <w:t>等</w:t>
            </w:r>
            <w:r>
              <w:rPr>
                <w:sz w:val="24"/>
                <w:u w:val="none"/>
              </w:rPr>
              <w:t>。道路施工过程中挖掘机、推土机、手风钻机、卷扬机和自卸汽车的运行产生噪声对两侧居民声环境存在一定不利影响。道路施工时，距离道路在200m</w:t>
            </w:r>
            <w:r>
              <w:rPr>
                <w:rFonts w:hint="eastAsia"/>
                <w:sz w:val="24"/>
                <w:u w:val="none"/>
              </w:rPr>
              <w:t>范围</w:t>
            </w:r>
            <w:r>
              <w:rPr>
                <w:sz w:val="24"/>
                <w:u w:val="none"/>
              </w:rPr>
              <w:t>居民点受到噪声较大影响。但工程施工作业均安排在昼间，相关路段的施工期很短，施工期的噪声影响是间歇性、且是暂时性的，本建设项目建设结束后施工噪声影响即可消失。</w:t>
            </w:r>
          </w:p>
          <w:p w14:paraId="6AE56F98">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u w:val="none"/>
              </w:rPr>
            </w:pPr>
            <w:r>
              <w:rPr>
                <w:sz w:val="24"/>
                <w:u w:val="none"/>
              </w:rPr>
              <w:t>为确保施工期间厂界噪声能够达标排放，本环评要求将高噪声设备远离施工场界和居民点布置；噪声敏感点采取设置临时围挡措施；合理安排施工进度和时间，尽量缩短环境敏感点附近施工作业时间；噪声敏感点附近禁止夜间施工。减少施工交通噪声：对运输车辆定期维修、养护，减少或杜绝鸣笛，合理安排运输路线，运输车辆在通过居民点时应减速行驶慢行、禁鸣、夜间禁止运输。</w:t>
            </w:r>
          </w:p>
          <w:p w14:paraId="0E742200">
            <w:pPr>
              <w:pStyle w:val="58"/>
              <w:keepNext w:val="0"/>
              <w:keepLines w:val="0"/>
              <w:pageBreakBefore w:val="0"/>
              <w:kinsoku/>
              <w:wordWrap/>
              <w:overflowPunct/>
              <w:topLinePunct w:val="0"/>
              <w:autoSpaceDE/>
              <w:autoSpaceDN/>
              <w:bidi w:val="0"/>
              <w:textAlignment w:val="auto"/>
              <w:rPr>
                <w:rFonts w:hAnsi="Times New Roman"/>
                <w:kern w:val="2"/>
                <w:szCs w:val="24"/>
              </w:rPr>
            </w:pPr>
            <w:r>
              <w:rPr>
                <w:rFonts w:hint="eastAsia" w:hAnsi="Times New Roman"/>
                <w:kern w:val="2"/>
                <w:szCs w:val="24"/>
                <w:lang w:eastAsia="zh-CN"/>
              </w:rPr>
              <w:t>（</w:t>
            </w:r>
            <w:r>
              <w:rPr>
                <w:rFonts w:hint="eastAsia" w:hAnsi="Times New Roman"/>
                <w:kern w:val="2"/>
                <w:szCs w:val="24"/>
                <w:lang w:val="en-US" w:eastAsia="zh-CN"/>
              </w:rPr>
              <w:t>5</w:t>
            </w:r>
            <w:r>
              <w:rPr>
                <w:rFonts w:hint="eastAsia" w:hAnsi="Times New Roman"/>
                <w:kern w:val="2"/>
                <w:szCs w:val="24"/>
                <w:lang w:eastAsia="zh-CN"/>
              </w:rPr>
              <w:t>）</w:t>
            </w:r>
            <w:r>
              <w:rPr>
                <w:rFonts w:hAnsi="Times New Roman"/>
                <w:kern w:val="2"/>
                <w:szCs w:val="24"/>
              </w:rPr>
              <w:t>施工爆破噪声影响预测评价</w:t>
            </w:r>
          </w:p>
          <w:p w14:paraId="3B0E90BB">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cs="Times New Roman"/>
                <w:szCs w:val="24"/>
              </w:rPr>
              <w:t>道路修建时石方爆破产生的噪声为瞬时性强声源，噪声源可达110dB，影响范围较大，但爆破时段很短，爆炸完后，噪声即消失，居民受其影响程度有限。居民点附近改造道路爆破施工时，应优化施工工艺，减小施工爆破噪声，建议委托专业爆破公司进行；爆破作业须在上午8:30~11:30、</w:t>
            </w:r>
            <w:r>
              <w:rPr>
                <w:rFonts w:hint="eastAsia" w:cs="Times New Roman"/>
                <w:szCs w:val="24"/>
                <w:lang w:eastAsia="zh-CN"/>
              </w:rPr>
              <w:t>下午2</w:t>
            </w:r>
            <w:r>
              <w:rPr>
                <w:rFonts w:cs="Times New Roman"/>
                <w:szCs w:val="24"/>
              </w:rPr>
              <w:t>:30~18:30进行。在采取一定措施后，爆破声对周围环境影响较小。</w:t>
            </w:r>
          </w:p>
          <w:p w14:paraId="51CF66F5">
            <w:pPr>
              <w:adjustRightInd w:val="0"/>
              <w:snapToGrid w:val="0"/>
              <w:spacing w:line="360" w:lineRule="auto"/>
              <w:outlineLvl w:val="1"/>
              <w:rPr>
                <w:b/>
                <w:bCs/>
                <w:sz w:val="24"/>
              </w:rPr>
            </w:pPr>
            <w:r>
              <w:rPr>
                <w:b/>
                <w:bCs/>
                <w:sz w:val="24"/>
              </w:rPr>
              <w:t>4.5</w:t>
            </w:r>
            <w:r>
              <w:rPr>
                <w:rFonts w:hint="eastAsia"/>
                <w:b/>
                <w:bCs/>
                <w:sz w:val="24"/>
              </w:rPr>
              <w:t>施工期固体废物环境影响分析</w:t>
            </w:r>
          </w:p>
          <w:p w14:paraId="78757085">
            <w:pPr>
              <w:pStyle w:val="62"/>
              <w:ind w:firstLine="480"/>
              <w:rPr>
                <w:rFonts w:hAnsi="宋体" w:cs="Times New Roman"/>
              </w:rPr>
            </w:pPr>
            <w:r>
              <w:rPr>
                <w:rFonts w:hAnsi="宋体" w:cs="Times New Roman"/>
              </w:rPr>
              <w:t>本项目施工期固体废物包括施工弃渣、施工人员生活垃圾。风电施工废渣来自于土石方开挖，基本上属无毒害的天然风化物，其影响主要是占压土地、影响自然景观、改变土地的使用功能等。</w:t>
            </w:r>
          </w:p>
          <w:p w14:paraId="77FE6552">
            <w:pPr>
              <w:pStyle w:val="62"/>
              <w:ind w:firstLine="480"/>
              <w:rPr>
                <w:rFonts w:hAnsi="宋体" w:cs="Times New Roman"/>
              </w:rPr>
            </w:pPr>
            <w:r>
              <w:rPr>
                <w:rFonts w:hint="eastAsia" w:hAnsi="宋体" w:cs="Times New Roman"/>
              </w:rPr>
              <w:t>（1）</w:t>
            </w:r>
            <w:r>
              <w:rPr>
                <w:rFonts w:hAnsi="宋体" w:cs="Times New Roman"/>
              </w:rPr>
              <w:t>施工弃渣</w:t>
            </w:r>
          </w:p>
          <w:p w14:paraId="75732087">
            <w:pPr>
              <w:pStyle w:val="62"/>
              <w:ind w:firstLine="480"/>
              <w:rPr>
                <w:rFonts w:hAnsi="宋体" w:cs="Times New Roman"/>
              </w:rPr>
            </w:pPr>
            <w:r>
              <w:rPr>
                <w:rFonts w:hAnsi="宋体" w:cs="Times New Roman"/>
                <w:u w:val="none"/>
              </w:rPr>
              <w:t>根据</w:t>
            </w:r>
            <w:r>
              <w:rPr>
                <w:rFonts w:hint="eastAsia" w:hAnsi="宋体" w:cs="Times New Roman"/>
                <w:u w:val="none"/>
                <w:lang w:val="en-US" w:eastAsia="zh-CN"/>
              </w:rPr>
              <w:t>项目水土保持报告书</w:t>
            </w:r>
            <w:r>
              <w:rPr>
                <w:rFonts w:hAnsi="宋体" w:cs="Times New Roman"/>
                <w:u w:val="none"/>
              </w:rPr>
              <w:t>，</w:t>
            </w:r>
            <w:r>
              <w:rPr>
                <w:rFonts w:hint="eastAsia" w:hAnsi="宋体" w:cs="Times New Roman"/>
                <w:color w:val="FF0000"/>
                <w:u w:val="none"/>
              </w:rPr>
              <w:t>本项目土石方开挖总量</w:t>
            </w:r>
            <w:r>
              <w:rPr>
                <w:rFonts w:hint="eastAsia" w:hAnsi="宋体" w:cs="Times New Roman"/>
                <w:color w:val="FF0000"/>
                <w:u w:val="none"/>
                <w:lang w:val="en-US" w:eastAsia="zh-CN"/>
              </w:rPr>
              <w:t>116.12</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（含表土剥离</w:t>
            </w:r>
            <w:r>
              <w:rPr>
                <w:rFonts w:hint="eastAsia" w:hAnsi="宋体" w:cs="Times New Roman"/>
                <w:color w:val="FF0000"/>
                <w:u w:val="none"/>
                <w:lang w:val="en-US" w:eastAsia="zh-CN"/>
              </w:rPr>
              <w:t>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填方72.82</w:t>
            </w:r>
            <w:r>
              <w:rPr>
                <w:rFonts w:hint="eastAsia" w:hAnsi="宋体" w:cs="Times New Roman"/>
                <w:color w:val="FF0000"/>
                <w:u w:val="none"/>
              </w:rPr>
              <w:t>万</w:t>
            </w:r>
            <w:r>
              <w:rPr>
                <w:rFonts w:hAnsi="宋体" w:cs="Times New Roman"/>
                <w:color w:val="FF0000"/>
                <w:u w:val="none"/>
              </w:rPr>
              <w:t>m</w:t>
            </w:r>
            <w:r>
              <w:rPr>
                <w:rFonts w:hAnsi="宋体" w:cs="Times New Roman"/>
                <w:color w:val="FF0000"/>
                <w:u w:val="none"/>
                <w:vertAlign w:val="superscript"/>
              </w:rPr>
              <w:t>3</w:t>
            </w:r>
            <w:r>
              <w:rPr>
                <w:rFonts w:hint="eastAsia" w:hAnsi="宋体" w:cs="Times New Roman"/>
                <w:color w:val="FF0000"/>
                <w:u w:val="none"/>
              </w:rPr>
              <w:t>（含表土</w:t>
            </w:r>
            <w:r>
              <w:rPr>
                <w:rFonts w:hint="eastAsia" w:hAnsi="宋体" w:cs="Times New Roman"/>
                <w:color w:val="FF0000"/>
                <w:u w:val="none"/>
                <w:lang w:val="en-US" w:eastAsia="zh-CN"/>
              </w:rPr>
              <w:t>回填7.63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无借方，</w:t>
            </w:r>
            <w:r>
              <w:rPr>
                <w:rFonts w:hint="eastAsia" w:hAnsi="宋体" w:cs="Times New Roman"/>
                <w:color w:val="FF0000"/>
                <w:u w:val="none"/>
              </w:rPr>
              <w:t>弃渣</w:t>
            </w:r>
            <w:r>
              <w:rPr>
                <w:rFonts w:hint="eastAsia" w:hAnsi="宋体" w:cs="Times New Roman"/>
                <w:color w:val="FF0000"/>
                <w:u w:val="none"/>
                <w:lang w:val="en-US" w:eastAsia="zh-CN"/>
              </w:rPr>
              <w:t>43.3</w:t>
            </w:r>
            <w:r>
              <w:rPr>
                <w:rFonts w:hint="eastAsia" w:hAnsi="宋体" w:cs="Times New Roman"/>
                <w:color w:val="FF0000"/>
                <w:u w:val="none"/>
              </w:rPr>
              <w:t>万m</w:t>
            </w:r>
            <w:r>
              <w:rPr>
                <w:rFonts w:hint="eastAsia" w:hAnsi="宋体" w:cs="Times New Roman"/>
                <w:color w:val="FF0000"/>
                <w:u w:val="none"/>
                <w:vertAlign w:val="superscript"/>
              </w:rPr>
              <w:t>3</w:t>
            </w:r>
            <w:r>
              <w:rPr>
                <w:rFonts w:hint="eastAsia" w:hAnsi="宋体" w:cs="Times New Roman"/>
                <w:color w:val="FF0000"/>
                <w:u w:val="none"/>
              </w:rPr>
              <w:t>，</w:t>
            </w:r>
            <w:r>
              <w:rPr>
                <w:rFonts w:hint="eastAsia" w:hAnsi="宋体" w:cs="Times New Roman"/>
                <w:color w:val="FF0000"/>
                <w:u w:val="none"/>
                <w:lang w:val="en-US" w:eastAsia="zh-CN"/>
              </w:rPr>
              <w:t>设弃渣场9处</w:t>
            </w:r>
            <w:r>
              <w:rPr>
                <w:rFonts w:hAnsi="宋体" w:cs="Times New Roman"/>
                <w:u w:val="none"/>
              </w:rPr>
              <w:t>。</w:t>
            </w:r>
            <w:r>
              <w:rPr>
                <w:rFonts w:hAnsi="宋体" w:cs="Times New Roman"/>
              </w:rPr>
              <w:t>各弃渣场均按要求设置截、排水沟、挡土墙、护坡等水土保持设施，</w:t>
            </w:r>
            <w:r>
              <w:rPr>
                <w:rFonts w:hint="eastAsia" w:hAnsi="宋体" w:cs="Times New Roman"/>
              </w:rPr>
              <w:t>最后</w:t>
            </w:r>
            <w:r>
              <w:rPr>
                <w:rFonts w:hAnsi="宋体" w:cs="Times New Roman"/>
              </w:rPr>
              <w:t>进行覆土恢复，经植物措施可恢复原土地使用功能，采取上述措施后，施工弃渣得到合理处置。</w:t>
            </w:r>
          </w:p>
          <w:p w14:paraId="07D431C3">
            <w:pPr>
              <w:pStyle w:val="62"/>
              <w:ind w:firstLine="480"/>
              <w:rPr>
                <w:rFonts w:hAnsi="宋体" w:cs="Times New Roman"/>
              </w:rPr>
            </w:pPr>
            <w:r>
              <w:rPr>
                <w:rFonts w:hint="eastAsia" w:hAnsi="宋体" w:cs="Times New Roman"/>
              </w:rPr>
              <w:t>（2）</w:t>
            </w:r>
            <w:r>
              <w:rPr>
                <w:rFonts w:hAnsi="宋体" w:cs="Times New Roman"/>
              </w:rPr>
              <w:t>生活垃圾</w:t>
            </w:r>
          </w:p>
          <w:p w14:paraId="4BB5F592">
            <w:pPr>
              <w:pStyle w:val="62"/>
              <w:ind w:firstLine="480"/>
              <w:rPr>
                <w:rFonts w:hAnsi="宋体" w:cs="Times New Roman"/>
              </w:rPr>
            </w:pPr>
            <w:r>
              <w:rPr>
                <w:rFonts w:hAnsi="宋体" w:cs="Times New Roman"/>
              </w:rPr>
              <w:t>本项目施工期建设方在施工区设立垃圾桶，施工生活垃圾收集后</w:t>
            </w:r>
            <w:r>
              <w:rPr>
                <w:rFonts w:hint="eastAsia" w:hAnsi="宋体" w:cs="Times New Roman"/>
              </w:rPr>
              <w:t>定期</w:t>
            </w:r>
            <w:r>
              <w:rPr>
                <w:rFonts w:hAnsi="宋体" w:cs="Times New Roman"/>
              </w:rPr>
              <w:t>交环卫部门处理，对环境影响较小。</w:t>
            </w:r>
          </w:p>
          <w:p w14:paraId="591CCC75">
            <w:pPr>
              <w:pStyle w:val="62"/>
              <w:ind w:firstLine="480"/>
              <w:rPr>
                <w:rFonts w:hAnsi="宋体" w:cs="Times New Roman"/>
              </w:rPr>
            </w:pPr>
            <w:r>
              <w:rPr>
                <w:rFonts w:hAnsi="宋体" w:cs="Times New Roman"/>
              </w:rPr>
              <w:t>采取上述措施后，施工期产生的固体废物均能得到合理</w:t>
            </w:r>
            <w:r>
              <w:rPr>
                <w:rFonts w:hint="eastAsia" w:hAnsi="宋体" w:cs="Times New Roman"/>
              </w:rPr>
              <w:t>处置。</w:t>
            </w:r>
          </w:p>
          <w:p w14:paraId="3E02E210">
            <w:pPr>
              <w:adjustRightInd w:val="0"/>
              <w:snapToGrid w:val="0"/>
              <w:spacing w:line="360" w:lineRule="auto"/>
              <w:outlineLvl w:val="1"/>
              <w:rPr>
                <w:b/>
                <w:bCs/>
                <w:sz w:val="24"/>
              </w:rPr>
            </w:pPr>
            <w:r>
              <w:rPr>
                <w:b/>
                <w:bCs/>
                <w:sz w:val="24"/>
              </w:rPr>
              <w:t>4.6</w:t>
            </w:r>
            <w:r>
              <w:rPr>
                <w:rFonts w:hint="eastAsia"/>
                <w:b/>
                <w:bCs/>
                <w:sz w:val="24"/>
              </w:rPr>
              <w:t>施工期水土流失影响评价</w:t>
            </w:r>
          </w:p>
          <w:p w14:paraId="2AE95410">
            <w:pPr>
              <w:autoSpaceDE w:val="0"/>
              <w:spacing w:line="360" w:lineRule="auto"/>
              <w:ind w:firstLine="480" w:firstLineChars="200"/>
              <w:rPr>
                <w:rFonts w:hAnsi="宋体"/>
                <w:sz w:val="24"/>
              </w:rPr>
            </w:pPr>
            <w:r>
              <w:rPr>
                <w:rFonts w:hint="eastAsia" w:hAnsi="宋体"/>
                <w:sz w:val="24"/>
              </w:rPr>
              <w:t>（1）水土流失成因分析</w:t>
            </w:r>
          </w:p>
          <w:p w14:paraId="1EDA5C1F">
            <w:pPr>
              <w:autoSpaceDE w:val="0"/>
              <w:spacing w:line="360" w:lineRule="auto"/>
              <w:ind w:firstLine="480" w:firstLineChars="200"/>
              <w:rPr>
                <w:rFonts w:hAnsi="宋体"/>
                <w:sz w:val="24"/>
              </w:rPr>
            </w:pPr>
            <w:r>
              <w:rPr>
                <w:rFonts w:hint="eastAsia" w:hAnsi="宋体"/>
                <w:sz w:val="24"/>
              </w:rPr>
              <w:t>本</w:t>
            </w:r>
            <w:r>
              <w:rPr>
                <w:rFonts w:hint="eastAsia" w:hAnsi="宋体"/>
                <w:sz w:val="24"/>
                <w:lang w:val="en-US" w:eastAsia="zh-CN"/>
              </w:rPr>
              <w:t>项目</w:t>
            </w:r>
            <w:r>
              <w:rPr>
                <w:rFonts w:hint="eastAsia" w:hAnsi="宋体"/>
                <w:sz w:val="24"/>
              </w:rPr>
              <w:t>为点状和线状相结合的工程，项目建设综合利用自身开挖的土石方资源，主要建设内容为道路工程和机组及箱变的基础工程及临建设施等，因此，本项目的水土流失主要成线状和面状分布，主要表现如下：</w:t>
            </w:r>
          </w:p>
          <w:p w14:paraId="6706CAA8">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损坏了项目区具有水土保持功能的林草植被。工程建设改变了原地形地貌，破坏植被，施工区容易受降雨和地表径流冲刷产生水土流失。</w:t>
            </w:r>
          </w:p>
          <w:p w14:paraId="101DBF01">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破坏地表土壤结构。工程施工需破坏原有具有水土保持功能的地面，大量的扰动使土壤结构改变，抗蚀力显著降低，在降雨和径流等自然因素影响下极易产生水土流失。</w:t>
            </w:r>
          </w:p>
          <w:p w14:paraId="75667AC5">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道路工程、风机安装平台的土石方工程量较大，无法全部回填利用。开挖、回填面裸露，基础基坑开挖后需临时堆放回填土方，这些敏感性的区域，极易造成水土流失。</w:t>
            </w:r>
          </w:p>
          <w:p w14:paraId="3D6BDDB0">
            <w:pPr>
              <w:autoSpaceDE w:val="0"/>
              <w:spacing w:line="360" w:lineRule="auto"/>
              <w:ind w:firstLine="480" w:firstLineChars="200"/>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施工中形成了易受降雨径流冲刷的边坡。施工过程中的临时堆土和施工产生的裸露边坡，将加剧水土流失进程。</w:t>
            </w:r>
          </w:p>
          <w:p w14:paraId="5096FB6F">
            <w:pPr>
              <w:autoSpaceDE w:val="0"/>
              <w:spacing w:line="360" w:lineRule="auto"/>
              <w:ind w:firstLine="480" w:firstLineChars="200"/>
              <w:rPr>
                <w:rFonts w:hAnsi="宋体"/>
                <w:sz w:val="24"/>
              </w:rPr>
            </w:pPr>
            <w:r>
              <w:rPr>
                <w:rFonts w:hint="eastAsia" w:hAnsi="宋体"/>
                <w:sz w:val="24"/>
              </w:rPr>
              <w:t>（2）工程建设及运行对水土流失的影响</w:t>
            </w:r>
          </w:p>
          <w:p w14:paraId="752A268C">
            <w:pPr>
              <w:autoSpaceDE w:val="0"/>
              <w:spacing w:line="360" w:lineRule="auto"/>
              <w:ind w:firstLine="480" w:firstLineChars="200"/>
              <w:rPr>
                <w:rFonts w:hAnsi="宋体"/>
                <w:sz w:val="24"/>
              </w:rPr>
            </w:pPr>
            <w:r>
              <w:rPr>
                <w:rFonts w:hint="eastAsia" w:hAnsi="宋体"/>
                <w:sz w:val="24"/>
              </w:rPr>
              <w:t>本项目的水土流失主要集中在施工期内。本项目风机安装平台、道路的路基开挖与回填等将破坏地表原有的植被和地表土壤结构，使土壤结构松散，抗侵蚀能力减弱；同时会产生一些临时性的堆土，有可能造成新的水土流失。因此，在风电场建设过程中，如不采取有效的水土保持防治措施，将进一步引起新的水土流失，给施工建设期的施工安全带来危害，有可能危害风电场的安全生产。运行期内风电场的水土流失防治措施发挥效益，能有效的控制水土流失，只要没有人为的再破坏，工程运行期水土流失将难以发生。</w:t>
            </w:r>
          </w:p>
          <w:p w14:paraId="328DC395">
            <w:pPr>
              <w:autoSpaceDE w:val="0"/>
              <w:spacing w:line="360" w:lineRule="auto"/>
              <w:ind w:firstLine="480" w:firstLineChars="200"/>
              <w:rPr>
                <w:rFonts w:hAnsi="宋体"/>
                <w:sz w:val="24"/>
                <w:u w:val="none"/>
              </w:rPr>
            </w:pPr>
            <w:r>
              <w:rPr>
                <w:rFonts w:hint="eastAsia" w:hAnsi="宋体"/>
                <w:sz w:val="24"/>
                <w:u w:val="none"/>
              </w:rPr>
              <w:t>（3）水土流失预测</w:t>
            </w:r>
          </w:p>
          <w:p w14:paraId="49BEFDF6">
            <w:pPr>
              <w:spacing w:line="360" w:lineRule="auto"/>
              <w:ind w:firstLine="480" w:firstLineChars="200"/>
              <w:rPr>
                <w:rFonts w:hAnsi="宋体"/>
                <w:color w:val="FF0000"/>
                <w:sz w:val="24"/>
                <w:u w:val="none"/>
              </w:rPr>
            </w:pPr>
            <w:r>
              <w:rPr>
                <w:rFonts w:hint="eastAsia" w:hAnsi="宋体"/>
                <w:color w:val="FF0000"/>
                <w:sz w:val="24"/>
                <w:u w:val="none"/>
                <w:lang w:val="en-US" w:eastAsia="zh-CN"/>
              </w:rPr>
              <w:t>根据项目水土保持报告，</w:t>
            </w:r>
            <w:r>
              <w:rPr>
                <w:rFonts w:hAnsi="宋体"/>
                <w:color w:val="FF0000"/>
                <w:sz w:val="24"/>
                <w:u w:val="none"/>
              </w:rPr>
              <w:t>本工程在建设期可能造成水土流失总量为</w:t>
            </w:r>
            <w:r>
              <w:rPr>
                <w:rFonts w:hint="eastAsia" w:hAnsi="宋体"/>
                <w:color w:val="FF0000"/>
                <w:sz w:val="24"/>
                <w:u w:val="none"/>
                <w:lang w:val="en-US" w:eastAsia="zh-CN"/>
              </w:rPr>
              <w:t>5455.19</w:t>
            </w:r>
            <w:r>
              <w:rPr>
                <w:rFonts w:hAnsi="宋体"/>
                <w:color w:val="FF0000"/>
                <w:sz w:val="24"/>
                <w:u w:val="none"/>
              </w:rPr>
              <w:t>t，其中新增水土流失总量为2371t，各区水土流失量汇总见</w:t>
            </w:r>
            <w:r>
              <w:rPr>
                <w:rFonts w:hint="eastAsia" w:hAnsi="宋体"/>
                <w:color w:val="FF0000"/>
                <w:sz w:val="24"/>
                <w:u w:val="none"/>
              </w:rPr>
              <w:t>下表</w:t>
            </w:r>
            <w:r>
              <w:rPr>
                <w:rFonts w:hAnsi="宋体"/>
                <w:color w:val="FF0000"/>
                <w:sz w:val="24"/>
                <w:u w:val="none"/>
              </w:rPr>
              <w:t>。由表可知，本工程水土流失防治的重点</w:t>
            </w:r>
            <w:r>
              <w:rPr>
                <w:rFonts w:hint="eastAsia" w:hAnsi="宋体"/>
                <w:color w:val="FF0000"/>
                <w:sz w:val="24"/>
                <w:u w:val="none"/>
              </w:rPr>
              <w:t>是交通道路区、风电机组区、弃渣场区</w:t>
            </w:r>
            <w:r>
              <w:rPr>
                <w:rFonts w:hAnsi="宋体"/>
                <w:color w:val="FF0000"/>
                <w:sz w:val="24"/>
                <w:u w:val="none"/>
              </w:rPr>
              <w:t>。</w:t>
            </w:r>
          </w:p>
          <w:p w14:paraId="1F6A7656">
            <w:pPr>
              <w:jc w:val="center"/>
              <w:rPr>
                <w:rFonts w:hint="eastAsia" w:eastAsia="宋体"/>
                <w:b/>
                <w:color w:val="FF0000"/>
                <w:sz w:val="24"/>
                <w:u w:val="none"/>
                <w:lang w:eastAsia="zh-CN"/>
              </w:rPr>
            </w:pPr>
            <w:r>
              <w:rPr>
                <w:rFonts w:hint="eastAsia"/>
                <w:b/>
                <w:color w:val="FF0000"/>
                <w:sz w:val="24"/>
                <w:u w:val="none"/>
              </w:rPr>
              <w:t>表4</w:t>
            </w:r>
            <w:r>
              <w:rPr>
                <w:rFonts w:hint="eastAsia"/>
                <w:b/>
                <w:color w:val="FF0000"/>
                <w:sz w:val="24"/>
                <w:u w:val="none"/>
                <w:lang w:val="en-US" w:eastAsia="zh-CN"/>
              </w:rPr>
              <w:t xml:space="preserve">-5  </w:t>
            </w:r>
            <w:r>
              <w:rPr>
                <w:rFonts w:hint="eastAsia"/>
                <w:b/>
                <w:color w:val="FF0000"/>
                <w:sz w:val="24"/>
                <w:u w:val="none"/>
              </w:rPr>
              <w:t>本项目水土流失量汇总表</w:t>
            </w:r>
          </w:p>
          <w:tbl>
            <w:tblPr>
              <w:tblStyle w:val="32"/>
              <w:tblW w:w="4971" w:type="pct"/>
              <w:tblInd w:w="15"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711"/>
              <w:gridCol w:w="1008"/>
              <w:gridCol w:w="1268"/>
              <w:gridCol w:w="954"/>
              <w:gridCol w:w="1127"/>
              <w:gridCol w:w="975"/>
              <w:gridCol w:w="1218"/>
            </w:tblGrid>
            <w:tr w14:paraId="4CFC4A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vMerge w:val="restart"/>
                  <w:tcBorders>
                    <w:left w:val="nil"/>
                  </w:tcBorders>
                  <w:vAlign w:val="center"/>
                </w:tcPr>
                <w:p w14:paraId="5988DF58">
                  <w:pPr>
                    <w:widowControl/>
                    <w:jc w:val="center"/>
                    <w:rPr>
                      <w:color w:val="FF0000"/>
                      <w:kern w:val="0"/>
                      <w:szCs w:val="21"/>
                      <w:u w:val="none"/>
                    </w:rPr>
                  </w:pPr>
                  <w:r>
                    <w:rPr>
                      <w:color w:val="FF0000"/>
                      <w:kern w:val="0"/>
                      <w:szCs w:val="21"/>
                      <w:u w:val="none"/>
                    </w:rPr>
                    <w:t>预测分区</w:t>
                  </w:r>
                </w:p>
              </w:tc>
              <w:tc>
                <w:tcPr>
                  <w:tcW w:w="2636" w:type="pct"/>
                  <w:gridSpan w:val="4"/>
                  <w:vAlign w:val="center"/>
                </w:tcPr>
                <w:p w14:paraId="4DC98CCA">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水土流失总量（t）</w:t>
                  </w:r>
                </w:p>
              </w:tc>
              <w:tc>
                <w:tcPr>
                  <w:tcW w:w="1327" w:type="pct"/>
                  <w:gridSpan w:val="2"/>
                  <w:tcBorders>
                    <w:right w:val="nil"/>
                  </w:tcBorders>
                  <w:vAlign w:val="center"/>
                </w:tcPr>
                <w:p w14:paraId="40B93EA0">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新增水土流失量（t）</w:t>
                  </w:r>
                </w:p>
              </w:tc>
            </w:tr>
            <w:tr w14:paraId="2AB015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vMerge w:val="continue"/>
                  <w:tcBorders>
                    <w:left w:val="nil"/>
                  </w:tcBorders>
                  <w:vAlign w:val="center"/>
                </w:tcPr>
                <w:p w14:paraId="4383F955">
                  <w:pPr>
                    <w:widowControl/>
                    <w:jc w:val="center"/>
                    <w:rPr>
                      <w:color w:val="FF0000"/>
                      <w:kern w:val="0"/>
                      <w:szCs w:val="21"/>
                      <w:u w:val="none"/>
                    </w:rPr>
                  </w:pPr>
                </w:p>
              </w:tc>
              <w:tc>
                <w:tcPr>
                  <w:tcW w:w="610" w:type="pct"/>
                  <w:vAlign w:val="center"/>
                </w:tcPr>
                <w:p w14:paraId="7C806292">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施工期</w:t>
                  </w:r>
                </w:p>
              </w:tc>
              <w:tc>
                <w:tcPr>
                  <w:tcW w:w="767" w:type="pct"/>
                  <w:vAlign w:val="center"/>
                </w:tcPr>
                <w:p w14:paraId="76D96905">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自然恢复期</w:t>
                  </w:r>
                </w:p>
              </w:tc>
              <w:tc>
                <w:tcPr>
                  <w:tcW w:w="577" w:type="pct"/>
                  <w:vAlign w:val="center"/>
                </w:tcPr>
                <w:p w14:paraId="0AB0A3BC">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小计</w:t>
                  </w:r>
                </w:p>
              </w:tc>
              <w:tc>
                <w:tcPr>
                  <w:tcW w:w="680" w:type="pct"/>
                  <w:vAlign w:val="center"/>
                </w:tcPr>
                <w:p w14:paraId="547A7A61">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占总量（%）</w:t>
                  </w:r>
                </w:p>
              </w:tc>
              <w:tc>
                <w:tcPr>
                  <w:tcW w:w="590" w:type="pct"/>
                  <w:vAlign w:val="center"/>
                </w:tcPr>
                <w:p w14:paraId="7DF6383C">
                  <w:pPr>
                    <w:widowControl/>
                    <w:jc w:val="center"/>
                    <w:rPr>
                      <w:rFonts w:ascii="Times New Roman" w:hAnsi="Times New Roman" w:eastAsia="宋体" w:cs="Times New Roman"/>
                      <w:color w:val="FF0000"/>
                      <w:kern w:val="0"/>
                      <w:sz w:val="21"/>
                      <w:szCs w:val="21"/>
                      <w:u w:val="none"/>
                      <w:lang w:val="en-US" w:eastAsia="zh-CN" w:bidi="ar-SA"/>
                    </w:rPr>
                  </w:pPr>
                  <w:r>
                    <w:rPr>
                      <w:color w:val="FF0000"/>
                      <w:kern w:val="0"/>
                      <w:szCs w:val="21"/>
                      <w:u w:val="none"/>
                    </w:rPr>
                    <w:t>流失量</w:t>
                  </w:r>
                </w:p>
              </w:tc>
              <w:tc>
                <w:tcPr>
                  <w:tcW w:w="736" w:type="pct"/>
                  <w:tcBorders>
                    <w:right w:val="nil"/>
                  </w:tcBorders>
                  <w:vAlign w:val="center"/>
                </w:tcPr>
                <w:p w14:paraId="40995189">
                  <w:pPr>
                    <w:widowControl/>
                    <w:jc w:val="center"/>
                    <w:rPr>
                      <w:rFonts w:hint="eastAsia" w:ascii="Times New Roman" w:hAnsi="Times New Roman" w:eastAsia="宋体" w:cs="Times New Roman"/>
                      <w:color w:val="FF0000"/>
                      <w:kern w:val="0"/>
                      <w:sz w:val="21"/>
                      <w:szCs w:val="21"/>
                      <w:u w:val="none"/>
                      <w:lang w:val="en-US" w:eastAsia="zh-CN" w:bidi="ar-SA"/>
                    </w:rPr>
                  </w:pPr>
                  <w:r>
                    <w:rPr>
                      <w:color w:val="FF0000"/>
                      <w:kern w:val="0"/>
                      <w:szCs w:val="21"/>
                      <w:u w:val="none"/>
                    </w:rPr>
                    <w:t>所占比例</w:t>
                  </w:r>
                  <w:r>
                    <w:rPr>
                      <w:rFonts w:hint="eastAsia"/>
                      <w:color w:val="FF0000"/>
                      <w:kern w:val="0"/>
                      <w:szCs w:val="21"/>
                      <w:u w:val="none"/>
                      <w:lang w:eastAsia="zh-CN"/>
                    </w:rPr>
                    <w:t>（</w:t>
                  </w:r>
                  <w:r>
                    <w:rPr>
                      <w:rFonts w:hint="eastAsia"/>
                      <w:color w:val="FF0000"/>
                      <w:kern w:val="0"/>
                      <w:szCs w:val="21"/>
                      <w:u w:val="none"/>
                      <w:lang w:val="en-US" w:eastAsia="zh-CN"/>
                    </w:rPr>
                    <w:t>%</w:t>
                  </w:r>
                  <w:r>
                    <w:rPr>
                      <w:rFonts w:hint="eastAsia"/>
                      <w:color w:val="FF0000"/>
                      <w:kern w:val="0"/>
                      <w:szCs w:val="21"/>
                      <w:u w:val="none"/>
                      <w:lang w:eastAsia="zh-CN"/>
                    </w:rPr>
                    <w:t>）</w:t>
                  </w:r>
                </w:p>
              </w:tc>
            </w:tr>
            <w:tr w14:paraId="00297D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4FA5DB5D">
                  <w:pPr>
                    <w:widowControl/>
                    <w:jc w:val="center"/>
                    <w:rPr>
                      <w:color w:val="FF0000"/>
                      <w:kern w:val="0"/>
                      <w:szCs w:val="21"/>
                      <w:u w:val="none"/>
                    </w:rPr>
                  </w:pPr>
                  <w:r>
                    <w:rPr>
                      <w:color w:val="FF0000"/>
                      <w:kern w:val="0"/>
                      <w:szCs w:val="21"/>
                      <w:u w:val="none"/>
                    </w:rPr>
                    <w:t>风电机组区</w:t>
                  </w:r>
                </w:p>
              </w:tc>
              <w:tc>
                <w:tcPr>
                  <w:tcW w:w="610" w:type="pct"/>
                  <w:vAlign w:val="center"/>
                </w:tcPr>
                <w:p w14:paraId="5CECE5CF">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636.88</w:t>
                  </w:r>
                </w:p>
              </w:tc>
              <w:tc>
                <w:tcPr>
                  <w:tcW w:w="767" w:type="pct"/>
                  <w:vAlign w:val="center"/>
                </w:tcPr>
                <w:p w14:paraId="311DBA0F">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205.98</w:t>
                  </w:r>
                </w:p>
              </w:tc>
              <w:tc>
                <w:tcPr>
                  <w:tcW w:w="577" w:type="pct"/>
                  <w:vAlign w:val="center"/>
                </w:tcPr>
                <w:p w14:paraId="1B6F3217">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842.85</w:t>
                  </w:r>
                </w:p>
              </w:tc>
              <w:tc>
                <w:tcPr>
                  <w:tcW w:w="680" w:type="pct"/>
                  <w:vAlign w:val="center"/>
                </w:tcPr>
                <w:p w14:paraId="02559415">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11.49</w:t>
                  </w:r>
                </w:p>
              </w:tc>
              <w:tc>
                <w:tcPr>
                  <w:tcW w:w="590" w:type="pct"/>
                  <w:vAlign w:val="center"/>
                </w:tcPr>
                <w:p w14:paraId="2E2A34C5">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699.94</w:t>
                  </w:r>
                </w:p>
              </w:tc>
              <w:tc>
                <w:tcPr>
                  <w:tcW w:w="736" w:type="pct"/>
                  <w:tcBorders>
                    <w:right w:val="nil"/>
                  </w:tcBorders>
                  <w:vAlign w:val="center"/>
                </w:tcPr>
                <w:p w14:paraId="52D6B875">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14.85</w:t>
                  </w:r>
                </w:p>
              </w:tc>
            </w:tr>
            <w:tr w14:paraId="3F031C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2BFDF903">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道路工程区</w:t>
                  </w:r>
                </w:p>
              </w:tc>
              <w:tc>
                <w:tcPr>
                  <w:tcW w:w="610" w:type="pct"/>
                  <w:vAlign w:val="center"/>
                </w:tcPr>
                <w:p w14:paraId="02458541">
                  <w:pPr>
                    <w:widowControl/>
                    <w:jc w:val="center"/>
                    <w:rPr>
                      <w:rFonts w:hint="default"/>
                      <w:color w:val="FF0000"/>
                      <w:kern w:val="0"/>
                      <w:szCs w:val="21"/>
                      <w:u w:val="none"/>
                      <w:lang w:val="en-US" w:eastAsia="zh-CN"/>
                    </w:rPr>
                  </w:pPr>
                  <w:r>
                    <w:rPr>
                      <w:rFonts w:hint="eastAsia"/>
                      <w:color w:val="FF0000"/>
                      <w:kern w:val="0"/>
                      <w:szCs w:val="21"/>
                      <w:u w:val="none"/>
                      <w:lang w:val="en-US" w:eastAsia="zh-CN"/>
                    </w:rPr>
                    <w:t>2896.39</w:t>
                  </w:r>
                </w:p>
              </w:tc>
              <w:tc>
                <w:tcPr>
                  <w:tcW w:w="767" w:type="pct"/>
                  <w:vAlign w:val="center"/>
                </w:tcPr>
                <w:p w14:paraId="46E86795">
                  <w:pPr>
                    <w:widowControl/>
                    <w:jc w:val="center"/>
                    <w:rPr>
                      <w:rFonts w:hint="default"/>
                      <w:color w:val="FF0000"/>
                      <w:kern w:val="0"/>
                      <w:szCs w:val="21"/>
                      <w:u w:val="none"/>
                      <w:lang w:val="en-US" w:eastAsia="zh-CN"/>
                    </w:rPr>
                  </w:pPr>
                  <w:r>
                    <w:rPr>
                      <w:rFonts w:hint="eastAsia"/>
                      <w:color w:val="FF0000"/>
                      <w:kern w:val="0"/>
                      <w:szCs w:val="21"/>
                      <w:u w:val="none"/>
                      <w:lang w:val="en-US" w:eastAsia="zh-CN"/>
                    </w:rPr>
                    <w:t>377.86</w:t>
                  </w:r>
                </w:p>
              </w:tc>
              <w:tc>
                <w:tcPr>
                  <w:tcW w:w="577" w:type="pct"/>
                  <w:vAlign w:val="center"/>
                </w:tcPr>
                <w:p w14:paraId="20ADF266">
                  <w:pPr>
                    <w:widowControl/>
                    <w:jc w:val="center"/>
                    <w:rPr>
                      <w:rFonts w:hint="default"/>
                      <w:color w:val="FF0000"/>
                      <w:kern w:val="0"/>
                      <w:szCs w:val="21"/>
                      <w:u w:val="none"/>
                      <w:lang w:val="en-US" w:eastAsia="zh-CN"/>
                    </w:rPr>
                  </w:pPr>
                  <w:r>
                    <w:rPr>
                      <w:rFonts w:hint="eastAsia"/>
                      <w:color w:val="FF0000"/>
                      <w:kern w:val="0"/>
                      <w:szCs w:val="21"/>
                      <w:u w:val="none"/>
                      <w:lang w:val="en-US" w:eastAsia="zh-CN"/>
                    </w:rPr>
                    <w:t>3274.25</w:t>
                  </w:r>
                </w:p>
              </w:tc>
              <w:tc>
                <w:tcPr>
                  <w:tcW w:w="680" w:type="pct"/>
                  <w:vAlign w:val="center"/>
                </w:tcPr>
                <w:p w14:paraId="3DCED138">
                  <w:pPr>
                    <w:widowControl/>
                    <w:jc w:val="center"/>
                    <w:rPr>
                      <w:rFonts w:hint="default"/>
                      <w:color w:val="FF0000"/>
                      <w:kern w:val="0"/>
                      <w:szCs w:val="21"/>
                      <w:u w:val="none"/>
                      <w:lang w:val="en-US" w:eastAsia="zh-CN"/>
                    </w:rPr>
                  </w:pPr>
                  <w:r>
                    <w:rPr>
                      <w:rFonts w:hint="eastAsia"/>
                      <w:color w:val="FF0000"/>
                      <w:kern w:val="0"/>
                      <w:szCs w:val="21"/>
                      <w:u w:val="none"/>
                      <w:lang w:val="en-US" w:eastAsia="zh-CN"/>
                    </w:rPr>
                    <w:t>0.03</w:t>
                  </w:r>
                </w:p>
              </w:tc>
              <w:tc>
                <w:tcPr>
                  <w:tcW w:w="590" w:type="pct"/>
                  <w:vAlign w:val="center"/>
                </w:tcPr>
                <w:p w14:paraId="090E4402">
                  <w:pPr>
                    <w:widowControl/>
                    <w:jc w:val="center"/>
                    <w:rPr>
                      <w:rFonts w:hint="default"/>
                      <w:color w:val="FF0000"/>
                      <w:kern w:val="0"/>
                      <w:szCs w:val="21"/>
                      <w:u w:val="none"/>
                      <w:lang w:val="en-US" w:eastAsia="zh-CN"/>
                    </w:rPr>
                  </w:pPr>
                  <w:r>
                    <w:rPr>
                      <w:rFonts w:hint="eastAsia"/>
                      <w:color w:val="FF0000"/>
                      <w:kern w:val="0"/>
                      <w:szCs w:val="21"/>
                      <w:u w:val="none"/>
                      <w:lang w:val="en-US" w:eastAsia="zh-CN"/>
                    </w:rPr>
                    <w:t>2838.82</w:t>
                  </w:r>
                </w:p>
              </w:tc>
              <w:tc>
                <w:tcPr>
                  <w:tcW w:w="736" w:type="pct"/>
                  <w:tcBorders>
                    <w:right w:val="nil"/>
                  </w:tcBorders>
                  <w:vAlign w:val="center"/>
                </w:tcPr>
                <w:p w14:paraId="6980181D">
                  <w:pPr>
                    <w:widowControl/>
                    <w:jc w:val="center"/>
                    <w:rPr>
                      <w:rFonts w:hint="default"/>
                      <w:color w:val="FF0000"/>
                      <w:kern w:val="0"/>
                      <w:szCs w:val="21"/>
                      <w:u w:val="none"/>
                      <w:lang w:val="en-US" w:eastAsia="zh-CN"/>
                    </w:rPr>
                  </w:pPr>
                  <w:r>
                    <w:rPr>
                      <w:rFonts w:hint="eastAsia"/>
                      <w:color w:val="FF0000"/>
                      <w:kern w:val="0"/>
                      <w:szCs w:val="21"/>
                      <w:u w:val="none"/>
                      <w:lang w:val="en-US" w:eastAsia="zh-CN"/>
                    </w:rPr>
                    <w:t>60.22</w:t>
                  </w:r>
                </w:p>
              </w:tc>
            </w:tr>
            <w:tr w14:paraId="4BF58F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27604C52">
                  <w:pPr>
                    <w:widowControl/>
                    <w:jc w:val="center"/>
                    <w:rPr>
                      <w:color w:val="FF0000"/>
                      <w:kern w:val="0"/>
                      <w:szCs w:val="21"/>
                      <w:u w:val="none"/>
                    </w:rPr>
                  </w:pPr>
                  <w:r>
                    <w:rPr>
                      <w:color w:val="FF0000"/>
                      <w:kern w:val="0"/>
                      <w:szCs w:val="21"/>
                      <w:u w:val="none"/>
                    </w:rPr>
                    <w:t>升压站区</w:t>
                  </w:r>
                </w:p>
              </w:tc>
              <w:tc>
                <w:tcPr>
                  <w:tcW w:w="610" w:type="pct"/>
                  <w:vAlign w:val="center"/>
                </w:tcPr>
                <w:p w14:paraId="6D0E9167">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85.75</w:t>
                  </w:r>
                </w:p>
              </w:tc>
              <w:tc>
                <w:tcPr>
                  <w:tcW w:w="767" w:type="pct"/>
                  <w:vAlign w:val="center"/>
                </w:tcPr>
                <w:p w14:paraId="3155074B">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5.26</w:t>
                  </w:r>
                </w:p>
              </w:tc>
              <w:tc>
                <w:tcPr>
                  <w:tcW w:w="577" w:type="pct"/>
                  <w:vAlign w:val="center"/>
                </w:tcPr>
                <w:p w14:paraId="0E83A543">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91.00</w:t>
                  </w:r>
                </w:p>
              </w:tc>
              <w:tc>
                <w:tcPr>
                  <w:tcW w:w="680" w:type="pct"/>
                  <w:vAlign w:val="center"/>
                </w:tcPr>
                <w:p w14:paraId="409CF0B3">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66.81</w:t>
                  </w:r>
                </w:p>
              </w:tc>
              <w:tc>
                <w:tcPr>
                  <w:tcW w:w="590" w:type="pct"/>
                  <w:vAlign w:val="center"/>
                </w:tcPr>
                <w:p w14:paraId="3741EA4A">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80.88</w:t>
                  </w:r>
                </w:p>
              </w:tc>
              <w:tc>
                <w:tcPr>
                  <w:tcW w:w="736" w:type="pct"/>
                  <w:tcBorders>
                    <w:right w:val="nil"/>
                  </w:tcBorders>
                  <w:vAlign w:val="center"/>
                </w:tcPr>
                <w:p w14:paraId="3664A9F9">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1.72</w:t>
                  </w:r>
                </w:p>
              </w:tc>
            </w:tr>
            <w:tr w14:paraId="11E10F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41FCD6CE">
                  <w:pPr>
                    <w:widowControl/>
                    <w:jc w:val="center"/>
                    <w:rPr>
                      <w:rFonts w:hint="eastAsia" w:eastAsia="宋体"/>
                      <w:color w:val="FF0000"/>
                      <w:kern w:val="0"/>
                      <w:szCs w:val="21"/>
                      <w:u w:val="none"/>
                      <w:lang w:val="en-US" w:eastAsia="zh-CN"/>
                    </w:rPr>
                  </w:pPr>
                  <w:r>
                    <w:rPr>
                      <w:rFonts w:hint="eastAsia"/>
                      <w:color w:val="FF0000"/>
                      <w:kern w:val="0"/>
                      <w:szCs w:val="21"/>
                      <w:u w:val="none"/>
                      <w:lang w:val="en-US" w:eastAsia="zh-CN"/>
                    </w:rPr>
                    <w:t>弃渣场区</w:t>
                  </w:r>
                </w:p>
              </w:tc>
              <w:tc>
                <w:tcPr>
                  <w:tcW w:w="610" w:type="pct"/>
                  <w:vAlign w:val="center"/>
                </w:tcPr>
                <w:p w14:paraId="6F4EE4E8">
                  <w:pPr>
                    <w:widowControl/>
                    <w:jc w:val="center"/>
                    <w:rPr>
                      <w:rFonts w:hint="default"/>
                      <w:color w:val="FF0000"/>
                      <w:kern w:val="0"/>
                      <w:szCs w:val="21"/>
                      <w:u w:val="none"/>
                      <w:lang w:val="en-US" w:eastAsia="zh-CN"/>
                    </w:rPr>
                  </w:pPr>
                  <w:r>
                    <w:rPr>
                      <w:rFonts w:hint="eastAsia"/>
                      <w:color w:val="FF0000"/>
                      <w:kern w:val="0"/>
                      <w:szCs w:val="21"/>
                      <w:u w:val="none"/>
                      <w:lang w:val="en-US" w:eastAsia="zh-CN"/>
                    </w:rPr>
                    <w:t>897.99</w:t>
                  </w:r>
                </w:p>
              </w:tc>
              <w:tc>
                <w:tcPr>
                  <w:tcW w:w="767" w:type="pct"/>
                  <w:vAlign w:val="center"/>
                </w:tcPr>
                <w:p w14:paraId="77AD83C8">
                  <w:pPr>
                    <w:widowControl/>
                    <w:jc w:val="center"/>
                    <w:rPr>
                      <w:rFonts w:hint="default"/>
                      <w:color w:val="FF0000"/>
                      <w:kern w:val="0"/>
                      <w:szCs w:val="21"/>
                      <w:u w:val="none"/>
                      <w:lang w:val="en-US" w:eastAsia="zh-CN"/>
                    </w:rPr>
                  </w:pPr>
                  <w:r>
                    <w:rPr>
                      <w:rFonts w:hint="eastAsia"/>
                      <w:color w:val="FF0000"/>
                      <w:kern w:val="0"/>
                      <w:szCs w:val="21"/>
                      <w:u w:val="none"/>
                      <w:lang w:val="en-US" w:eastAsia="zh-CN"/>
                    </w:rPr>
                    <w:t>279.76</w:t>
                  </w:r>
                </w:p>
              </w:tc>
              <w:tc>
                <w:tcPr>
                  <w:tcW w:w="577" w:type="pct"/>
                  <w:vAlign w:val="center"/>
                </w:tcPr>
                <w:p w14:paraId="7C4F5541">
                  <w:pPr>
                    <w:widowControl/>
                    <w:jc w:val="center"/>
                    <w:rPr>
                      <w:rFonts w:hint="default"/>
                      <w:color w:val="FF0000"/>
                      <w:kern w:val="0"/>
                      <w:szCs w:val="21"/>
                      <w:u w:val="none"/>
                      <w:lang w:val="en-US" w:eastAsia="zh-CN"/>
                    </w:rPr>
                  </w:pPr>
                  <w:r>
                    <w:rPr>
                      <w:rFonts w:hint="eastAsia"/>
                      <w:color w:val="FF0000"/>
                      <w:kern w:val="0"/>
                      <w:szCs w:val="21"/>
                      <w:u w:val="none"/>
                      <w:lang w:val="en-US" w:eastAsia="zh-CN"/>
                    </w:rPr>
                    <w:t>1177.76</w:t>
                  </w:r>
                </w:p>
              </w:tc>
              <w:tc>
                <w:tcPr>
                  <w:tcW w:w="680" w:type="pct"/>
                  <w:vAlign w:val="center"/>
                </w:tcPr>
                <w:p w14:paraId="70C19F2B">
                  <w:pPr>
                    <w:widowControl/>
                    <w:jc w:val="center"/>
                    <w:rPr>
                      <w:rFonts w:hint="default"/>
                      <w:color w:val="FF0000"/>
                      <w:kern w:val="0"/>
                      <w:szCs w:val="21"/>
                      <w:u w:val="none"/>
                      <w:lang w:val="en-US" w:eastAsia="zh-CN"/>
                    </w:rPr>
                  </w:pPr>
                  <w:r>
                    <w:rPr>
                      <w:rFonts w:hint="eastAsia"/>
                      <w:color w:val="FF0000"/>
                      <w:kern w:val="0"/>
                      <w:szCs w:val="21"/>
                      <w:u w:val="none"/>
                      <w:lang w:val="en-US" w:eastAsia="zh-CN"/>
                    </w:rPr>
                    <w:t>10.60</w:t>
                  </w:r>
                </w:p>
              </w:tc>
              <w:tc>
                <w:tcPr>
                  <w:tcW w:w="590" w:type="pct"/>
                  <w:vAlign w:val="center"/>
                </w:tcPr>
                <w:p w14:paraId="56797FE1">
                  <w:pPr>
                    <w:widowControl/>
                    <w:jc w:val="center"/>
                    <w:rPr>
                      <w:rFonts w:hint="default"/>
                      <w:color w:val="FF0000"/>
                      <w:kern w:val="0"/>
                      <w:szCs w:val="21"/>
                      <w:u w:val="none"/>
                      <w:lang w:val="en-US" w:eastAsia="zh-CN"/>
                    </w:rPr>
                  </w:pPr>
                  <w:r>
                    <w:rPr>
                      <w:rFonts w:hint="eastAsia"/>
                      <w:color w:val="FF0000"/>
                      <w:kern w:val="0"/>
                      <w:szCs w:val="21"/>
                      <w:u w:val="none"/>
                      <w:lang w:val="en-US" w:eastAsia="zh-CN"/>
                    </w:rPr>
                    <w:t>1037.22</w:t>
                  </w:r>
                </w:p>
              </w:tc>
              <w:tc>
                <w:tcPr>
                  <w:tcW w:w="736" w:type="pct"/>
                  <w:tcBorders>
                    <w:right w:val="nil"/>
                  </w:tcBorders>
                  <w:vAlign w:val="center"/>
                </w:tcPr>
                <w:p w14:paraId="15E35624">
                  <w:pPr>
                    <w:widowControl/>
                    <w:jc w:val="center"/>
                    <w:rPr>
                      <w:rFonts w:hint="default"/>
                      <w:color w:val="FF0000"/>
                      <w:kern w:val="0"/>
                      <w:szCs w:val="21"/>
                      <w:u w:val="none"/>
                      <w:lang w:val="en-US" w:eastAsia="zh-CN"/>
                    </w:rPr>
                  </w:pPr>
                  <w:r>
                    <w:rPr>
                      <w:rFonts w:hint="eastAsia"/>
                      <w:color w:val="FF0000"/>
                      <w:kern w:val="0"/>
                      <w:szCs w:val="21"/>
                      <w:u w:val="none"/>
                      <w:lang w:val="en-US" w:eastAsia="zh-CN"/>
                    </w:rPr>
                    <w:t>22.00</w:t>
                  </w:r>
                </w:p>
              </w:tc>
            </w:tr>
            <w:tr w14:paraId="3BAF86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561511F5">
                  <w:pPr>
                    <w:widowControl/>
                    <w:jc w:val="center"/>
                    <w:rPr>
                      <w:rFonts w:hint="default"/>
                      <w:color w:val="FF0000"/>
                      <w:kern w:val="0"/>
                      <w:szCs w:val="21"/>
                      <w:u w:val="none"/>
                      <w:lang w:val="en-US" w:eastAsia="zh-CN"/>
                    </w:rPr>
                  </w:pPr>
                  <w:r>
                    <w:rPr>
                      <w:rFonts w:hint="eastAsia"/>
                      <w:color w:val="FF0000"/>
                      <w:kern w:val="0"/>
                      <w:szCs w:val="21"/>
                      <w:u w:val="none"/>
                      <w:lang w:val="en-US" w:eastAsia="zh-CN"/>
                    </w:rPr>
                    <w:t>施工生产生活区</w:t>
                  </w:r>
                </w:p>
              </w:tc>
              <w:tc>
                <w:tcPr>
                  <w:tcW w:w="610" w:type="pct"/>
                  <w:vAlign w:val="center"/>
                </w:tcPr>
                <w:p w14:paraId="341D27FB">
                  <w:pPr>
                    <w:widowControl/>
                    <w:jc w:val="center"/>
                    <w:rPr>
                      <w:rFonts w:hint="default"/>
                      <w:color w:val="FF0000"/>
                      <w:kern w:val="0"/>
                      <w:szCs w:val="21"/>
                      <w:u w:val="none"/>
                      <w:lang w:val="en-US" w:eastAsia="zh-CN"/>
                    </w:rPr>
                  </w:pPr>
                  <w:r>
                    <w:rPr>
                      <w:rFonts w:hint="eastAsia"/>
                      <w:color w:val="FF0000"/>
                      <w:kern w:val="0"/>
                      <w:szCs w:val="21"/>
                      <w:u w:val="none"/>
                      <w:lang w:val="en-US" w:eastAsia="zh-CN"/>
                    </w:rPr>
                    <w:t>38.78</w:t>
                  </w:r>
                </w:p>
              </w:tc>
              <w:tc>
                <w:tcPr>
                  <w:tcW w:w="767" w:type="pct"/>
                  <w:vAlign w:val="center"/>
                </w:tcPr>
                <w:p w14:paraId="4D8A63E1">
                  <w:pPr>
                    <w:widowControl/>
                    <w:jc w:val="center"/>
                    <w:rPr>
                      <w:rFonts w:hint="default"/>
                      <w:color w:val="FF0000"/>
                      <w:kern w:val="0"/>
                      <w:szCs w:val="21"/>
                      <w:u w:val="none"/>
                      <w:lang w:val="en-US" w:eastAsia="zh-CN"/>
                    </w:rPr>
                  </w:pPr>
                  <w:r>
                    <w:rPr>
                      <w:rFonts w:hint="eastAsia"/>
                      <w:color w:val="FF0000"/>
                      <w:kern w:val="0"/>
                      <w:szCs w:val="21"/>
                      <w:u w:val="none"/>
                      <w:lang w:val="en-US" w:eastAsia="zh-CN"/>
                    </w:rPr>
                    <w:t>15.96</w:t>
                  </w:r>
                </w:p>
              </w:tc>
              <w:tc>
                <w:tcPr>
                  <w:tcW w:w="577" w:type="pct"/>
                  <w:vAlign w:val="center"/>
                </w:tcPr>
                <w:p w14:paraId="6FE2BD16">
                  <w:pPr>
                    <w:widowControl/>
                    <w:jc w:val="center"/>
                    <w:rPr>
                      <w:rFonts w:hint="default"/>
                      <w:color w:val="FF0000"/>
                      <w:kern w:val="0"/>
                      <w:szCs w:val="21"/>
                      <w:u w:val="none"/>
                      <w:lang w:val="en-US" w:eastAsia="zh-CN"/>
                    </w:rPr>
                  </w:pPr>
                  <w:r>
                    <w:rPr>
                      <w:rFonts w:hint="eastAsia"/>
                      <w:color w:val="FF0000"/>
                      <w:kern w:val="0"/>
                      <w:szCs w:val="21"/>
                      <w:u w:val="none"/>
                      <w:lang w:val="en-US" w:eastAsia="zh-CN"/>
                    </w:rPr>
                    <w:t>54.74</w:t>
                  </w:r>
                </w:p>
              </w:tc>
              <w:tc>
                <w:tcPr>
                  <w:tcW w:w="680" w:type="pct"/>
                  <w:vAlign w:val="center"/>
                </w:tcPr>
                <w:p w14:paraId="0A289F90">
                  <w:pPr>
                    <w:widowControl/>
                    <w:jc w:val="center"/>
                    <w:rPr>
                      <w:rFonts w:hint="default"/>
                      <w:color w:val="FF0000"/>
                      <w:kern w:val="0"/>
                      <w:szCs w:val="21"/>
                      <w:u w:val="none"/>
                      <w:lang w:val="en-US" w:eastAsia="zh-CN"/>
                    </w:rPr>
                  </w:pPr>
                  <w:r>
                    <w:rPr>
                      <w:rFonts w:hint="eastAsia"/>
                      <w:color w:val="FF0000"/>
                      <w:kern w:val="0"/>
                      <w:szCs w:val="21"/>
                      <w:u w:val="none"/>
                      <w:lang w:val="en-US" w:eastAsia="zh-CN"/>
                    </w:rPr>
                    <w:t>0.89</w:t>
                  </w:r>
                </w:p>
              </w:tc>
              <w:tc>
                <w:tcPr>
                  <w:tcW w:w="590" w:type="pct"/>
                  <w:vAlign w:val="center"/>
                </w:tcPr>
                <w:p w14:paraId="68076F4E">
                  <w:pPr>
                    <w:widowControl/>
                    <w:jc w:val="center"/>
                    <w:rPr>
                      <w:rFonts w:hint="default"/>
                      <w:color w:val="FF0000"/>
                      <w:kern w:val="0"/>
                      <w:szCs w:val="21"/>
                      <w:u w:val="none"/>
                      <w:lang w:val="en-US" w:eastAsia="zh-CN"/>
                    </w:rPr>
                  </w:pPr>
                  <w:r>
                    <w:rPr>
                      <w:rFonts w:hint="eastAsia"/>
                      <w:color w:val="FF0000"/>
                      <w:kern w:val="0"/>
                      <w:szCs w:val="21"/>
                      <w:u w:val="none"/>
                      <w:lang w:val="en-US" w:eastAsia="zh-CN"/>
                    </w:rPr>
                    <w:t>44.84</w:t>
                  </w:r>
                </w:p>
              </w:tc>
              <w:tc>
                <w:tcPr>
                  <w:tcW w:w="736" w:type="pct"/>
                  <w:tcBorders>
                    <w:right w:val="nil"/>
                  </w:tcBorders>
                  <w:vAlign w:val="center"/>
                </w:tcPr>
                <w:p w14:paraId="18726F98">
                  <w:pPr>
                    <w:widowControl/>
                    <w:jc w:val="center"/>
                    <w:rPr>
                      <w:rFonts w:hint="default"/>
                      <w:color w:val="FF0000"/>
                      <w:kern w:val="0"/>
                      <w:szCs w:val="21"/>
                      <w:u w:val="none"/>
                      <w:lang w:val="en-US" w:eastAsia="zh-CN"/>
                    </w:rPr>
                  </w:pPr>
                  <w:r>
                    <w:rPr>
                      <w:rFonts w:hint="eastAsia"/>
                      <w:color w:val="FF0000"/>
                      <w:kern w:val="0"/>
                      <w:szCs w:val="21"/>
                      <w:u w:val="none"/>
                      <w:lang w:val="en-US" w:eastAsia="zh-CN"/>
                    </w:rPr>
                    <w:t>0.95</w:t>
                  </w:r>
                </w:p>
              </w:tc>
            </w:tr>
            <w:tr w14:paraId="2A14CF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2673AEA7">
                  <w:pPr>
                    <w:widowControl/>
                    <w:jc w:val="center"/>
                    <w:rPr>
                      <w:color w:val="FF0000"/>
                      <w:kern w:val="0"/>
                      <w:szCs w:val="21"/>
                      <w:u w:val="none"/>
                    </w:rPr>
                  </w:pPr>
                  <w:r>
                    <w:rPr>
                      <w:color w:val="FF0000"/>
                      <w:kern w:val="0"/>
                      <w:szCs w:val="21"/>
                      <w:u w:val="none"/>
                    </w:rPr>
                    <w:t>集电线路区</w:t>
                  </w:r>
                </w:p>
              </w:tc>
              <w:tc>
                <w:tcPr>
                  <w:tcW w:w="610" w:type="pct"/>
                  <w:vAlign w:val="center"/>
                </w:tcPr>
                <w:p w14:paraId="734E4986">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10.64</w:t>
                  </w:r>
                </w:p>
              </w:tc>
              <w:tc>
                <w:tcPr>
                  <w:tcW w:w="767" w:type="pct"/>
                  <w:vAlign w:val="center"/>
                </w:tcPr>
                <w:p w14:paraId="008E76B3">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3.95</w:t>
                  </w:r>
                </w:p>
              </w:tc>
              <w:tc>
                <w:tcPr>
                  <w:tcW w:w="577" w:type="pct"/>
                  <w:vAlign w:val="center"/>
                </w:tcPr>
                <w:p w14:paraId="2238FA2B">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14.59</w:t>
                  </w:r>
                </w:p>
              </w:tc>
              <w:tc>
                <w:tcPr>
                  <w:tcW w:w="680" w:type="pct"/>
                  <w:vAlign w:val="center"/>
                </w:tcPr>
                <w:p w14:paraId="1FCD5C4D">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7.79</w:t>
                  </w:r>
                </w:p>
              </w:tc>
              <w:tc>
                <w:tcPr>
                  <w:tcW w:w="590" w:type="pct"/>
                  <w:vAlign w:val="center"/>
                </w:tcPr>
                <w:p w14:paraId="10129B33">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12.25</w:t>
                  </w:r>
                </w:p>
              </w:tc>
              <w:tc>
                <w:tcPr>
                  <w:tcW w:w="736" w:type="pct"/>
                  <w:tcBorders>
                    <w:right w:val="nil"/>
                  </w:tcBorders>
                  <w:vAlign w:val="center"/>
                </w:tcPr>
                <w:p w14:paraId="73774874">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0.26</w:t>
                  </w:r>
                </w:p>
              </w:tc>
            </w:tr>
            <w:tr w14:paraId="7021FFB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28043E88">
                  <w:pPr>
                    <w:widowControl/>
                    <w:jc w:val="center"/>
                    <w:rPr>
                      <w:color w:val="FF0000"/>
                      <w:kern w:val="0"/>
                      <w:szCs w:val="21"/>
                      <w:u w:val="none"/>
                    </w:rPr>
                  </w:pPr>
                  <w:r>
                    <w:rPr>
                      <w:color w:val="FF0000"/>
                      <w:kern w:val="0"/>
                      <w:szCs w:val="21"/>
                      <w:u w:val="none"/>
                    </w:rPr>
                    <w:t>合计</w:t>
                  </w:r>
                </w:p>
              </w:tc>
              <w:tc>
                <w:tcPr>
                  <w:tcW w:w="610" w:type="pct"/>
                  <w:vAlign w:val="center"/>
                </w:tcPr>
                <w:p w14:paraId="32980E9A">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4566.42</w:t>
                  </w:r>
                </w:p>
              </w:tc>
              <w:tc>
                <w:tcPr>
                  <w:tcW w:w="767" w:type="pct"/>
                  <w:vAlign w:val="center"/>
                </w:tcPr>
                <w:p w14:paraId="6AEF6B21">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888.77</w:t>
                  </w:r>
                </w:p>
              </w:tc>
              <w:tc>
                <w:tcPr>
                  <w:tcW w:w="577" w:type="pct"/>
                  <w:vAlign w:val="center"/>
                </w:tcPr>
                <w:p w14:paraId="3ED2DBB9">
                  <w:pPr>
                    <w:widowControl/>
                    <w:jc w:val="center"/>
                    <w:rPr>
                      <w:rFonts w:hint="default" w:eastAsia="宋体"/>
                      <w:color w:val="FF0000"/>
                      <w:kern w:val="0"/>
                      <w:szCs w:val="21"/>
                      <w:u w:val="none"/>
                      <w:lang w:val="en-US" w:eastAsia="zh-CN"/>
                    </w:rPr>
                  </w:pPr>
                  <w:r>
                    <w:rPr>
                      <w:rFonts w:hint="eastAsia"/>
                      <w:color w:val="FF0000"/>
                      <w:kern w:val="0"/>
                      <w:szCs w:val="21"/>
                      <w:u w:val="none"/>
                      <w:lang w:val="en-US" w:eastAsia="zh-CN"/>
                    </w:rPr>
                    <w:t>5455.19</w:t>
                  </w:r>
                </w:p>
              </w:tc>
              <w:tc>
                <w:tcPr>
                  <w:tcW w:w="680" w:type="pct"/>
                  <w:vAlign w:val="center"/>
                </w:tcPr>
                <w:p w14:paraId="33906581">
                  <w:pPr>
                    <w:widowControl/>
                    <w:jc w:val="center"/>
                    <w:rPr>
                      <w:rFonts w:hint="default" w:eastAsia="宋体"/>
                      <w:color w:val="FF0000"/>
                      <w:kern w:val="0"/>
                      <w:szCs w:val="21"/>
                      <w:u w:val="none"/>
                      <w:lang w:val="en-US" w:eastAsia="zh-CN"/>
                    </w:rPr>
                  </w:pPr>
                  <w:r>
                    <w:rPr>
                      <w:color w:val="FF0000"/>
                      <w:kern w:val="0"/>
                      <w:szCs w:val="21"/>
                      <w:u w:val="none"/>
                    </w:rPr>
                    <w:t>100</w:t>
                  </w:r>
                  <w:r>
                    <w:rPr>
                      <w:rFonts w:hint="eastAsia"/>
                      <w:color w:val="FF0000"/>
                      <w:kern w:val="0"/>
                      <w:szCs w:val="21"/>
                      <w:u w:val="none"/>
                      <w:lang w:val="en-US" w:eastAsia="zh-CN"/>
                    </w:rPr>
                    <w:t>.00</w:t>
                  </w:r>
                </w:p>
              </w:tc>
              <w:tc>
                <w:tcPr>
                  <w:tcW w:w="590" w:type="pct"/>
                  <w:vAlign w:val="center"/>
                </w:tcPr>
                <w:p w14:paraId="5BFD0013">
                  <w:pPr>
                    <w:widowControl/>
                    <w:jc w:val="center"/>
                    <w:rPr>
                      <w:color w:val="FF0000"/>
                      <w:kern w:val="0"/>
                      <w:szCs w:val="21"/>
                      <w:u w:val="none"/>
                    </w:rPr>
                  </w:pPr>
                  <w:r>
                    <w:rPr>
                      <w:color w:val="FF0000"/>
                      <w:kern w:val="0"/>
                      <w:szCs w:val="21"/>
                      <w:u w:val="none"/>
                    </w:rPr>
                    <w:t>2371</w:t>
                  </w:r>
                </w:p>
              </w:tc>
              <w:tc>
                <w:tcPr>
                  <w:tcW w:w="736" w:type="pct"/>
                  <w:tcBorders>
                    <w:right w:val="nil"/>
                  </w:tcBorders>
                  <w:vAlign w:val="center"/>
                </w:tcPr>
                <w:p w14:paraId="5FE2A14E">
                  <w:pPr>
                    <w:widowControl/>
                    <w:jc w:val="center"/>
                    <w:rPr>
                      <w:rFonts w:hint="eastAsia" w:eastAsia="宋体"/>
                      <w:color w:val="FF0000"/>
                      <w:kern w:val="0"/>
                      <w:szCs w:val="21"/>
                      <w:u w:val="none"/>
                      <w:lang w:val="en-US" w:eastAsia="zh-CN"/>
                    </w:rPr>
                  </w:pPr>
                  <w:r>
                    <w:rPr>
                      <w:color w:val="FF0000"/>
                      <w:kern w:val="0"/>
                      <w:szCs w:val="21"/>
                      <w:u w:val="none"/>
                    </w:rPr>
                    <w:t>100.0</w:t>
                  </w:r>
                  <w:r>
                    <w:rPr>
                      <w:rFonts w:hint="eastAsia"/>
                      <w:color w:val="FF0000"/>
                      <w:kern w:val="0"/>
                      <w:szCs w:val="21"/>
                      <w:u w:val="none"/>
                      <w:lang w:val="en-US" w:eastAsia="zh-CN"/>
                    </w:rPr>
                    <w:t>0</w:t>
                  </w:r>
                </w:p>
              </w:tc>
            </w:tr>
            <w:tr w14:paraId="6D9C851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036" w:type="pct"/>
                  <w:tcBorders>
                    <w:left w:val="nil"/>
                  </w:tcBorders>
                  <w:vAlign w:val="center"/>
                </w:tcPr>
                <w:p w14:paraId="33F17DB3">
                  <w:pPr>
                    <w:widowControl/>
                    <w:jc w:val="center"/>
                    <w:rPr>
                      <w:color w:val="FF0000"/>
                      <w:kern w:val="0"/>
                      <w:szCs w:val="21"/>
                      <w:u w:val="none"/>
                    </w:rPr>
                  </w:pPr>
                  <w:r>
                    <w:rPr>
                      <w:color w:val="FF0000"/>
                      <w:kern w:val="0"/>
                      <w:szCs w:val="21"/>
                      <w:u w:val="none"/>
                    </w:rPr>
                    <w:t>所占比例</w:t>
                  </w:r>
                </w:p>
              </w:tc>
              <w:tc>
                <w:tcPr>
                  <w:tcW w:w="610" w:type="pct"/>
                  <w:vAlign w:val="center"/>
                </w:tcPr>
                <w:p w14:paraId="20575666">
                  <w:pPr>
                    <w:widowControl/>
                    <w:jc w:val="center"/>
                    <w:rPr>
                      <w:color w:val="FF0000"/>
                      <w:kern w:val="0"/>
                      <w:szCs w:val="21"/>
                      <w:u w:val="none"/>
                    </w:rPr>
                  </w:pPr>
                  <w:r>
                    <w:rPr>
                      <w:rFonts w:hint="eastAsia"/>
                      <w:color w:val="FF0000"/>
                      <w:kern w:val="0"/>
                      <w:szCs w:val="21"/>
                      <w:u w:val="none"/>
                      <w:lang w:val="en-US" w:eastAsia="zh-CN"/>
                    </w:rPr>
                    <w:t>83.71</w:t>
                  </w:r>
                  <w:r>
                    <w:rPr>
                      <w:color w:val="FF0000"/>
                      <w:kern w:val="0"/>
                      <w:szCs w:val="21"/>
                      <w:u w:val="none"/>
                    </w:rPr>
                    <w:t>%</w:t>
                  </w:r>
                </w:p>
              </w:tc>
              <w:tc>
                <w:tcPr>
                  <w:tcW w:w="767" w:type="pct"/>
                  <w:vAlign w:val="center"/>
                </w:tcPr>
                <w:p w14:paraId="7B4FF808">
                  <w:pPr>
                    <w:widowControl/>
                    <w:jc w:val="center"/>
                    <w:rPr>
                      <w:color w:val="FF0000"/>
                      <w:kern w:val="0"/>
                      <w:szCs w:val="21"/>
                      <w:u w:val="none"/>
                    </w:rPr>
                  </w:pPr>
                  <w:r>
                    <w:rPr>
                      <w:rFonts w:hint="eastAsia"/>
                      <w:color w:val="FF0000"/>
                      <w:kern w:val="0"/>
                      <w:szCs w:val="21"/>
                      <w:u w:val="none"/>
                      <w:lang w:val="en-US" w:eastAsia="zh-CN"/>
                    </w:rPr>
                    <w:t>16.29</w:t>
                  </w:r>
                  <w:r>
                    <w:rPr>
                      <w:color w:val="FF0000"/>
                      <w:kern w:val="0"/>
                      <w:szCs w:val="21"/>
                      <w:u w:val="none"/>
                    </w:rPr>
                    <w:t>%</w:t>
                  </w:r>
                </w:p>
              </w:tc>
              <w:tc>
                <w:tcPr>
                  <w:tcW w:w="577" w:type="pct"/>
                  <w:vAlign w:val="center"/>
                </w:tcPr>
                <w:p w14:paraId="6D69306E">
                  <w:pPr>
                    <w:widowControl/>
                    <w:jc w:val="center"/>
                    <w:rPr>
                      <w:color w:val="FF0000"/>
                      <w:kern w:val="0"/>
                      <w:szCs w:val="21"/>
                      <w:u w:val="none"/>
                    </w:rPr>
                  </w:pPr>
                  <w:r>
                    <w:rPr>
                      <w:color w:val="FF0000"/>
                      <w:kern w:val="0"/>
                      <w:szCs w:val="21"/>
                      <w:u w:val="none"/>
                    </w:rPr>
                    <w:t>100%</w:t>
                  </w:r>
                </w:p>
              </w:tc>
              <w:tc>
                <w:tcPr>
                  <w:tcW w:w="680" w:type="pct"/>
                  <w:vAlign w:val="center"/>
                </w:tcPr>
                <w:p w14:paraId="0365D9A9">
                  <w:pPr>
                    <w:widowControl/>
                    <w:jc w:val="center"/>
                    <w:rPr>
                      <w:color w:val="FF0000"/>
                      <w:kern w:val="0"/>
                      <w:szCs w:val="21"/>
                      <w:u w:val="none"/>
                    </w:rPr>
                  </w:pPr>
                </w:p>
              </w:tc>
              <w:tc>
                <w:tcPr>
                  <w:tcW w:w="590" w:type="pct"/>
                  <w:vAlign w:val="center"/>
                </w:tcPr>
                <w:p w14:paraId="25222E9D">
                  <w:pPr>
                    <w:widowControl/>
                    <w:jc w:val="center"/>
                    <w:rPr>
                      <w:color w:val="FF0000"/>
                      <w:kern w:val="0"/>
                      <w:szCs w:val="21"/>
                      <w:u w:val="none"/>
                    </w:rPr>
                  </w:pPr>
                </w:p>
              </w:tc>
              <w:tc>
                <w:tcPr>
                  <w:tcW w:w="736" w:type="pct"/>
                  <w:tcBorders>
                    <w:right w:val="nil"/>
                  </w:tcBorders>
                  <w:vAlign w:val="center"/>
                </w:tcPr>
                <w:p w14:paraId="0F29EEE1">
                  <w:pPr>
                    <w:widowControl/>
                    <w:jc w:val="center"/>
                    <w:rPr>
                      <w:color w:val="FF0000"/>
                      <w:kern w:val="0"/>
                      <w:szCs w:val="21"/>
                      <w:u w:val="none"/>
                    </w:rPr>
                  </w:pPr>
                </w:p>
              </w:tc>
            </w:tr>
          </w:tbl>
          <w:p w14:paraId="4A270AA0">
            <w:pPr>
              <w:spacing w:line="360" w:lineRule="auto"/>
              <w:ind w:firstLine="480" w:firstLineChars="200"/>
              <w:rPr>
                <w:sz w:val="24"/>
              </w:rPr>
            </w:pPr>
          </w:p>
        </w:tc>
      </w:tr>
      <w:tr w14:paraId="389672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14:paraId="626F30DE">
            <w:pPr>
              <w:jc w:val="center"/>
              <w:rPr>
                <w:b/>
                <w:bCs/>
                <w:sz w:val="24"/>
              </w:rPr>
            </w:pPr>
            <w:r>
              <w:rPr>
                <w:rFonts w:hint="eastAsia"/>
                <w:b/>
                <w:bCs/>
                <w:sz w:val="24"/>
              </w:rPr>
              <w:t>运营期生态环境影响分析</w:t>
            </w:r>
          </w:p>
        </w:tc>
        <w:tc>
          <w:tcPr>
            <w:tcW w:w="8555" w:type="dxa"/>
          </w:tcPr>
          <w:p w14:paraId="076CA423">
            <w:pPr>
              <w:spacing w:line="360" w:lineRule="auto"/>
              <w:jc w:val="left"/>
              <w:rPr>
                <w:b/>
                <w:bCs/>
                <w:sz w:val="24"/>
              </w:rPr>
            </w:pPr>
            <w:r>
              <w:rPr>
                <w:rFonts w:hint="eastAsia"/>
                <w:b/>
                <w:bCs/>
                <w:sz w:val="24"/>
              </w:rPr>
              <w:t>4</w:t>
            </w:r>
            <w:r>
              <w:rPr>
                <w:b/>
                <w:bCs/>
                <w:sz w:val="24"/>
              </w:rPr>
              <w:t>.7</w:t>
            </w:r>
            <w:r>
              <w:rPr>
                <w:rFonts w:hint="eastAsia"/>
                <w:b/>
                <w:bCs/>
                <w:sz w:val="24"/>
              </w:rPr>
              <w:t>生态环境影响分析</w:t>
            </w:r>
          </w:p>
          <w:p w14:paraId="199B686E">
            <w:pPr>
              <w:spacing w:line="360" w:lineRule="auto"/>
              <w:jc w:val="left"/>
              <w:rPr>
                <w:b/>
                <w:bCs/>
                <w:sz w:val="24"/>
              </w:rPr>
            </w:pPr>
            <w:r>
              <w:rPr>
                <w:b/>
                <w:bCs/>
                <w:sz w:val="24"/>
              </w:rPr>
              <w:t>4.7.1</w:t>
            </w:r>
            <w:r>
              <w:rPr>
                <w:rFonts w:hint="eastAsia"/>
                <w:b/>
                <w:bCs/>
                <w:sz w:val="24"/>
              </w:rPr>
              <w:t>对动物的影响</w:t>
            </w:r>
          </w:p>
          <w:p w14:paraId="226CC810">
            <w:pPr>
              <w:spacing w:line="360" w:lineRule="auto"/>
              <w:ind w:firstLine="480" w:firstLineChars="200"/>
              <w:rPr>
                <w:rFonts w:hint="eastAsia"/>
                <w:sz w:val="24"/>
                <w:lang w:val="en-US" w:eastAsia="zh-CN"/>
              </w:rPr>
            </w:pPr>
            <w:r>
              <w:rPr>
                <w:rFonts w:hint="eastAsia"/>
                <w:sz w:val="24"/>
                <w:lang w:val="en-US" w:eastAsia="zh-CN"/>
              </w:rPr>
              <w:t>本工程在运行期对陆生动物的影响主要为风机、集电线路、升压站带来的影响。在陆生动物中，对鸟类的影响相对较大。</w:t>
            </w:r>
          </w:p>
          <w:p w14:paraId="08FC019D">
            <w:pPr>
              <w:spacing w:line="360" w:lineRule="auto"/>
              <w:ind w:firstLine="480" w:firstLineChars="200"/>
              <w:rPr>
                <w:rFonts w:hint="eastAsia"/>
                <w:sz w:val="24"/>
                <w:lang w:val="en-US" w:eastAsia="zh-CN"/>
              </w:rPr>
            </w:pPr>
            <w:r>
              <w:rPr>
                <w:rFonts w:hint="eastAsia"/>
                <w:sz w:val="24"/>
                <w:lang w:val="en-US" w:eastAsia="zh-CN"/>
              </w:rPr>
              <w:t>（1）生境质量下降对动物的影响</w:t>
            </w:r>
          </w:p>
          <w:p w14:paraId="53802B91">
            <w:pPr>
              <w:spacing w:line="360" w:lineRule="auto"/>
              <w:ind w:firstLine="480" w:firstLineChars="200"/>
              <w:rPr>
                <w:rFonts w:hint="eastAsia"/>
                <w:sz w:val="24"/>
                <w:lang w:val="en-US" w:eastAsia="zh-CN"/>
              </w:rPr>
            </w:pPr>
            <w:r>
              <w:rPr>
                <w:rFonts w:hint="eastAsia"/>
                <w:sz w:val="24"/>
                <w:lang w:val="en-US" w:eastAsia="zh-CN"/>
              </w:rPr>
              <w:t>工程永久占地会减少动物原有栖息地面积范围，尤其是对部分林地的砍伐会造成动物活动场所和食物资源的减少。本项目永久占地1.46hm</w:t>
            </w:r>
            <w:r>
              <w:rPr>
                <w:rFonts w:hint="eastAsia"/>
                <w:sz w:val="24"/>
                <w:vertAlign w:val="superscript"/>
                <w:lang w:val="en-US" w:eastAsia="zh-CN"/>
              </w:rPr>
              <w:t>2</w:t>
            </w:r>
            <w:r>
              <w:rPr>
                <w:rFonts w:hint="eastAsia"/>
                <w:sz w:val="24"/>
                <w:lang w:val="en-US" w:eastAsia="zh-CN"/>
              </w:rPr>
              <w:t>，占地规模不大，对动物栖息地面积的影响相对较小，因此运营期对动物的影响主要是风电设施运转、维护人员的活动等也会干扰影响部分动物的活动栖息地、觅食地。</w:t>
            </w:r>
          </w:p>
          <w:p w14:paraId="36DF4161">
            <w:pPr>
              <w:spacing w:line="360" w:lineRule="auto"/>
              <w:ind w:firstLine="480" w:firstLineChars="200"/>
              <w:rPr>
                <w:rFonts w:hint="eastAsia"/>
                <w:sz w:val="24"/>
                <w:lang w:val="en-US" w:eastAsia="zh-CN"/>
              </w:rPr>
            </w:pPr>
            <w:r>
              <w:rPr>
                <w:rFonts w:hint="eastAsia"/>
                <w:sz w:val="24"/>
                <w:lang w:val="en-US" w:eastAsia="zh-CN"/>
              </w:rPr>
              <w:t>项目新修的道路会对道路两边的两栖类、爬行类及哺乳类的正常活动增加阻隔作用，也会加剧鸟类栖息地片段化，这些因素的叠加会造成风电场区动物栖息地质量下降。</w:t>
            </w:r>
          </w:p>
          <w:p w14:paraId="151FB028">
            <w:pPr>
              <w:spacing w:line="360" w:lineRule="auto"/>
              <w:ind w:firstLine="480" w:firstLineChars="200"/>
              <w:rPr>
                <w:rFonts w:hint="eastAsia"/>
                <w:sz w:val="24"/>
                <w:lang w:val="en-US" w:eastAsia="zh-CN"/>
              </w:rPr>
            </w:pPr>
            <w:r>
              <w:rPr>
                <w:rFonts w:hint="eastAsia"/>
                <w:sz w:val="24"/>
                <w:lang w:val="en-US" w:eastAsia="zh-CN"/>
              </w:rPr>
              <w:t>栖息地质量下降有可能导致部分动物种群数量下降，同时也造成风电场区的生物多样性降低。根据现场调查，风电场区及其周边环境主要以山区和居民区为主。风电场风机主要修建在山顶，造成山顶生活少数鸟类像山腰和山脚的林区迁移。而居民点的人为干扰相对较大，栖息动物均为安全距离较近的常见种类，能够比较良好的适应栖息地变化。在运营初期，乌类的数量上在一段时间上是下降的，但随着植被的逐渐恢复，鸟类种群数量可逐渐上升，恢复到接近原来水平。由于当地现存动物大部分是一些分布广泛、适应能力强或者本身就是已经适应人类干扰环境的种类，因此栖息地质量下降不会导致有物种消失。</w:t>
            </w:r>
          </w:p>
          <w:p w14:paraId="48481BB3">
            <w:pPr>
              <w:spacing w:line="360" w:lineRule="auto"/>
              <w:ind w:firstLine="480" w:firstLineChars="200"/>
              <w:rPr>
                <w:rFonts w:hint="eastAsia"/>
                <w:color w:val="FF0000"/>
                <w:sz w:val="24"/>
                <w:lang w:val="en-US" w:eastAsia="zh-CN"/>
              </w:rPr>
            </w:pPr>
            <w:r>
              <w:rPr>
                <w:rFonts w:hint="eastAsia"/>
                <w:color w:val="FF0000"/>
                <w:sz w:val="24"/>
                <w:lang w:val="en-US" w:eastAsia="zh-CN"/>
              </w:rPr>
              <w:t>（2）风机运行对鸟类的影响</w:t>
            </w:r>
          </w:p>
          <w:p w14:paraId="09E7E543">
            <w:pPr>
              <w:spacing w:line="360" w:lineRule="auto"/>
              <w:ind w:firstLine="480" w:firstLineChars="200"/>
              <w:rPr>
                <w:rFonts w:hint="eastAsia"/>
                <w:color w:val="FF0000"/>
                <w:sz w:val="24"/>
                <w:lang w:val="en-US" w:eastAsia="zh-CN"/>
              </w:rPr>
            </w:pPr>
            <w:r>
              <w:rPr>
                <w:rFonts w:hint="eastAsia"/>
                <w:color w:val="FF0000"/>
                <w:sz w:val="24"/>
                <w:lang w:val="en-US" w:eastAsia="zh-CN"/>
              </w:rPr>
              <w:t>①对鸟类栖息和觅食的影响</w:t>
            </w:r>
          </w:p>
          <w:p w14:paraId="4E01E3B9">
            <w:pPr>
              <w:spacing w:line="360" w:lineRule="auto"/>
              <w:ind w:firstLine="480" w:firstLineChars="200"/>
              <w:rPr>
                <w:rFonts w:hint="eastAsia"/>
                <w:color w:val="FF0000"/>
                <w:sz w:val="24"/>
                <w:lang w:val="en-US" w:eastAsia="zh-CN"/>
              </w:rPr>
            </w:pPr>
            <w:r>
              <w:rPr>
                <w:rFonts w:hint="eastAsia"/>
                <w:color w:val="FF0000"/>
                <w:sz w:val="24"/>
                <w:lang w:val="en-US" w:eastAsia="zh-CN"/>
              </w:rPr>
              <w:t>风机对区域栖息、觅食鸟类的影响主要包括两个方面。一方面是风机运行，包括叶片运动、噪音等对鸟类的干扰影响；另一方面是风机可能与鸟类发生碰撞。风力发电场对鸟类影响最严重的后果是鸟类飞行中由于不能避让正在旋转中的风机叶片而致死或致伤，这种影响主要表现在风机转速和恶劣天气与鸟类撞击的关系。有研究说明，鸟类与风机发生撞击而造成死亡与风机的运转速度呈一定的相关关系，一般变速的风机对鸟类的影响较大(Percival，2003)。本工程风机运转速度较小，区域内发生鸟类碰撞风机致死现象的可能性较小，一般情况下，鸟类的视力很好，它们能在几百米之外发现风机这样的障碍物而绕其飞行，风电场区域的鸟类均能正常回避。</w:t>
            </w:r>
          </w:p>
          <w:p w14:paraId="6CE1D222">
            <w:pPr>
              <w:spacing w:line="360" w:lineRule="auto"/>
              <w:ind w:firstLine="480" w:firstLineChars="200"/>
              <w:rPr>
                <w:rFonts w:hint="eastAsia"/>
                <w:color w:val="FF0000"/>
                <w:sz w:val="24"/>
                <w:lang w:val="en-US" w:eastAsia="zh-CN"/>
              </w:rPr>
            </w:pPr>
            <w:r>
              <w:rPr>
                <w:rFonts w:hint="eastAsia"/>
                <w:color w:val="FF0000"/>
                <w:sz w:val="24"/>
                <w:lang w:val="en-US" w:eastAsia="zh-CN"/>
              </w:rPr>
              <w:t>②对鸟类迁徙的影响</w:t>
            </w:r>
          </w:p>
          <w:p w14:paraId="50CD1EF4">
            <w:pPr>
              <w:spacing w:line="360" w:lineRule="auto"/>
              <w:ind w:firstLine="480" w:firstLineChars="200"/>
              <w:rPr>
                <w:rFonts w:hint="eastAsia"/>
                <w:color w:val="FF0000"/>
                <w:sz w:val="24"/>
                <w:lang w:val="en-US" w:eastAsia="zh-CN"/>
              </w:rPr>
            </w:pPr>
            <w:r>
              <w:rPr>
                <w:rFonts w:hint="eastAsia"/>
                <w:color w:val="FF0000"/>
                <w:sz w:val="24"/>
                <w:lang w:val="en-US" w:eastAsia="zh-CN"/>
              </w:rPr>
              <w:t>评价区的鸟类中繁殖鸟(包括留鸟和夏候鸟)64种，占84.2%，繁殖鸟中部分留鸟离巢后离开繁殖地，直到春季才回到繁殖地，其特点是不断地移动，无定居所，主要以食物为转移，无一定越冬地，这些留鸟属于留鸟中的游荡鸟，这些游荡鸟也有撞上风机并导致死伤的可能性。</w:t>
            </w:r>
          </w:p>
          <w:p w14:paraId="039DCF1A">
            <w:pPr>
              <w:spacing w:line="360" w:lineRule="auto"/>
              <w:ind w:firstLine="480" w:firstLineChars="200"/>
              <w:rPr>
                <w:rFonts w:hint="eastAsia"/>
                <w:color w:val="FF0000"/>
                <w:sz w:val="24"/>
                <w:lang w:val="en-US" w:eastAsia="zh-CN"/>
              </w:rPr>
            </w:pPr>
            <w:r>
              <w:rPr>
                <w:rFonts w:hint="eastAsia"/>
                <w:color w:val="FF0000"/>
                <w:sz w:val="24"/>
                <w:lang w:val="en-US" w:eastAsia="zh-CN"/>
              </w:rPr>
              <w:t>目前国内外已开展了风电场工程对鸟类迁徙的研究，其中包括利用雷达对世界上最大风力发电场HornsRev电场地区鸟类迁徙行为的观察、监测，研究发现春季向北迁飞的鸟群在距离风力发电场400m左右开始变换飞行的方向，向北改为向西飞行。说明鸟类对风力发电场这类障碍物有一定的避让能力。雷达对丹麦Nysted海上风电场鸟类迁徙监测说明，白天鸟类可在3000m外，夜间鸟类在1000m外绕开风力发电场飞行，改变飞行方向。风电机组沿山顶(脊)顶部布置，布置于思条近似于南北走向的山顶(脊)顶部，山体整体较连续，山脊两侧发育近东西走向的沟壑，坡相对较缓。项目区不属于鸟类集中迁徙通道，对迁徙鸟类无较大影响。</w:t>
            </w:r>
          </w:p>
          <w:p w14:paraId="4DFDEA82">
            <w:pPr>
              <w:spacing w:line="360" w:lineRule="auto"/>
              <w:ind w:firstLine="480" w:firstLineChars="200"/>
              <w:rPr>
                <w:rFonts w:hint="eastAsia"/>
                <w:color w:val="FF0000"/>
                <w:sz w:val="24"/>
                <w:lang w:val="en-US" w:eastAsia="zh-CN"/>
              </w:rPr>
            </w:pPr>
            <w:r>
              <w:rPr>
                <w:rFonts w:hint="eastAsia"/>
                <w:color w:val="FF0000"/>
                <w:sz w:val="24"/>
                <w:lang w:val="en-US" w:eastAsia="zh-CN"/>
              </w:rPr>
              <w:t>除此之外，运行期在异常天气的迁徙鸟群，夜间迁徙的鸟类，在遇到大风、大雾、降雨等恶劣天气以及无月的情况下，容易被路线上的光源吸引，使其向着光源飞行，极易撞击在光源附近的障碍物上。因此，工程运行后必须采取严格保护措施，加强对风电场光源的管控，必要情况下适当关闭部分风机。在切实执行好相应的保护措施后，对鸟类的迁徙影响在可承受范围内。</w:t>
            </w:r>
          </w:p>
          <w:p w14:paraId="5F0074D4">
            <w:pPr>
              <w:spacing w:line="360" w:lineRule="auto"/>
              <w:ind w:firstLine="480" w:firstLineChars="200"/>
              <w:rPr>
                <w:rFonts w:hint="eastAsia"/>
                <w:color w:val="FF0000"/>
                <w:sz w:val="24"/>
                <w:lang w:val="en-US" w:eastAsia="zh-CN"/>
              </w:rPr>
            </w:pPr>
            <w:r>
              <w:rPr>
                <w:rFonts w:hint="eastAsia"/>
                <w:color w:val="FF0000"/>
                <w:sz w:val="24"/>
                <w:lang w:val="en-US" w:eastAsia="zh-CN"/>
              </w:rPr>
              <w:t>总体来说，区域内不涉及鸟类重要迁徙通道，迁徙经过评价区的鸟类相对较少，因此，本工程对鸟类迁徙影响和生存影响相对较小。</w:t>
            </w:r>
          </w:p>
          <w:p w14:paraId="649A246A">
            <w:pPr>
              <w:spacing w:line="360" w:lineRule="auto"/>
              <w:ind w:firstLine="480" w:firstLineChars="200"/>
              <w:rPr>
                <w:rFonts w:hint="eastAsia"/>
                <w:sz w:val="24"/>
                <w:lang w:val="en-US" w:eastAsia="zh-CN"/>
              </w:rPr>
            </w:pPr>
            <w:r>
              <w:rPr>
                <w:rFonts w:hint="eastAsia"/>
                <w:sz w:val="24"/>
                <w:lang w:val="en-US" w:eastAsia="zh-CN"/>
              </w:rPr>
              <w:t>（3）风机噪声对动物栖息和觅食的影响</w:t>
            </w:r>
          </w:p>
          <w:p w14:paraId="170D34C8">
            <w:pPr>
              <w:spacing w:line="360" w:lineRule="auto"/>
              <w:ind w:firstLine="480" w:firstLineChars="200"/>
              <w:rPr>
                <w:rFonts w:hint="eastAsia"/>
                <w:sz w:val="24"/>
                <w:lang w:val="en-US" w:eastAsia="zh-CN"/>
              </w:rPr>
            </w:pPr>
            <w:r>
              <w:rPr>
                <w:rFonts w:hint="eastAsia"/>
                <w:sz w:val="24"/>
                <w:lang w:val="en-US" w:eastAsia="zh-CN"/>
              </w:rPr>
              <w:t>风机在运转过程中会产生叶片扫风噪声和机械运转噪声。对动物将造成一定的驱赶作用，特别是对鸟类和哺乳类有较大影响。由于大多数兽类对噪声具有较高的敏感性，由于大多数鸟类和哺乳类对噪声具有较高的敏感性，在该噪声环境条件下，大多数鸟类会选择回避，这将造成动物活动范围的缩减。但动物对长期持续而无害的噪音会产生一定的适应性，随着运行时间的延长，这种影响会逐渐减小。</w:t>
            </w:r>
          </w:p>
          <w:p w14:paraId="4370655A">
            <w:pPr>
              <w:spacing w:line="360" w:lineRule="auto"/>
              <w:ind w:firstLine="480" w:firstLineChars="200"/>
              <w:rPr>
                <w:rFonts w:hint="eastAsia"/>
                <w:sz w:val="24"/>
                <w:lang w:val="en-US" w:eastAsia="zh-CN"/>
              </w:rPr>
            </w:pPr>
            <w:r>
              <w:rPr>
                <w:rFonts w:hint="eastAsia"/>
                <w:sz w:val="24"/>
                <w:lang w:val="en-US" w:eastAsia="zh-CN"/>
              </w:rPr>
              <w:t>（4）升压站和集电线路对动物的影响</w:t>
            </w:r>
          </w:p>
          <w:p w14:paraId="4DEECFF2">
            <w:pPr>
              <w:spacing w:line="360" w:lineRule="auto"/>
              <w:ind w:firstLine="480" w:firstLineChars="200"/>
              <w:rPr>
                <w:rFonts w:hint="eastAsia"/>
                <w:sz w:val="24"/>
                <w:lang w:val="en-US" w:eastAsia="zh-CN"/>
              </w:rPr>
            </w:pPr>
            <w:r>
              <w:rPr>
                <w:rFonts w:hint="eastAsia"/>
                <w:sz w:val="24"/>
                <w:lang w:val="en-US" w:eastAsia="zh-CN"/>
              </w:rPr>
              <w:t>本工程集电线路采用直埋电缆的方式，其对陆生动物的影响主要是工频电磁影响。本项目在设计时考虑了防磁、防辐射等要求，地下电缆外护套和铠装层对工频电场起到了一定的屏蔽作用，电缆周围的工频电场不大，加之土壤和电缆隧道起到的屏蔽作用，地表上的工频电场与建设前当地工频电场的环境背景相当。同时工频电场和工频磁场属于感应场，感应场的特点是随着距离的增加其场强快速衰减，高压电缆线路产生的工频磁场经过距离的衰减，对动物影响甚微。所以野生动物所受到的电磁影响较小。</w:t>
            </w:r>
          </w:p>
          <w:p w14:paraId="51955535">
            <w:pPr>
              <w:spacing w:line="360" w:lineRule="auto"/>
              <w:ind w:firstLine="480" w:firstLineChars="200"/>
              <w:rPr>
                <w:rFonts w:hint="eastAsia"/>
                <w:sz w:val="24"/>
                <w:lang w:val="en-US" w:eastAsia="zh-CN"/>
              </w:rPr>
            </w:pPr>
            <w:r>
              <w:rPr>
                <w:rFonts w:hint="eastAsia"/>
                <w:sz w:val="24"/>
                <w:lang w:val="en-US" w:eastAsia="zh-CN"/>
              </w:rPr>
              <w:t>运行期升压站对动物的影响除与集电线路类似的电磁影响和噪声影响外，升压站中设置有办公生活区，若不采取合理措施，运行期工作人员正常生产生活产生的生活垃圾及生活污水将污染升压站周围动物生境，使得动物远离该地区，亦或引来大量啮齿类动物的到来，而恶化该区域的生态平衡。但考虑到运营期工作人员数量不多，这种影响基本可控，且可以通过合理的保护措施加以消减或避免。</w:t>
            </w:r>
          </w:p>
          <w:p w14:paraId="19B07697">
            <w:pPr>
              <w:spacing w:line="360" w:lineRule="auto"/>
              <w:ind w:firstLine="480" w:firstLineChars="200"/>
              <w:rPr>
                <w:rFonts w:hint="eastAsia"/>
                <w:sz w:val="24"/>
                <w:lang w:val="en-US" w:eastAsia="zh-CN"/>
              </w:rPr>
            </w:pPr>
            <w:r>
              <w:rPr>
                <w:rFonts w:hint="eastAsia"/>
                <w:sz w:val="24"/>
                <w:lang w:val="en-US" w:eastAsia="zh-CN"/>
              </w:rPr>
              <w:t>（5）场内道路对动物的影响</w:t>
            </w:r>
          </w:p>
          <w:p w14:paraId="3EE74266">
            <w:pPr>
              <w:spacing w:line="360" w:lineRule="auto"/>
              <w:ind w:firstLine="480" w:firstLineChars="200"/>
              <w:rPr>
                <w:rFonts w:hint="eastAsia"/>
                <w:sz w:val="24"/>
                <w:lang w:val="en-US" w:eastAsia="zh-CN"/>
              </w:rPr>
            </w:pPr>
            <w:r>
              <w:rPr>
                <w:rFonts w:hint="eastAsia"/>
                <w:sz w:val="24"/>
                <w:lang w:val="en-US" w:eastAsia="zh-CN"/>
              </w:rPr>
              <w:t>风电场运营后，场内道路主要用于风机检修和维护，其对评价区内动物的影响主要在于栖息地的破碎使动物的活动范围受到限制，同时场内道路的运行也提高了动物在新建道路上被碾压的概率。尤其是对迁移能力较差的动物如两栖类和爬行类，对鸟类和哺乳类影响相对较小。除农耕时间有农用车辆出入较多，其他时间道路上车流量有限，因此对动物的正常栖息活动影响较小。在运营过程中，需要在检修道路两侧树立限速的警示牌，对来往车辆采取限速的措施，可以进步减缓动物被碾压的概率。</w:t>
            </w:r>
          </w:p>
          <w:p w14:paraId="5FC6779D">
            <w:pPr>
              <w:spacing w:line="360" w:lineRule="auto"/>
              <w:jc w:val="left"/>
              <w:rPr>
                <w:b/>
                <w:bCs/>
                <w:sz w:val="24"/>
              </w:rPr>
            </w:pPr>
            <w:r>
              <w:rPr>
                <w:b/>
                <w:bCs/>
                <w:sz w:val="24"/>
              </w:rPr>
              <w:t>4.7.2</w:t>
            </w:r>
            <w:r>
              <w:rPr>
                <w:rFonts w:hint="eastAsia"/>
                <w:b/>
                <w:bCs/>
                <w:sz w:val="24"/>
              </w:rPr>
              <w:t>对植物的影响</w:t>
            </w:r>
          </w:p>
          <w:p w14:paraId="4392F87F">
            <w:pPr>
              <w:spacing w:line="360" w:lineRule="auto"/>
              <w:ind w:firstLine="480" w:firstLineChars="200"/>
              <w:jc w:val="left"/>
              <w:rPr>
                <w:sz w:val="24"/>
              </w:rPr>
            </w:pPr>
            <w:r>
              <w:rPr>
                <w:rFonts w:hint="eastAsia"/>
                <w:sz w:val="24"/>
              </w:rPr>
              <w:t>项目占地会对现有地表植被造成一定程度破坏，但自然植被为当地常见物种，因此不会导致区域植物资源生物多样性的降低；和建设前相比，生物种类发生变化，即由原来的喜阳植物逐渐变为低矮且喜阴的植物，影响范围仅限于占地范围内，对区域环境影响不大。运营期检修道路为</w:t>
            </w:r>
            <w:r>
              <w:rPr>
                <w:rFonts w:hint="eastAsia"/>
                <w:sz w:val="24"/>
                <w:lang w:val="en-US" w:eastAsia="zh-CN"/>
              </w:rPr>
              <w:t>碎石路面</w:t>
            </w:r>
            <w:r>
              <w:rPr>
                <w:rFonts w:hint="eastAsia"/>
                <w:sz w:val="24"/>
              </w:rPr>
              <w:t>，不破坏植被，两侧种植草种，可在一定程度上恢复植被，保证生态系统的生态功能和可持续利用性不会受到明显不利影响。</w:t>
            </w:r>
          </w:p>
          <w:p w14:paraId="5318AE4E">
            <w:pPr>
              <w:spacing w:line="360" w:lineRule="auto"/>
              <w:jc w:val="left"/>
              <w:rPr>
                <w:b/>
                <w:bCs/>
                <w:sz w:val="24"/>
              </w:rPr>
            </w:pPr>
            <w:r>
              <w:rPr>
                <w:b/>
                <w:bCs/>
                <w:sz w:val="24"/>
              </w:rPr>
              <w:t>4.7.</w:t>
            </w:r>
            <w:r>
              <w:rPr>
                <w:rFonts w:hint="eastAsia"/>
                <w:b/>
                <w:bCs/>
                <w:sz w:val="24"/>
              </w:rPr>
              <w:t>3生态系统的功能和可持续利用性</w:t>
            </w:r>
          </w:p>
          <w:p w14:paraId="7100C2C4">
            <w:pPr>
              <w:spacing w:line="360" w:lineRule="auto"/>
              <w:ind w:firstLine="480" w:firstLineChars="200"/>
              <w:rPr>
                <w:sz w:val="24"/>
              </w:rPr>
            </w:pPr>
            <w:r>
              <w:rPr>
                <w:rFonts w:hint="eastAsia"/>
                <w:sz w:val="24"/>
              </w:rPr>
              <w:t>项目运营后，及时弥补施工期对生态环境的影响，对于植被稀疏处，播撒草籽及恢复耕种，及时洒水管护，可保证生态系统的生态功能和可持续利用性不会受到明显不利影响。</w:t>
            </w:r>
          </w:p>
          <w:p w14:paraId="2010139B">
            <w:pPr>
              <w:spacing w:line="360" w:lineRule="auto"/>
              <w:jc w:val="left"/>
              <w:rPr>
                <w:b/>
                <w:bCs/>
                <w:sz w:val="24"/>
              </w:rPr>
            </w:pPr>
            <w:r>
              <w:rPr>
                <w:b/>
                <w:bCs/>
                <w:sz w:val="24"/>
              </w:rPr>
              <w:t>4.7.</w:t>
            </w:r>
            <w:r>
              <w:rPr>
                <w:rFonts w:hint="eastAsia"/>
                <w:b/>
                <w:bCs/>
                <w:sz w:val="24"/>
              </w:rPr>
              <w:t>4对土地利用格局的影响</w:t>
            </w:r>
          </w:p>
          <w:p w14:paraId="37F35B47">
            <w:pPr>
              <w:spacing w:line="360" w:lineRule="auto"/>
              <w:ind w:firstLine="480" w:firstLineChars="200"/>
              <w:rPr>
                <w:sz w:val="24"/>
              </w:rPr>
            </w:pPr>
            <w:r>
              <w:rPr>
                <w:rFonts w:hint="eastAsia"/>
                <w:sz w:val="24"/>
              </w:rPr>
              <w:t>项目运营后，永久占地区原有的土地利用现状发生改变，临时占地区在退出使用后及时进行植被恢复，永久占地和临时占地在建设期实行边施工边恢复除必要的占地区域以外的其他范围植被等。本项目永久占地面积较小，临时占地在退出使用后，逐步恢复原有土地性质，因此本项目的建设对土地利用格局影响较小。</w:t>
            </w:r>
          </w:p>
          <w:p w14:paraId="7F30B048">
            <w:pPr>
              <w:spacing w:line="360" w:lineRule="auto"/>
              <w:jc w:val="left"/>
              <w:rPr>
                <w:b/>
                <w:bCs/>
                <w:sz w:val="24"/>
              </w:rPr>
            </w:pPr>
            <w:r>
              <w:rPr>
                <w:b/>
                <w:bCs/>
                <w:sz w:val="24"/>
              </w:rPr>
              <w:t>4.7</w:t>
            </w:r>
            <w:r>
              <w:rPr>
                <w:rFonts w:hint="eastAsia"/>
                <w:b/>
                <w:bCs/>
                <w:sz w:val="24"/>
              </w:rPr>
              <w:t>.5对景观的影响</w:t>
            </w:r>
          </w:p>
          <w:p w14:paraId="31480C3C">
            <w:pPr>
              <w:spacing w:line="360" w:lineRule="auto"/>
              <w:ind w:firstLine="480" w:firstLineChars="200"/>
              <w:jc w:val="left"/>
              <w:rPr>
                <w:sz w:val="24"/>
              </w:rPr>
            </w:pPr>
            <w:r>
              <w:rPr>
                <w:rFonts w:hint="eastAsia"/>
                <w:sz w:val="24"/>
              </w:rPr>
              <w:t>因进场道路、场内道路、风机、升压站等的修建，部分整体林地或灌丛人为分隔，对山地原始景观造成一定程度的破坏。但</w:t>
            </w:r>
            <w:r>
              <w:rPr>
                <w:sz w:val="24"/>
              </w:rPr>
              <w:t>风电场建成后，安装的</w:t>
            </w:r>
            <w:r>
              <w:rPr>
                <w:rFonts w:hint="eastAsia" w:eastAsiaTheme="minorEastAsia"/>
                <w:kern w:val="0"/>
                <w:sz w:val="24"/>
              </w:rPr>
              <w:t>1</w:t>
            </w:r>
            <w:r>
              <w:rPr>
                <w:rFonts w:hint="eastAsia" w:eastAsiaTheme="minorEastAsia"/>
                <w:kern w:val="0"/>
                <w:sz w:val="24"/>
                <w:lang w:val="en-US" w:eastAsia="zh-CN"/>
              </w:rPr>
              <w:t>6</w:t>
            </w:r>
            <w:r>
              <w:rPr>
                <w:rFonts w:hint="eastAsia" w:eastAsiaTheme="minorEastAsia"/>
                <w:kern w:val="0"/>
                <w:sz w:val="24"/>
              </w:rPr>
              <w:t>台</w:t>
            </w:r>
            <w:r>
              <w:rPr>
                <w:sz w:val="24"/>
              </w:rPr>
              <w:t>5MW风电机组组合在一起可以构成非常独特的人文景观，具有群体性、可观赏性，使人们在欣赏美丽的自然风光时，还可观赏壮观的风机群。</w:t>
            </w:r>
            <w:r>
              <w:rPr>
                <w:rFonts w:hint="eastAsia"/>
                <w:sz w:val="24"/>
                <w:lang w:val="en-US" w:eastAsia="zh-CN"/>
              </w:rPr>
              <w:t>同时</w:t>
            </w:r>
            <w:r>
              <w:rPr>
                <w:sz w:val="24"/>
              </w:rPr>
              <w:t>升压站为</w:t>
            </w:r>
            <w:r>
              <w:rPr>
                <w:rFonts w:hint="eastAsia"/>
                <w:sz w:val="24"/>
              </w:rPr>
              <w:t>风电场必不可少的</w:t>
            </w:r>
            <w:r>
              <w:rPr>
                <w:sz w:val="24"/>
              </w:rPr>
              <w:t>配套工程，</w:t>
            </w:r>
            <w:r>
              <w:rPr>
                <w:rFonts w:hint="eastAsia"/>
                <w:sz w:val="24"/>
              </w:rPr>
              <w:t>为低层建筑，设计外观朴素，尽量融入周边环境</w:t>
            </w:r>
            <w:r>
              <w:rPr>
                <w:sz w:val="24"/>
              </w:rPr>
              <w:t>。</w:t>
            </w:r>
          </w:p>
          <w:p w14:paraId="5C100AD3">
            <w:pPr>
              <w:spacing w:line="360" w:lineRule="auto"/>
              <w:jc w:val="left"/>
              <w:rPr>
                <w:b/>
                <w:bCs/>
                <w:sz w:val="24"/>
              </w:rPr>
            </w:pPr>
            <w:r>
              <w:rPr>
                <w:b/>
                <w:bCs/>
                <w:sz w:val="24"/>
              </w:rPr>
              <w:t>4.8</w:t>
            </w:r>
            <w:r>
              <w:rPr>
                <w:rFonts w:hint="eastAsia"/>
                <w:b/>
                <w:bCs/>
                <w:sz w:val="24"/>
              </w:rPr>
              <w:t>运营期大气环境影响分析</w:t>
            </w:r>
          </w:p>
          <w:p w14:paraId="23EA89FC">
            <w:pPr>
              <w:spacing w:line="360" w:lineRule="auto"/>
              <w:ind w:firstLine="480" w:firstLineChars="200"/>
              <w:rPr>
                <w:sz w:val="24"/>
              </w:rPr>
            </w:pPr>
            <w:r>
              <w:rPr>
                <w:rFonts w:hint="eastAsia"/>
                <w:sz w:val="24"/>
              </w:rPr>
              <w:t>本项目运营期废气为升压站食堂产生的油烟废气。本项目职工食堂设1个灶头，燃料使</w:t>
            </w:r>
            <w:r>
              <w:rPr>
                <w:sz w:val="24"/>
              </w:rPr>
              <w:t>用液化气。项目运营期劳动定员1</w:t>
            </w:r>
            <w:r>
              <w:rPr>
                <w:rFonts w:hint="eastAsia"/>
                <w:sz w:val="24"/>
              </w:rPr>
              <w:t>0</w:t>
            </w:r>
            <w:r>
              <w:rPr>
                <w:sz w:val="24"/>
              </w:rPr>
              <w:t>人，食用油用量平均按0.03kg/人·d计，日耗油量为0.</w:t>
            </w:r>
            <w:r>
              <w:rPr>
                <w:rFonts w:hint="eastAsia"/>
                <w:sz w:val="24"/>
              </w:rPr>
              <w:t>3</w:t>
            </w:r>
            <w:r>
              <w:rPr>
                <w:sz w:val="24"/>
              </w:rPr>
              <w:t>kg/d（按照全负荷计算），年耗油量为</w:t>
            </w:r>
            <w:r>
              <w:rPr>
                <w:rFonts w:hint="eastAsia"/>
                <w:sz w:val="24"/>
              </w:rPr>
              <w:t>109.5</w:t>
            </w:r>
            <w:r>
              <w:rPr>
                <w:sz w:val="24"/>
              </w:rPr>
              <w:t>kg/a。据类比调查，烹调过程中油的平均挥发量为总耗油的</w:t>
            </w:r>
            <w:r>
              <w:rPr>
                <w:rFonts w:hint="eastAsia"/>
                <w:sz w:val="24"/>
              </w:rPr>
              <w:t>2</w:t>
            </w:r>
            <w:r>
              <w:rPr>
                <w:sz w:val="24"/>
              </w:rPr>
              <w:t>%，则动植物油的平均挥发量为0.00</w:t>
            </w:r>
            <w:r>
              <w:rPr>
                <w:rFonts w:hint="eastAsia"/>
                <w:sz w:val="24"/>
              </w:rPr>
              <w:t>6</w:t>
            </w:r>
            <w:r>
              <w:rPr>
                <w:sz w:val="24"/>
              </w:rPr>
              <w:t>kg/d，年挥发量为</w:t>
            </w:r>
            <w:r>
              <w:rPr>
                <w:rFonts w:hint="eastAsia"/>
                <w:sz w:val="24"/>
              </w:rPr>
              <w:t>2.19</w:t>
            </w:r>
            <w:r>
              <w:rPr>
                <w:sz w:val="24"/>
              </w:rPr>
              <w:t>kg/a。</w:t>
            </w:r>
          </w:p>
          <w:p w14:paraId="0E84347B">
            <w:pPr>
              <w:spacing w:line="360" w:lineRule="auto"/>
              <w:ind w:firstLine="480" w:firstLineChars="200"/>
              <w:rPr>
                <w:sz w:val="24"/>
              </w:rPr>
            </w:pPr>
            <w:r>
              <w:rPr>
                <w:sz w:val="24"/>
              </w:rPr>
              <w:t>拟建食堂油烟净化器风量为2000m</w:t>
            </w:r>
            <w:r>
              <w:rPr>
                <w:sz w:val="24"/>
                <w:vertAlign w:val="superscript"/>
              </w:rPr>
              <w:t>3</w:t>
            </w:r>
            <w:r>
              <w:rPr>
                <w:sz w:val="24"/>
              </w:rPr>
              <w:t>/h，根据实际情况，油烟净化器按照每天使用</w:t>
            </w:r>
            <w:r>
              <w:rPr>
                <w:rFonts w:hint="eastAsia"/>
                <w:sz w:val="24"/>
              </w:rPr>
              <w:t>4</w:t>
            </w:r>
            <w:r>
              <w:rPr>
                <w:sz w:val="24"/>
              </w:rPr>
              <w:t>个小时计算，则油烟每日产生浓度为</w:t>
            </w:r>
            <w:r>
              <w:rPr>
                <w:rFonts w:hint="eastAsia"/>
                <w:sz w:val="24"/>
              </w:rPr>
              <w:t>0.75</w:t>
            </w:r>
            <w:r>
              <w:rPr>
                <w:sz w:val="24"/>
              </w:rPr>
              <w:t>mg/m</w:t>
            </w:r>
            <w:r>
              <w:rPr>
                <w:sz w:val="24"/>
                <w:vertAlign w:val="superscript"/>
              </w:rPr>
              <w:t>3</w:t>
            </w:r>
            <w:r>
              <w:rPr>
                <w:sz w:val="24"/>
              </w:rPr>
              <w:t>，</w:t>
            </w:r>
            <w:r>
              <w:rPr>
                <w:rFonts w:hint="eastAsia"/>
                <w:sz w:val="24"/>
              </w:rPr>
              <w:t>选购</w:t>
            </w:r>
            <w:r>
              <w:rPr>
                <w:sz w:val="24"/>
              </w:rPr>
              <w:t>油烟净化器去除率</w:t>
            </w:r>
            <w:r>
              <w:rPr>
                <w:rFonts w:hint="eastAsia"/>
                <w:sz w:val="24"/>
              </w:rPr>
              <w:t>为85</w:t>
            </w:r>
            <w:r>
              <w:rPr>
                <w:sz w:val="24"/>
              </w:rPr>
              <w:t>%，经净化后的食堂烟气排放浓度为0.</w:t>
            </w:r>
            <w:r>
              <w:rPr>
                <w:rFonts w:hint="eastAsia"/>
                <w:sz w:val="24"/>
              </w:rPr>
              <w:t>113</w:t>
            </w:r>
            <w:r>
              <w:rPr>
                <w:sz w:val="24"/>
              </w:rPr>
              <w:t>mg/m</w:t>
            </w:r>
            <w:r>
              <w:rPr>
                <w:sz w:val="24"/>
                <w:vertAlign w:val="superscript"/>
              </w:rPr>
              <w:t>3</w:t>
            </w:r>
            <w:r>
              <w:rPr>
                <w:sz w:val="24"/>
              </w:rPr>
              <w:t>，油烟排放量为0.</w:t>
            </w:r>
            <w:r>
              <w:rPr>
                <w:rFonts w:hint="eastAsia"/>
                <w:sz w:val="24"/>
              </w:rPr>
              <w:t>33</w:t>
            </w:r>
            <w:r>
              <w:rPr>
                <w:sz w:val="24"/>
              </w:rPr>
              <w:t>kg/a。油烟处理效率及排放浓度满足《饮食业油烟排放标准（试行）》</w:t>
            </w:r>
            <w:r>
              <w:rPr>
                <w:rFonts w:hint="eastAsia"/>
                <w:sz w:val="24"/>
              </w:rPr>
              <w:t>（</w:t>
            </w:r>
            <w:r>
              <w:rPr>
                <w:sz w:val="24"/>
              </w:rPr>
              <w:t>GB18483-2001</w:t>
            </w:r>
            <w:r>
              <w:rPr>
                <w:rFonts w:hint="eastAsia"/>
                <w:sz w:val="24"/>
              </w:rPr>
              <w:t>）中表2</w:t>
            </w:r>
            <w:r>
              <w:rPr>
                <w:sz w:val="24"/>
              </w:rPr>
              <w:t>标准。处理后的油烟废气引至楼顶排放</w:t>
            </w:r>
            <w:r>
              <w:rPr>
                <w:rFonts w:hint="eastAsia"/>
                <w:sz w:val="24"/>
              </w:rPr>
              <w:t>，对周边大气环境影响较小</w:t>
            </w:r>
            <w:r>
              <w:rPr>
                <w:sz w:val="24"/>
              </w:rPr>
              <w:t>。</w:t>
            </w:r>
          </w:p>
          <w:p w14:paraId="3DC9B316">
            <w:pPr>
              <w:spacing w:line="360" w:lineRule="auto"/>
              <w:jc w:val="left"/>
              <w:rPr>
                <w:b/>
                <w:bCs/>
                <w:sz w:val="24"/>
              </w:rPr>
            </w:pPr>
            <w:r>
              <w:rPr>
                <w:rFonts w:hint="eastAsia"/>
                <w:b/>
                <w:bCs/>
                <w:sz w:val="24"/>
              </w:rPr>
              <w:t>4</w:t>
            </w:r>
            <w:r>
              <w:rPr>
                <w:b/>
                <w:bCs/>
                <w:sz w:val="24"/>
              </w:rPr>
              <w:t>.9</w:t>
            </w:r>
            <w:r>
              <w:rPr>
                <w:rFonts w:hint="eastAsia"/>
                <w:b/>
                <w:bCs/>
                <w:sz w:val="24"/>
              </w:rPr>
              <w:t>运营期水环境影响分析</w:t>
            </w:r>
          </w:p>
          <w:p w14:paraId="50DBBCD4">
            <w:pPr>
              <w:spacing w:line="360" w:lineRule="auto"/>
              <w:ind w:firstLine="480" w:firstLineChars="200"/>
              <w:rPr>
                <w:sz w:val="24"/>
              </w:rPr>
            </w:pPr>
            <w:r>
              <w:rPr>
                <w:rFonts w:hint="eastAsia"/>
                <w:sz w:val="24"/>
              </w:rPr>
              <w:t>营运期废水主要为</w:t>
            </w:r>
            <w:r>
              <w:rPr>
                <w:sz w:val="24"/>
              </w:rPr>
              <w:t>变压器检修时产生的少量油污及发生故时泄漏的含油废水</w:t>
            </w:r>
            <w:r>
              <w:rPr>
                <w:rFonts w:hint="eastAsia"/>
                <w:sz w:val="24"/>
              </w:rPr>
              <w:t>及</w:t>
            </w:r>
            <w:r>
              <w:rPr>
                <w:sz w:val="24"/>
              </w:rPr>
              <w:t>管理人员的生活污水</w:t>
            </w:r>
            <w:r>
              <w:rPr>
                <w:rFonts w:hint="eastAsia"/>
                <w:sz w:val="24"/>
              </w:rPr>
              <w:t>。</w:t>
            </w:r>
          </w:p>
          <w:p w14:paraId="211D8A94">
            <w:pPr>
              <w:pStyle w:val="73"/>
              <w:numPr>
                <w:ilvl w:val="0"/>
                <w:numId w:val="0"/>
              </w:numPr>
              <w:snapToGrid w:val="0"/>
              <w:spacing w:line="360" w:lineRule="auto"/>
              <w:ind w:firstLine="480" w:firstLineChars="200"/>
              <w:rPr>
                <w:sz w:val="24"/>
              </w:rPr>
            </w:pPr>
            <w:r>
              <w:rPr>
                <w:rFonts w:hint="eastAsia"/>
                <w:sz w:val="24"/>
                <w:lang w:eastAsia="zh-CN"/>
              </w:rPr>
              <w:t>（</w:t>
            </w:r>
            <w:r>
              <w:rPr>
                <w:rFonts w:hint="eastAsia"/>
                <w:sz w:val="24"/>
                <w:lang w:val="en-US" w:eastAsia="zh-CN"/>
              </w:rPr>
              <w:t>1</w:t>
            </w:r>
            <w:r>
              <w:rPr>
                <w:rFonts w:hint="eastAsia"/>
                <w:sz w:val="24"/>
                <w:lang w:eastAsia="zh-CN"/>
              </w:rPr>
              <w:t>）</w:t>
            </w:r>
            <w:r>
              <w:rPr>
                <w:rFonts w:hint="eastAsia"/>
                <w:sz w:val="24"/>
              </w:rPr>
              <w:t>生活</w:t>
            </w:r>
            <w:r>
              <w:rPr>
                <w:rFonts w:hint="eastAsia"/>
                <w:sz w:val="24"/>
                <w:lang w:val="en-US" w:eastAsia="zh-CN"/>
              </w:rPr>
              <w:t>污水</w:t>
            </w:r>
            <w:r>
              <w:rPr>
                <w:rFonts w:hint="eastAsia"/>
                <w:sz w:val="24"/>
              </w:rPr>
              <w:t>：职工生活污水产生量为1.2m</w:t>
            </w:r>
            <w:r>
              <w:rPr>
                <w:rFonts w:hint="eastAsia"/>
                <w:sz w:val="24"/>
                <w:vertAlign w:val="superscript"/>
              </w:rPr>
              <w:t>3</w:t>
            </w:r>
            <w:r>
              <w:rPr>
                <w:rFonts w:hint="eastAsia"/>
                <w:sz w:val="24"/>
              </w:rPr>
              <w:t>/d</w:t>
            </w:r>
            <w:r>
              <w:rPr>
                <w:rFonts w:hint="eastAsia"/>
                <w:sz w:val="24"/>
                <w:lang w:eastAsia="zh-CN"/>
              </w:rPr>
              <w:t>、</w:t>
            </w:r>
            <w:r>
              <w:rPr>
                <w:rFonts w:hint="eastAsia"/>
                <w:sz w:val="24"/>
              </w:rPr>
              <w:t>438m</w:t>
            </w:r>
            <w:r>
              <w:rPr>
                <w:rFonts w:hint="eastAsia"/>
                <w:sz w:val="24"/>
                <w:vertAlign w:val="superscript"/>
              </w:rPr>
              <w:t>3</w:t>
            </w:r>
            <w:r>
              <w:rPr>
                <w:rFonts w:hint="eastAsia"/>
                <w:sz w:val="24"/>
              </w:rPr>
              <w:t>/a，主要污染物为pH、COD、BOD</w:t>
            </w:r>
            <w:r>
              <w:rPr>
                <w:rFonts w:hint="eastAsia"/>
                <w:sz w:val="24"/>
                <w:vertAlign w:val="subscript"/>
              </w:rPr>
              <w:t>5</w:t>
            </w:r>
            <w:r>
              <w:rPr>
                <w:rFonts w:hint="eastAsia"/>
                <w:sz w:val="24"/>
              </w:rPr>
              <w:t>、SS、NH</w:t>
            </w:r>
            <w:r>
              <w:rPr>
                <w:rFonts w:hint="eastAsia"/>
                <w:sz w:val="24"/>
                <w:vertAlign w:val="subscript"/>
              </w:rPr>
              <w:t>3</w:t>
            </w:r>
            <w:r>
              <w:rPr>
                <w:rFonts w:hint="eastAsia"/>
                <w:sz w:val="24"/>
              </w:rPr>
              <w:t>-N、动植物油。污染物浓度为COD</w:t>
            </w:r>
            <w:r>
              <w:rPr>
                <w:rFonts w:hint="eastAsia"/>
                <w:sz w:val="24"/>
                <w:lang w:val="en-US" w:eastAsia="zh-CN"/>
              </w:rPr>
              <w:t xml:space="preserve"> </w:t>
            </w:r>
            <w:r>
              <w:rPr>
                <w:rFonts w:hint="eastAsia"/>
                <w:sz w:val="24"/>
              </w:rPr>
              <w:t>300mg/L、BOD</w:t>
            </w:r>
            <w:r>
              <w:rPr>
                <w:rFonts w:hint="eastAsia"/>
                <w:sz w:val="24"/>
                <w:vertAlign w:val="subscript"/>
              </w:rPr>
              <w:t>5</w:t>
            </w:r>
            <w:r>
              <w:rPr>
                <w:rFonts w:hint="eastAsia"/>
                <w:sz w:val="24"/>
                <w:lang w:val="en-US" w:eastAsia="zh-CN"/>
              </w:rPr>
              <w:t xml:space="preserve"> </w:t>
            </w:r>
            <w:r>
              <w:rPr>
                <w:rFonts w:hint="eastAsia"/>
                <w:sz w:val="24"/>
              </w:rPr>
              <w:t>180mg/L、SS</w:t>
            </w:r>
            <w:r>
              <w:rPr>
                <w:rFonts w:hint="eastAsia"/>
                <w:sz w:val="24"/>
                <w:lang w:val="en-US" w:eastAsia="zh-CN"/>
              </w:rPr>
              <w:t xml:space="preserve"> </w:t>
            </w:r>
            <w:r>
              <w:rPr>
                <w:rFonts w:hint="eastAsia"/>
                <w:sz w:val="24"/>
              </w:rPr>
              <w:t>200mg/L、氨氮</w:t>
            </w:r>
            <w:r>
              <w:rPr>
                <w:rFonts w:hint="eastAsia"/>
                <w:sz w:val="24"/>
                <w:lang w:val="en-US" w:eastAsia="zh-CN"/>
              </w:rPr>
              <w:t xml:space="preserve"> </w:t>
            </w:r>
            <w:r>
              <w:rPr>
                <w:rFonts w:hint="eastAsia"/>
                <w:sz w:val="24"/>
              </w:rPr>
              <w:t>20mg/L、动植物油</w:t>
            </w:r>
            <w:r>
              <w:rPr>
                <w:rFonts w:hint="eastAsia"/>
                <w:sz w:val="24"/>
                <w:lang w:val="en-US" w:eastAsia="zh-CN"/>
              </w:rPr>
              <w:t xml:space="preserve"> </w:t>
            </w:r>
            <w:r>
              <w:rPr>
                <w:rFonts w:hint="eastAsia"/>
                <w:sz w:val="24"/>
              </w:rPr>
              <w:t>40mg/L。生活污水经一体化污水处理装置处理后用于站内外绿化用水，不外排。</w:t>
            </w:r>
          </w:p>
          <w:p w14:paraId="498FDF6F">
            <w:pPr>
              <w:pStyle w:val="73"/>
              <w:numPr>
                <w:ilvl w:val="0"/>
                <w:numId w:val="0"/>
              </w:numPr>
              <w:snapToGrid w:val="0"/>
              <w:spacing w:line="360" w:lineRule="auto"/>
              <w:ind w:firstLine="480" w:firstLineChars="200"/>
              <w:rPr>
                <w:sz w:val="24"/>
              </w:rPr>
            </w:pPr>
            <w:r>
              <w:rPr>
                <w:rFonts w:hint="eastAsia"/>
                <w:sz w:val="24"/>
                <w:lang w:eastAsia="zh-CN"/>
              </w:rPr>
              <w:t>（</w:t>
            </w:r>
            <w:r>
              <w:rPr>
                <w:rFonts w:hint="eastAsia"/>
                <w:sz w:val="24"/>
                <w:lang w:val="en-US" w:eastAsia="zh-CN"/>
              </w:rPr>
              <w:t>2</w:t>
            </w:r>
            <w:r>
              <w:rPr>
                <w:rFonts w:hint="eastAsia"/>
                <w:sz w:val="24"/>
                <w:lang w:eastAsia="zh-CN"/>
              </w:rPr>
              <w:t>）</w:t>
            </w:r>
            <w:r>
              <w:rPr>
                <w:sz w:val="24"/>
              </w:rPr>
              <w:t>生产废水：</w:t>
            </w:r>
            <w:r>
              <w:rPr>
                <w:rFonts w:hint="eastAsia"/>
                <w:sz w:val="26"/>
                <w:szCs w:val="26"/>
              </w:rPr>
              <w:t>运行期正常情况下无废水排放，只有变压器检修或发生事故时有少量含油废水排放。根据主体工程设计报告，变压器配备有</w:t>
            </w:r>
            <w:r>
              <w:rPr>
                <w:rFonts w:hint="eastAsia"/>
                <w:sz w:val="26"/>
                <w:szCs w:val="26"/>
                <w:lang w:val="en-US" w:eastAsia="zh-CN"/>
              </w:rPr>
              <w:t>30m</w:t>
            </w:r>
            <w:r>
              <w:rPr>
                <w:rFonts w:hint="eastAsia"/>
                <w:sz w:val="26"/>
                <w:szCs w:val="26"/>
                <w:vertAlign w:val="superscript"/>
                <w:lang w:val="en-US" w:eastAsia="zh-CN"/>
              </w:rPr>
              <w:t>3</w:t>
            </w:r>
            <w:r>
              <w:rPr>
                <w:rFonts w:hint="eastAsia"/>
                <w:sz w:val="26"/>
                <w:szCs w:val="26"/>
                <w:lang w:val="en-US" w:eastAsia="zh-CN"/>
              </w:rPr>
              <w:t>的</w:t>
            </w:r>
            <w:r>
              <w:rPr>
                <w:rFonts w:hint="eastAsia"/>
                <w:sz w:val="26"/>
                <w:szCs w:val="26"/>
              </w:rPr>
              <w:t>事故油池，发生漏油时，集油池收集的漏油单独外运处置。因此，运行期生产废水排放对环境无影响。</w:t>
            </w:r>
          </w:p>
          <w:p w14:paraId="3DCA03B5">
            <w:pPr>
              <w:snapToGrid w:val="0"/>
              <w:spacing w:line="360" w:lineRule="auto"/>
              <w:ind w:firstLine="480" w:firstLineChars="200"/>
              <w:rPr>
                <w:sz w:val="26"/>
                <w:szCs w:val="26"/>
              </w:rPr>
            </w:pPr>
            <w:r>
              <w:rPr>
                <w:rFonts w:hint="eastAsia"/>
                <w:sz w:val="24"/>
                <w:lang w:eastAsia="zh-CN"/>
              </w:rPr>
              <w:t>（</w:t>
            </w:r>
            <w:r>
              <w:rPr>
                <w:rFonts w:hint="eastAsia"/>
                <w:sz w:val="24"/>
                <w:lang w:val="en-US" w:eastAsia="zh-CN"/>
              </w:rPr>
              <w:t>3</w:t>
            </w:r>
            <w:r>
              <w:rPr>
                <w:rFonts w:hint="eastAsia"/>
                <w:sz w:val="24"/>
                <w:lang w:eastAsia="zh-CN"/>
              </w:rPr>
              <w:t>）</w:t>
            </w:r>
            <w:r>
              <w:rPr>
                <w:rFonts w:hint="eastAsia"/>
                <w:sz w:val="24"/>
              </w:rPr>
              <w:t>雨水：</w:t>
            </w:r>
            <w:r>
              <w:rPr>
                <w:rFonts w:hint="eastAsia"/>
                <w:sz w:val="26"/>
                <w:szCs w:val="26"/>
              </w:rPr>
              <w:t>升压站的雨水排水量根据暴雨强度公式经计算确定，暴雨强度公式参考湖南省衡阳市的暴雨强度公式：</w:t>
            </w:r>
            <w:r>
              <w:rPr>
                <w:sz w:val="26"/>
                <w:szCs w:val="26"/>
              </w:rPr>
              <w:t>q=892(1+0.67lgP)/(t</w:t>
            </w:r>
            <w:r>
              <w:rPr>
                <w:sz w:val="24"/>
                <w:szCs w:val="24"/>
                <w:vertAlign w:val="superscript"/>
              </w:rPr>
              <w:t>0.57</w:t>
            </w:r>
            <w:r>
              <w:rPr>
                <w:sz w:val="26"/>
                <w:szCs w:val="26"/>
              </w:rPr>
              <w:t>)</w:t>
            </w:r>
            <w:r>
              <w:rPr>
                <w:rFonts w:hint="eastAsia"/>
                <w:sz w:val="26"/>
                <w:szCs w:val="26"/>
              </w:rPr>
              <w:t>，重现期选用</w:t>
            </w:r>
            <w:r>
              <w:rPr>
                <w:sz w:val="26"/>
                <w:szCs w:val="26"/>
              </w:rPr>
              <w:t>3</w:t>
            </w:r>
            <w:r>
              <w:rPr>
                <w:rFonts w:hint="eastAsia"/>
                <w:sz w:val="26"/>
                <w:szCs w:val="26"/>
              </w:rPr>
              <w:t>年，径流系数选择</w:t>
            </w:r>
            <w:r>
              <w:rPr>
                <w:sz w:val="26"/>
                <w:szCs w:val="26"/>
              </w:rPr>
              <w:t>0.9</w:t>
            </w:r>
            <w:r>
              <w:rPr>
                <w:rFonts w:hint="eastAsia"/>
                <w:sz w:val="26"/>
                <w:szCs w:val="26"/>
              </w:rPr>
              <w:t>，时间</w:t>
            </w:r>
            <w:r>
              <w:rPr>
                <w:sz w:val="26"/>
                <w:szCs w:val="26"/>
              </w:rPr>
              <w:t>t</w:t>
            </w:r>
            <w:r>
              <w:rPr>
                <w:rFonts w:hint="eastAsia"/>
                <w:sz w:val="26"/>
                <w:szCs w:val="26"/>
              </w:rPr>
              <w:t>为</w:t>
            </w:r>
            <w:r>
              <w:rPr>
                <w:sz w:val="26"/>
                <w:szCs w:val="26"/>
              </w:rPr>
              <w:t>10</w:t>
            </w:r>
            <w:r>
              <w:rPr>
                <w:rFonts w:hint="eastAsia"/>
                <w:sz w:val="26"/>
                <w:szCs w:val="26"/>
              </w:rPr>
              <w:t>分钟，最大雨水量为</w:t>
            </w:r>
            <w:r>
              <w:rPr>
                <w:sz w:val="26"/>
                <w:szCs w:val="26"/>
              </w:rPr>
              <w:t>1</w:t>
            </w:r>
            <w:r>
              <w:rPr>
                <w:rFonts w:hint="eastAsia"/>
                <w:sz w:val="26"/>
                <w:szCs w:val="26"/>
                <w:lang w:val="en-US" w:eastAsia="zh-CN"/>
              </w:rPr>
              <w:t>45</w:t>
            </w:r>
            <w:r>
              <w:rPr>
                <w:sz w:val="26"/>
                <w:szCs w:val="26"/>
              </w:rPr>
              <w:t>L/s</w:t>
            </w:r>
            <w:r>
              <w:rPr>
                <w:rFonts w:hint="eastAsia"/>
                <w:sz w:val="26"/>
                <w:szCs w:val="26"/>
              </w:rPr>
              <w:t>。升压站内雨水排水采用暗管排水系统，经由主管引至站外排水沟内。</w:t>
            </w:r>
          </w:p>
          <w:p w14:paraId="6E82B1A5">
            <w:pPr>
              <w:snapToGrid w:val="0"/>
              <w:spacing w:line="360" w:lineRule="auto"/>
              <w:ind w:firstLine="520" w:firstLineChars="200"/>
              <w:rPr>
                <w:sz w:val="26"/>
                <w:szCs w:val="26"/>
              </w:rPr>
            </w:pPr>
            <w:r>
              <w:rPr>
                <w:rFonts w:hint="eastAsia"/>
                <w:sz w:val="26"/>
                <w:szCs w:val="26"/>
              </w:rPr>
              <w:t>综上所述，本项目废水排放对周边水环境影响较小。</w:t>
            </w:r>
          </w:p>
          <w:p w14:paraId="07E078D1">
            <w:pPr>
              <w:spacing w:line="360" w:lineRule="auto"/>
              <w:jc w:val="left"/>
              <w:rPr>
                <w:b/>
                <w:bCs/>
                <w:sz w:val="24"/>
              </w:rPr>
            </w:pPr>
            <w:r>
              <w:rPr>
                <w:b/>
                <w:bCs/>
                <w:sz w:val="24"/>
              </w:rPr>
              <w:t>4.10</w:t>
            </w:r>
            <w:r>
              <w:rPr>
                <w:rFonts w:hint="eastAsia"/>
                <w:b/>
                <w:bCs/>
                <w:sz w:val="24"/>
              </w:rPr>
              <w:t>运营期声环境影响分析</w:t>
            </w:r>
          </w:p>
          <w:p w14:paraId="1FDAB64C">
            <w:pPr>
              <w:pStyle w:val="62"/>
              <w:ind w:firstLine="480"/>
              <w:rPr>
                <w:rFonts w:hAnsi="宋体" w:cs="Times New Roman"/>
              </w:rPr>
            </w:pPr>
            <w:r>
              <w:rPr>
                <w:rFonts w:hAnsi="宋体" w:cs="Times New Roman"/>
              </w:rPr>
              <w:t>（1）噪声源分析</w:t>
            </w:r>
          </w:p>
          <w:p w14:paraId="7B1F0510">
            <w:pPr>
              <w:pStyle w:val="62"/>
              <w:ind w:firstLine="480"/>
              <w:rPr>
                <w:rFonts w:hAnsi="宋体" w:cs="Times New Roman"/>
              </w:rPr>
            </w:pPr>
            <w:r>
              <w:rPr>
                <w:rFonts w:hAnsi="宋体" w:cs="Times New Roman"/>
              </w:rPr>
              <w:t>风机运行过程中的噪声来源于风轮叶片旋转时产生的空气动力噪声和齿轮箱和发电机等部件发出的机械噪声，液压及润滑油冷却系统噪声，由于风机叶片扫过面积较大，因此应作为面源处理。</w:t>
            </w:r>
          </w:p>
          <w:p w14:paraId="1E85EFD9">
            <w:pPr>
              <w:pStyle w:val="62"/>
              <w:ind w:firstLine="480"/>
              <w:rPr>
                <w:rFonts w:hAnsi="宋体" w:cs="Times New Roman"/>
              </w:rPr>
            </w:pPr>
            <w:r>
              <w:rPr>
                <w:rFonts w:hAnsi="宋体" w:cs="Times New Roman"/>
              </w:rPr>
              <w:t>风电机组噪声分为机械噪声和空气动力学噪声。机械噪声主要来自齿轮箱、轴承、电机，空气动力学噪声产生于风电机组叶片与空气撞击引起的压力脉动，其中的空气动力学噪声是主要的噪声来源。根据浙江大学《风电机组噪声预测》，当风速为8m/s时，兆瓦级以下的风电机组声功率级在98</w:t>
            </w:r>
            <w:r>
              <w:rPr>
                <w:rFonts w:hint="eastAsia" w:hAnsi="宋体" w:cs="Times New Roman"/>
                <w:lang w:val="en-US" w:eastAsia="zh-CN"/>
              </w:rPr>
              <w:t>~</w:t>
            </w:r>
            <w:r>
              <w:rPr>
                <w:rFonts w:hAnsi="宋体" w:cs="Times New Roman"/>
              </w:rPr>
              <w:t>104dB(A)之间，其噪声呈现明显的低频特性。</w:t>
            </w:r>
          </w:p>
          <w:p w14:paraId="291EAF55">
            <w:pPr>
              <w:pStyle w:val="62"/>
              <w:ind w:firstLine="480"/>
              <w:rPr>
                <w:rFonts w:hint="default" w:hAnsi="宋体" w:eastAsia="宋体" w:cs="Times New Roman"/>
                <w:lang w:val="en-US" w:eastAsia="zh-CN"/>
              </w:rPr>
            </w:pPr>
            <w:r>
              <w:rPr>
                <w:rFonts w:hAnsi="宋体" w:cs="Times New Roman"/>
              </w:rPr>
              <w:t>风电机组的噪声主要来源于空气动力学噪声，即旋转的风机叶片和空气的摩擦声。</w:t>
            </w:r>
            <w:bookmarkStart w:id="302" w:name="_Hlk106009246"/>
            <w:r>
              <w:rPr>
                <w:rFonts w:hint="eastAsia" w:hAnsi="宋体" w:cs="Times New Roman"/>
                <w:lang w:val="en-US" w:eastAsia="zh-CN"/>
              </w:rPr>
              <w:t>本项目风机单机容量为</w:t>
            </w:r>
            <w:r>
              <w:rPr>
                <w:rFonts w:hint="default" w:ascii="Times New Roman" w:hAnsi="Times New Roman" w:cs="Times New Roman"/>
                <w:color w:val="000000" w:themeColor="text1"/>
                <w:sz w:val="24"/>
                <w:highlight w:val="none"/>
                <w14:textFill>
                  <w14:solidFill>
                    <w14:schemeClr w14:val="tx1"/>
                  </w14:solidFill>
                </w14:textFill>
              </w:rPr>
              <w:t>5.0MW，</w:t>
            </w:r>
            <w:r>
              <w:rPr>
                <w:rFonts w:hint="eastAsia" w:ascii="Times New Roman" w:hAnsi="Times New Roman" w:cs="Times New Roman"/>
                <w:color w:val="000000" w:themeColor="text1"/>
                <w:sz w:val="24"/>
                <w:highlight w:val="none"/>
                <w:lang w:eastAsia="zh-CN"/>
                <w14:textFill>
                  <w14:solidFill>
                    <w14:schemeClr w14:val="tx1"/>
                  </w14:solidFill>
                </w14:textFill>
              </w:rPr>
              <w:t>型号为</w:t>
            </w:r>
            <w:r>
              <w:rPr>
                <w:rFonts w:hint="eastAsia" w:ascii="Times New Roman" w:hAnsi="Times New Roman" w:eastAsia="宋体" w:cs="Times New Roman"/>
                <w:b w:val="0"/>
                <w:bCs w:val="0"/>
                <w:color w:val="000000" w:themeColor="text1"/>
                <w:kern w:val="2"/>
                <w:sz w:val="24"/>
                <w:szCs w:val="24"/>
                <w:highlight w:val="none"/>
                <w:u w:val="none"/>
                <w:lang w:val="en-US" w:eastAsia="zh-CN" w:bidi="ar-SA"/>
                <w14:textFill>
                  <w14:solidFill>
                    <w14:schemeClr w14:val="tx1"/>
                  </w14:solidFill>
                </w14:textFill>
              </w:rPr>
              <w:t>WTG200</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根据《WT5000D195风电机组噪声评估报告》（中车株洲电力机车研究所有限公司风电事业部）</w:t>
            </w:r>
            <w:r>
              <w:rPr>
                <w:rFonts w:hint="eastAsia" w:cs="Times New Roman"/>
                <w:color w:val="000000" w:themeColor="text1"/>
                <w:sz w:val="24"/>
                <w:highlight w:val="none"/>
                <w:u w:val="none"/>
                <w:lang w:eastAsia="zh-CN"/>
                <w14:textFill>
                  <w14:solidFill>
                    <w14:schemeClr w14:val="tx1"/>
                  </w14:solidFill>
                </w14:textFill>
              </w:rPr>
              <w:t>（见附件</w:t>
            </w:r>
            <w:r>
              <w:rPr>
                <w:rFonts w:hint="eastAsia" w:cs="Times New Roman"/>
                <w:color w:val="000000" w:themeColor="text1"/>
                <w:sz w:val="24"/>
                <w:highlight w:val="none"/>
                <w:u w:val="none"/>
                <w:lang w:val="en-US" w:eastAsia="zh-CN"/>
                <w14:textFill>
                  <w14:solidFill>
                    <w14:schemeClr w14:val="tx1"/>
                  </w14:solidFill>
                </w14:textFill>
              </w:rPr>
              <w:t>27</w:t>
            </w:r>
            <w:r>
              <w:rPr>
                <w:rFonts w:hint="eastAsia" w:cs="Times New Roman"/>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5.0MW风电机组在风速3m/s~14m/s情况下，风机噪声值为98.2~109.0dB（A）。因此，本项目风机噪声源强取109dB（A）。</w:t>
            </w:r>
          </w:p>
          <w:p w14:paraId="37ABE5D1">
            <w:pPr>
              <w:pStyle w:val="62"/>
              <w:ind w:firstLine="480"/>
              <w:rPr>
                <w:rFonts w:hint="default" w:hAnsi="宋体" w:eastAsia="宋体" w:cs="Times New Roman"/>
                <w:lang w:val="en-US" w:eastAsia="zh-CN"/>
              </w:rPr>
            </w:pPr>
            <w:r>
              <w:rPr>
                <w:rFonts w:hAnsi="宋体" w:cs="Times New Roman"/>
              </w:rPr>
              <w:t>液压及润滑油冷却系统噪声值约为78dB(A)；偏航系统刹车偶发噪声，偏航系统刹车偶发噪声值约为120dB(A)。</w:t>
            </w:r>
            <w:bookmarkEnd w:id="302"/>
            <w:r>
              <w:rPr>
                <w:rFonts w:hint="eastAsia" w:hAnsi="宋体" w:cs="Times New Roman"/>
                <w:color w:val="FF0000"/>
                <w:lang w:val="en-US" w:eastAsia="zh-CN"/>
              </w:rPr>
              <w:t>由于各风机之间排距超过200m（距离最近的2台风机为DZ7和DZ8，距离为390米，具体见附图9），相互之间的影响可忽略。</w:t>
            </w:r>
          </w:p>
          <w:p w14:paraId="644E0667">
            <w:pPr>
              <w:pStyle w:val="62"/>
              <w:ind w:firstLine="480"/>
              <w:rPr>
                <w:rFonts w:hAnsi="宋体" w:cs="Times New Roman"/>
              </w:rPr>
            </w:pPr>
            <w:r>
              <w:rPr>
                <w:rFonts w:hAnsi="宋体" w:cs="Times New Roman"/>
              </w:rPr>
              <w:t>（2）预测内容</w:t>
            </w:r>
          </w:p>
          <w:p w14:paraId="3EF28257">
            <w:pPr>
              <w:pStyle w:val="62"/>
              <w:ind w:firstLine="480"/>
              <w:rPr>
                <w:rFonts w:hAnsi="宋体" w:cs="Times New Roman"/>
              </w:rPr>
            </w:pPr>
            <w:r>
              <w:rPr>
                <w:rFonts w:hAnsi="宋体" w:cs="Times New Roman"/>
              </w:rPr>
              <w:t>本次评价噪声影响预测内容为风机运行噪声正常情况距离衰减规律和偏航系统运行单个风电机组突发噪声最大预值。</w:t>
            </w:r>
          </w:p>
          <w:p w14:paraId="40B105BE">
            <w:pPr>
              <w:pStyle w:val="62"/>
              <w:ind w:firstLine="480"/>
              <w:rPr>
                <w:rFonts w:hAnsi="宋体" w:cs="Times New Roman"/>
              </w:rPr>
            </w:pPr>
            <w:r>
              <w:rPr>
                <w:rFonts w:hAnsi="宋体" w:cs="Times New Roman"/>
              </w:rPr>
              <w:t>（3）噪声源简化及预测模式</w:t>
            </w:r>
          </w:p>
          <w:p w14:paraId="124B4C57">
            <w:pPr>
              <w:pStyle w:val="62"/>
              <w:ind w:firstLine="480"/>
              <w:rPr>
                <w:rFonts w:hAnsi="宋体" w:cs="Times New Roman"/>
              </w:rPr>
            </w:pPr>
            <w:r>
              <w:rPr>
                <w:rFonts w:hAnsi="宋体" w:cs="Times New Roman"/>
              </w:rPr>
              <w:t>本次评价噪声预测采用处于半自由空间的点声源衰减公式和多声源叠加公式对预测点进行预测。处于半自由空间的点声源衰减公式为：</w:t>
            </w:r>
          </w:p>
          <w:p w14:paraId="5B1B7BF2">
            <w:pPr>
              <w:pStyle w:val="61"/>
              <w:ind w:firstLine="464"/>
              <w:rPr>
                <w:rFonts w:cs="Times New Roman"/>
                <w:color w:val="auto"/>
              </w:rPr>
            </w:pPr>
            <w:r>
              <w:rPr>
                <w:rFonts w:cs="Times New Roman"/>
                <w:color w:val="auto"/>
              </w:rPr>
              <w:t>L(r)＝L</w:t>
            </w:r>
            <w:r>
              <w:rPr>
                <w:rFonts w:cs="Times New Roman"/>
                <w:color w:val="auto"/>
                <w:vertAlign w:val="subscript"/>
              </w:rPr>
              <w:t>W</w:t>
            </w:r>
            <w:r>
              <w:rPr>
                <w:rFonts w:cs="Times New Roman"/>
                <w:color w:val="auto"/>
              </w:rPr>
              <w:t>-20lgr-8</w:t>
            </w:r>
          </w:p>
          <w:p w14:paraId="2896DE56">
            <w:pPr>
              <w:pStyle w:val="61"/>
              <w:ind w:firstLine="464"/>
              <w:rPr>
                <w:rFonts w:cs="Times New Roman"/>
                <w:color w:val="auto"/>
              </w:rPr>
            </w:pPr>
            <w:r>
              <w:rPr>
                <w:rFonts w:cs="Times New Roman"/>
                <w:color w:val="auto"/>
              </w:rPr>
              <w:t>式中：L</w:t>
            </w:r>
            <w:r>
              <w:rPr>
                <w:rFonts w:cs="Times New Roman"/>
                <w:color w:val="auto"/>
                <w:vertAlign w:val="subscript"/>
              </w:rPr>
              <w:t>W</w:t>
            </w:r>
            <w:r>
              <w:rPr>
                <w:rFonts w:cs="Times New Roman"/>
                <w:color w:val="auto"/>
              </w:rPr>
              <w:t>：点声源的声功率级，dB(A)；</w:t>
            </w:r>
          </w:p>
          <w:p w14:paraId="5C5C3BA3">
            <w:pPr>
              <w:pStyle w:val="61"/>
              <w:ind w:firstLine="464"/>
              <w:rPr>
                <w:rFonts w:cs="Times New Roman"/>
                <w:color w:val="auto"/>
              </w:rPr>
            </w:pPr>
            <w:r>
              <w:rPr>
                <w:rFonts w:cs="Times New Roman"/>
                <w:color w:val="auto"/>
              </w:rPr>
              <w:t>其他符号意义同公式(1)。</w:t>
            </w:r>
          </w:p>
          <w:p w14:paraId="28E07A49">
            <w:pPr>
              <w:pStyle w:val="61"/>
              <w:ind w:firstLine="464"/>
              <w:rPr>
                <w:rFonts w:cs="Times New Roman"/>
                <w:color w:val="auto"/>
              </w:rPr>
            </w:pPr>
            <w:r>
              <w:rPr>
                <w:rFonts w:cs="Times New Roman"/>
                <w:color w:val="auto"/>
              </w:rPr>
              <w:t>多声源叠加公式为：</w:t>
            </w:r>
          </w:p>
          <w:p w14:paraId="449A00F8">
            <w:pPr>
              <w:pStyle w:val="61"/>
              <w:ind w:firstLine="464"/>
              <w:rPr>
                <w:rFonts w:cs="Times New Roman"/>
                <w:color w:val="auto"/>
              </w:rPr>
            </w:pPr>
            <w:r>
              <w:rPr>
                <w:rFonts w:cs="Times New Roman"/>
                <w:color w:val="auto"/>
              </w:rPr>
              <w:t>Lp＝10lg(10</w:t>
            </w:r>
            <w:r>
              <w:rPr>
                <w:rFonts w:cs="Times New Roman"/>
                <w:color w:val="auto"/>
                <w:vertAlign w:val="superscript"/>
              </w:rPr>
              <w:t>Lp1/10</w:t>
            </w:r>
            <w:r>
              <w:rPr>
                <w:rFonts w:cs="Times New Roman"/>
                <w:color w:val="auto"/>
              </w:rPr>
              <w:t>＋10</w:t>
            </w:r>
            <w:r>
              <w:rPr>
                <w:rFonts w:cs="Times New Roman"/>
                <w:color w:val="auto"/>
                <w:vertAlign w:val="superscript"/>
              </w:rPr>
              <w:t>Lp2/10</w:t>
            </w:r>
            <w:r>
              <w:rPr>
                <w:rFonts w:cs="Times New Roman"/>
                <w:color w:val="auto"/>
              </w:rPr>
              <w:t>＋…＋10</w:t>
            </w:r>
            <w:r>
              <w:rPr>
                <w:rFonts w:cs="Times New Roman"/>
                <w:color w:val="auto"/>
                <w:vertAlign w:val="superscript"/>
              </w:rPr>
              <w:t>Lpn/10</w:t>
            </w:r>
            <w:r>
              <w:rPr>
                <w:rFonts w:cs="Times New Roman"/>
                <w:color w:val="auto"/>
              </w:rPr>
              <w:t>)</w:t>
            </w:r>
          </w:p>
          <w:p w14:paraId="145171ED">
            <w:pPr>
              <w:pStyle w:val="61"/>
              <w:ind w:firstLine="464"/>
              <w:rPr>
                <w:rFonts w:cs="Times New Roman"/>
                <w:color w:val="auto"/>
              </w:rPr>
            </w:pPr>
            <w:r>
              <w:rPr>
                <w:rFonts w:cs="Times New Roman"/>
                <w:color w:val="auto"/>
              </w:rPr>
              <w:t>式中：Lp：n个噪声源叠加后的总噪声值，dB(A)；</w:t>
            </w:r>
          </w:p>
          <w:p w14:paraId="429BE99A">
            <w:pPr>
              <w:pStyle w:val="61"/>
              <w:ind w:firstLine="464"/>
              <w:rPr>
                <w:rFonts w:cs="Times New Roman"/>
                <w:color w:val="auto"/>
              </w:rPr>
            </w:pPr>
            <w:r>
              <w:rPr>
                <w:rFonts w:cs="Times New Roman"/>
                <w:color w:val="auto"/>
              </w:rPr>
              <w:t>Lpi：第i个噪声源对该点的噪声值，dB(A)。</w:t>
            </w:r>
          </w:p>
          <w:p w14:paraId="6C1076F3">
            <w:pPr>
              <w:pStyle w:val="61"/>
              <w:ind w:firstLine="464"/>
              <w:rPr>
                <w:rFonts w:cs="Times New Roman"/>
                <w:color w:val="auto"/>
              </w:rPr>
            </w:pPr>
            <w:r>
              <w:rPr>
                <w:rFonts w:cs="Times New Roman"/>
                <w:color w:val="auto"/>
              </w:rPr>
              <w:t>（4）正常情况预测结果</w:t>
            </w:r>
          </w:p>
          <w:p w14:paraId="25667F02">
            <w:pPr>
              <w:pStyle w:val="61"/>
              <w:ind w:firstLine="464"/>
              <w:rPr>
                <w:rFonts w:cs="Times New Roman"/>
                <w:color w:val="FF0000"/>
              </w:rPr>
            </w:pPr>
            <w:r>
              <w:rPr>
                <w:rFonts w:cs="Times New Roman"/>
                <w:color w:val="FF0000"/>
              </w:rPr>
              <w:t>在不考虑地形高差及阻隔等影响情况下，在单个声源噪声影响预测结果见下表。</w:t>
            </w:r>
          </w:p>
          <w:p w14:paraId="3785310B">
            <w:pPr>
              <w:pStyle w:val="62"/>
              <w:spacing w:line="240" w:lineRule="auto"/>
              <w:ind w:firstLine="0" w:firstLineChars="0"/>
              <w:jc w:val="center"/>
              <w:rPr>
                <w:rFonts w:hint="default" w:hAnsi="宋体" w:eastAsia="宋体" w:cs="Times New Roman"/>
                <w:b/>
                <w:color w:val="FF0000"/>
                <w:sz w:val="21"/>
                <w:szCs w:val="21"/>
                <w:lang w:val="en-US" w:eastAsia="zh-CN"/>
              </w:rPr>
            </w:pPr>
            <w:r>
              <w:rPr>
                <w:rFonts w:hAnsi="宋体" w:cs="Times New Roman"/>
                <w:b/>
                <w:color w:val="FF0000"/>
                <w:sz w:val="21"/>
                <w:szCs w:val="21"/>
              </w:rPr>
              <w:t>表</w:t>
            </w:r>
            <w:r>
              <w:rPr>
                <w:rFonts w:hint="eastAsia" w:hAnsi="宋体" w:cs="Times New Roman"/>
                <w:b/>
                <w:color w:val="FF0000"/>
                <w:sz w:val="21"/>
                <w:szCs w:val="21"/>
              </w:rPr>
              <w:t>4</w:t>
            </w:r>
            <w:r>
              <w:rPr>
                <w:rFonts w:hint="eastAsia" w:hAnsi="宋体" w:cs="Times New Roman"/>
                <w:b/>
                <w:color w:val="FF0000"/>
                <w:sz w:val="21"/>
                <w:szCs w:val="21"/>
                <w:lang w:val="en-US" w:eastAsia="zh-CN"/>
              </w:rPr>
              <w:t xml:space="preserve">-6  </w:t>
            </w:r>
            <w:r>
              <w:rPr>
                <w:rFonts w:hAnsi="宋体" w:cs="Times New Roman"/>
                <w:b/>
                <w:color w:val="FF0000"/>
                <w:sz w:val="21"/>
                <w:szCs w:val="21"/>
              </w:rPr>
              <w:t>单</w:t>
            </w:r>
            <w:r>
              <w:rPr>
                <w:rFonts w:hint="eastAsia" w:hAnsi="宋体" w:cs="Times New Roman"/>
                <w:b/>
                <w:color w:val="FF0000"/>
                <w:sz w:val="21"/>
                <w:szCs w:val="21"/>
              </w:rPr>
              <w:t>台</w:t>
            </w:r>
            <w:r>
              <w:rPr>
                <w:rFonts w:hAnsi="宋体" w:cs="Times New Roman"/>
                <w:b/>
                <w:color w:val="FF0000"/>
                <w:sz w:val="21"/>
                <w:szCs w:val="21"/>
              </w:rPr>
              <w:t>风机噪声正常情况衰减计算结果一览表</w:t>
            </w:r>
            <w:r>
              <w:rPr>
                <w:rFonts w:hint="eastAsia" w:hAnsi="宋体" w:cs="Times New Roman"/>
                <w:b/>
                <w:color w:val="FF0000"/>
                <w:sz w:val="21"/>
                <w:szCs w:val="21"/>
                <w:lang w:val="en-US" w:eastAsia="zh-CN"/>
              </w:rPr>
              <w:t xml:space="preserve">  单位：dB(A)</w:t>
            </w:r>
          </w:p>
          <w:tbl>
            <w:tblPr>
              <w:tblStyle w:val="32"/>
              <w:tblW w:w="49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3"/>
              <w:gridCol w:w="839"/>
              <w:gridCol w:w="697"/>
              <w:gridCol w:w="840"/>
              <w:gridCol w:w="697"/>
              <w:gridCol w:w="697"/>
              <w:gridCol w:w="841"/>
              <w:gridCol w:w="730"/>
              <w:gridCol w:w="876"/>
              <w:gridCol w:w="876"/>
            </w:tblGrid>
            <w:tr w14:paraId="0450C3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trPr>
              <w:tc>
                <w:tcPr>
                  <w:tcW w:w="730" w:type="pct"/>
                  <w:tcBorders>
                    <w:left w:val="nil"/>
                  </w:tcBorders>
                  <w:shd w:val="clear" w:color="auto" w:fill="auto"/>
                  <w:vAlign w:val="center"/>
                </w:tcPr>
                <w:p w14:paraId="557C5737">
                  <w:pPr>
                    <w:widowControl/>
                    <w:adjustRightInd w:val="0"/>
                    <w:snapToGrid w:val="0"/>
                    <w:jc w:val="center"/>
                    <w:rPr>
                      <w:rFonts w:hint="eastAsia" w:ascii="宋体" w:hAnsi="宋体" w:eastAsia="宋体" w:cs="宋体"/>
                      <w:kern w:val="0"/>
                      <w:sz w:val="18"/>
                      <w:szCs w:val="18"/>
                      <w:u w:val="none"/>
                      <w:lang w:val="en-US" w:eastAsia="zh-CN" w:bidi="ar-SA"/>
                    </w:rPr>
                  </w:pPr>
                  <w:r>
                    <w:rPr>
                      <w:rFonts w:hint="eastAsia" w:ascii="宋体" w:hAnsi="宋体" w:cs="宋体"/>
                      <w:kern w:val="0"/>
                      <w:sz w:val="18"/>
                      <w:szCs w:val="18"/>
                      <w:u w:val="none"/>
                    </w:rPr>
                    <w:t>距声源水平距离</w:t>
                  </w:r>
                  <w:r>
                    <w:rPr>
                      <w:kern w:val="0"/>
                      <w:sz w:val="18"/>
                      <w:szCs w:val="18"/>
                      <w:u w:val="none"/>
                    </w:rPr>
                    <w:t>r1</w:t>
                  </w:r>
                  <w:r>
                    <w:rPr>
                      <w:rFonts w:hint="eastAsia" w:ascii="宋体" w:hAnsi="宋体" w:cs="宋体"/>
                      <w:kern w:val="0"/>
                      <w:sz w:val="18"/>
                      <w:szCs w:val="18"/>
                      <w:u w:val="none"/>
                    </w:rPr>
                    <w:t>（</w:t>
                  </w:r>
                  <w:r>
                    <w:rPr>
                      <w:kern w:val="0"/>
                      <w:sz w:val="18"/>
                      <w:szCs w:val="18"/>
                      <w:u w:val="none"/>
                    </w:rPr>
                    <w:t>m</w:t>
                  </w:r>
                  <w:r>
                    <w:rPr>
                      <w:rFonts w:hint="eastAsia" w:ascii="宋体" w:hAnsi="宋体" w:cs="宋体"/>
                      <w:kern w:val="0"/>
                      <w:sz w:val="18"/>
                      <w:szCs w:val="18"/>
                      <w:u w:val="none"/>
                    </w:rPr>
                    <w:t>）</w:t>
                  </w:r>
                </w:p>
              </w:tc>
              <w:tc>
                <w:tcPr>
                  <w:tcW w:w="505" w:type="pct"/>
                  <w:shd w:val="clear" w:color="auto" w:fill="auto"/>
                  <w:vAlign w:val="center"/>
                </w:tcPr>
                <w:p w14:paraId="371059B5">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50</w:t>
                  </w:r>
                </w:p>
              </w:tc>
              <w:tc>
                <w:tcPr>
                  <w:tcW w:w="419" w:type="pct"/>
                  <w:shd w:val="clear" w:color="auto" w:fill="auto"/>
                  <w:vAlign w:val="center"/>
                </w:tcPr>
                <w:p w14:paraId="1C3C718C">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100</w:t>
                  </w:r>
                </w:p>
              </w:tc>
              <w:tc>
                <w:tcPr>
                  <w:tcW w:w="505" w:type="pct"/>
                  <w:shd w:val="clear" w:color="auto" w:fill="auto"/>
                  <w:vAlign w:val="center"/>
                </w:tcPr>
                <w:p w14:paraId="4C1DB393">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150</w:t>
                  </w:r>
                </w:p>
              </w:tc>
              <w:tc>
                <w:tcPr>
                  <w:tcW w:w="419" w:type="pct"/>
                  <w:shd w:val="clear" w:color="auto" w:fill="auto"/>
                  <w:vAlign w:val="center"/>
                </w:tcPr>
                <w:p w14:paraId="6482BC86">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200</w:t>
                  </w:r>
                </w:p>
              </w:tc>
              <w:tc>
                <w:tcPr>
                  <w:tcW w:w="419" w:type="pct"/>
                  <w:shd w:val="clear" w:color="auto" w:fill="auto"/>
                  <w:vAlign w:val="center"/>
                </w:tcPr>
                <w:p w14:paraId="7E926CB1">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250</w:t>
                  </w:r>
                </w:p>
              </w:tc>
              <w:tc>
                <w:tcPr>
                  <w:tcW w:w="506" w:type="pct"/>
                  <w:shd w:val="clear" w:color="auto" w:fill="auto"/>
                  <w:vAlign w:val="center"/>
                </w:tcPr>
                <w:p w14:paraId="4456312D">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300</w:t>
                  </w:r>
                </w:p>
              </w:tc>
              <w:tc>
                <w:tcPr>
                  <w:tcW w:w="439" w:type="pct"/>
                  <w:shd w:val="clear" w:color="auto" w:fill="auto"/>
                  <w:vAlign w:val="center"/>
                </w:tcPr>
                <w:p w14:paraId="1B8A1D9F">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350</w:t>
                  </w:r>
                </w:p>
              </w:tc>
              <w:tc>
                <w:tcPr>
                  <w:tcW w:w="527" w:type="pct"/>
                  <w:shd w:val="clear" w:color="auto" w:fill="auto"/>
                  <w:vAlign w:val="center"/>
                </w:tcPr>
                <w:p w14:paraId="10BD88EE">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400</w:t>
                  </w:r>
                </w:p>
              </w:tc>
              <w:tc>
                <w:tcPr>
                  <w:tcW w:w="527" w:type="pct"/>
                  <w:tcBorders>
                    <w:right w:val="nil"/>
                  </w:tcBorders>
                  <w:shd w:val="clear" w:color="auto" w:fill="auto"/>
                  <w:vAlign w:val="center"/>
                </w:tcPr>
                <w:p w14:paraId="6725D34C">
                  <w:pPr>
                    <w:widowControl/>
                    <w:adjustRightInd w:val="0"/>
                    <w:snapToGrid w:val="0"/>
                    <w:jc w:val="center"/>
                    <w:rPr>
                      <w:rFonts w:ascii="Times New Roman" w:hAnsi="Times New Roman" w:eastAsia="等线" w:cs="Times New Roman"/>
                      <w:kern w:val="0"/>
                      <w:sz w:val="18"/>
                      <w:szCs w:val="18"/>
                      <w:u w:val="none"/>
                      <w:lang w:val="en-US" w:eastAsia="zh-CN" w:bidi="ar-SA"/>
                    </w:rPr>
                  </w:pPr>
                  <w:r>
                    <w:rPr>
                      <w:rFonts w:eastAsia="等线"/>
                      <w:color w:val="000000"/>
                      <w:sz w:val="18"/>
                      <w:szCs w:val="18"/>
                      <w:u w:val="none"/>
                    </w:rPr>
                    <w:t>500</w:t>
                  </w:r>
                </w:p>
              </w:tc>
            </w:tr>
            <w:tr w14:paraId="3D5A19E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trPr>
              <w:tc>
                <w:tcPr>
                  <w:tcW w:w="730" w:type="pct"/>
                  <w:tcBorders>
                    <w:left w:val="nil"/>
                  </w:tcBorders>
                  <w:shd w:val="clear" w:color="auto" w:fill="auto"/>
                  <w:vAlign w:val="center"/>
                </w:tcPr>
                <w:p w14:paraId="3C4FD449">
                  <w:pPr>
                    <w:widowControl/>
                    <w:adjustRightInd w:val="0"/>
                    <w:snapToGrid w:val="0"/>
                    <w:jc w:val="center"/>
                    <w:rPr>
                      <w:rFonts w:ascii="宋体" w:hAnsi="宋体" w:cs="宋体"/>
                      <w:kern w:val="0"/>
                      <w:sz w:val="18"/>
                      <w:szCs w:val="18"/>
                      <w:u w:val="none"/>
                    </w:rPr>
                  </w:pPr>
                  <w:r>
                    <w:rPr>
                      <w:rFonts w:hint="eastAsia" w:ascii="宋体" w:hAnsi="宋体" w:cs="宋体"/>
                      <w:kern w:val="0"/>
                      <w:sz w:val="18"/>
                      <w:szCs w:val="18"/>
                      <w:u w:val="none"/>
                    </w:rPr>
                    <w:t>对应距声源几何距离</w:t>
                  </w:r>
                  <w:r>
                    <w:rPr>
                      <w:kern w:val="0"/>
                      <w:sz w:val="18"/>
                      <w:szCs w:val="18"/>
                      <w:u w:val="none"/>
                    </w:rPr>
                    <w:t>r2</w:t>
                  </w:r>
                  <w:r>
                    <w:rPr>
                      <w:rFonts w:hint="eastAsia" w:ascii="宋体" w:hAnsi="宋体" w:cs="宋体"/>
                      <w:kern w:val="0"/>
                      <w:sz w:val="18"/>
                      <w:szCs w:val="18"/>
                      <w:u w:val="none"/>
                    </w:rPr>
                    <w:t>（</w:t>
                  </w:r>
                  <w:r>
                    <w:rPr>
                      <w:kern w:val="0"/>
                      <w:sz w:val="18"/>
                      <w:szCs w:val="18"/>
                      <w:u w:val="none"/>
                    </w:rPr>
                    <w:t>m</w:t>
                  </w:r>
                  <w:r>
                    <w:rPr>
                      <w:rFonts w:hint="eastAsia" w:ascii="宋体" w:hAnsi="宋体" w:cs="宋体"/>
                      <w:kern w:val="0"/>
                      <w:sz w:val="18"/>
                      <w:szCs w:val="18"/>
                      <w:u w:val="none"/>
                    </w:rPr>
                    <w:t>）</w:t>
                  </w:r>
                </w:p>
              </w:tc>
              <w:tc>
                <w:tcPr>
                  <w:tcW w:w="505" w:type="pct"/>
                  <w:shd w:val="clear" w:color="auto" w:fill="auto"/>
                  <w:vAlign w:val="center"/>
                </w:tcPr>
                <w:p w14:paraId="0F0DD1CE">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125.4</w:t>
                  </w:r>
                </w:p>
              </w:tc>
              <w:tc>
                <w:tcPr>
                  <w:tcW w:w="419" w:type="pct"/>
                  <w:shd w:val="clear" w:color="auto" w:fill="auto"/>
                  <w:vAlign w:val="center"/>
                </w:tcPr>
                <w:p w14:paraId="27F0F395">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152.4</w:t>
                  </w:r>
                </w:p>
              </w:tc>
              <w:tc>
                <w:tcPr>
                  <w:tcW w:w="505" w:type="pct"/>
                  <w:shd w:val="clear" w:color="auto" w:fill="auto"/>
                  <w:vAlign w:val="center"/>
                </w:tcPr>
                <w:p w14:paraId="533372D3">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189.0</w:t>
                  </w:r>
                </w:p>
              </w:tc>
              <w:tc>
                <w:tcPr>
                  <w:tcW w:w="419" w:type="pct"/>
                  <w:shd w:val="clear" w:color="auto" w:fill="auto"/>
                  <w:vAlign w:val="center"/>
                </w:tcPr>
                <w:p w14:paraId="1500705D">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230.7</w:t>
                  </w:r>
                </w:p>
              </w:tc>
              <w:tc>
                <w:tcPr>
                  <w:tcW w:w="419" w:type="pct"/>
                  <w:shd w:val="clear" w:color="auto" w:fill="auto"/>
                  <w:vAlign w:val="center"/>
                </w:tcPr>
                <w:p w14:paraId="198C54B7">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275.2</w:t>
                  </w:r>
                </w:p>
              </w:tc>
              <w:tc>
                <w:tcPr>
                  <w:tcW w:w="506" w:type="pct"/>
                  <w:shd w:val="clear" w:color="auto" w:fill="auto"/>
                  <w:vAlign w:val="center"/>
                </w:tcPr>
                <w:p w14:paraId="1F4E4C11">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321.3</w:t>
                  </w:r>
                </w:p>
              </w:tc>
              <w:tc>
                <w:tcPr>
                  <w:tcW w:w="439" w:type="pct"/>
                  <w:shd w:val="clear" w:color="auto" w:fill="auto"/>
                  <w:vAlign w:val="center"/>
                </w:tcPr>
                <w:p w14:paraId="782D7244">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368.4</w:t>
                  </w:r>
                </w:p>
              </w:tc>
              <w:tc>
                <w:tcPr>
                  <w:tcW w:w="527" w:type="pct"/>
                  <w:shd w:val="clear" w:color="auto" w:fill="auto"/>
                  <w:vAlign w:val="center"/>
                </w:tcPr>
                <w:p w14:paraId="4CDFE6B2">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416.2</w:t>
                  </w:r>
                </w:p>
              </w:tc>
              <w:tc>
                <w:tcPr>
                  <w:tcW w:w="527" w:type="pct"/>
                  <w:tcBorders>
                    <w:right w:val="nil"/>
                  </w:tcBorders>
                  <w:shd w:val="clear" w:color="auto" w:fill="auto"/>
                  <w:vAlign w:val="center"/>
                </w:tcPr>
                <w:p w14:paraId="58333854">
                  <w:pPr>
                    <w:widowControl/>
                    <w:adjustRightInd w:val="0"/>
                    <w:snapToGrid w:val="0"/>
                    <w:jc w:val="center"/>
                    <w:rPr>
                      <w:rFonts w:hint="default" w:eastAsia="等线"/>
                      <w:kern w:val="0"/>
                      <w:sz w:val="18"/>
                      <w:szCs w:val="18"/>
                      <w:u w:val="none"/>
                      <w:lang w:val="en-US" w:eastAsia="zh-CN"/>
                    </w:rPr>
                  </w:pPr>
                  <w:r>
                    <w:rPr>
                      <w:rFonts w:hint="eastAsia" w:eastAsia="等线"/>
                      <w:color w:val="000000"/>
                      <w:sz w:val="18"/>
                      <w:szCs w:val="18"/>
                      <w:u w:val="none"/>
                      <w:lang w:val="en-US" w:eastAsia="zh-CN"/>
                    </w:rPr>
                    <w:t>513.1</w:t>
                  </w:r>
                </w:p>
              </w:tc>
            </w:tr>
            <w:tr w14:paraId="259377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trPr>
              <w:tc>
                <w:tcPr>
                  <w:tcW w:w="730" w:type="pct"/>
                  <w:tcBorders>
                    <w:left w:val="nil"/>
                  </w:tcBorders>
                  <w:shd w:val="clear" w:color="auto" w:fill="auto"/>
                  <w:vAlign w:val="center"/>
                </w:tcPr>
                <w:p w14:paraId="186FAA9F">
                  <w:pPr>
                    <w:widowControl/>
                    <w:adjustRightInd w:val="0"/>
                    <w:snapToGrid w:val="0"/>
                    <w:jc w:val="center"/>
                    <w:rPr>
                      <w:rFonts w:eastAsia="等线"/>
                      <w:kern w:val="0"/>
                      <w:sz w:val="18"/>
                      <w:szCs w:val="18"/>
                      <w:u w:val="none"/>
                    </w:rPr>
                  </w:pPr>
                  <w:r>
                    <w:rPr>
                      <w:rFonts w:eastAsia="等线"/>
                      <w:kern w:val="0"/>
                      <w:sz w:val="18"/>
                      <w:szCs w:val="18"/>
                      <w:u w:val="none"/>
                    </w:rPr>
                    <w:t>L(r)</w:t>
                  </w:r>
                </w:p>
              </w:tc>
              <w:tc>
                <w:tcPr>
                  <w:tcW w:w="505" w:type="pct"/>
                  <w:shd w:val="clear" w:color="auto" w:fill="auto"/>
                  <w:vAlign w:val="center"/>
                </w:tcPr>
                <w:p w14:paraId="3D989CBE">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59.03</w:t>
                  </w:r>
                </w:p>
              </w:tc>
              <w:tc>
                <w:tcPr>
                  <w:tcW w:w="419" w:type="pct"/>
                  <w:shd w:val="clear" w:color="auto" w:fill="auto"/>
                  <w:vAlign w:val="center"/>
                </w:tcPr>
                <w:p w14:paraId="36220FD3">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57.34</w:t>
                  </w:r>
                </w:p>
              </w:tc>
              <w:tc>
                <w:tcPr>
                  <w:tcW w:w="505" w:type="pct"/>
                  <w:shd w:val="clear" w:color="auto" w:fill="auto"/>
                  <w:vAlign w:val="center"/>
                </w:tcPr>
                <w:p w14:paraId="7EE9FFF8">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55.47</w:t>
                  </w:r>
                </w:p>
              </w:tc>
              <w:tc>
                <w:tcPr>
                  <w:tcW w:w="419" w:type="pct"/>
                  <w:shd w:val="clear" w:color="auto" w:fill="auto"/>
                  <w:vAlign w:val="center"/>
                </w:tcPr>
                <w:p w14:paraId="4DE2DF92">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53.74</w:t>
                  </w:r>
                </w:p>
              </w:tc>
              <w:tc>
                <w:tcPr>
                  <w:tcW w:w="419" w:type="pct"/>
                  <w:shd w:val="clear" w:color="auto" w:fill="auto"/>
                  <w:vAlign w:val="center"/>
                </w:tcPr>
                <w:p w14:paraId="64B1F5AD">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52.21</w:t>
                  </w:r>
                </w:p>
              </w:tc>
              <w:tc>
                <w:tcPr>
                  <w:tcW w:w="506" w:type="pct"/>
                  <w:shd w:val="clear" w:color="auto" w:fill="auto"/>
                  <w:vAlign w:val="center"/>
                </w:tcPr>
                <w:p w14:paraId="107CF3CC">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50.86</w:t>
                  </w:r>
                </w:p>
              </w:tc>
              <w:tc>
                <w:tcPr>
                  <w:tcW w:w="439" w:type="pct"/>
                  <w:shd w:val="clear" w:color="auto" w:fill="auto"/>
                  <w:vAlign w:val="center"/>
                </w:tcPr>
                <w:p w14:paraId="6DA10BC7">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49.67</w:t>
                  </w:r>
                </w:p>
              </w:tc>
              <w:tc>
                <w:tcPr>
                  <w:tcW w:w="527" w:type="pct"/>
                  <w:shd w:val="clear" w:color="auto" w:fill="auto"/>
                  <w:vAlign w:val="center"/>
                </w:tcPr>
                <w:p w14:paraId="4A615574">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48.61</w:t>
                  </w:r>
                </w:p>
              </w:tc>
              <w:tc>
                <w:tcPr>
                  <w:tcW w:w="527" w:type="pct"/>
                  <w:tcBorders>
                    <w:right w:val="nil"/>
                  </w:tcBorders>
                  <w:shd w:val="clear" w:color="auto" w:fill="auto"/>
                  <w:vAlign w:val="center"/>
                </w:tcPr>
                <w:p w14:paraId="17FAC18C">
                  <w:pPr>
                    <w:widowControl/>
                    <w:adjustRightInd w:val="0"/>
                    <w:snapToGrid w:val="0"/>
                    <w:jc w:val="center"/>
                    <w:rPr>
                      <w:rFonts w:hint="default" w:eastAsia="等线"/>
                      <w:kern w:val="0"/>
                      <w:sz w:val="18"/>
                      <w:szCs w:val="18"/>
                      <w:u w:val="none"/>
                      <w:lang w:val="en-US" w:eastAsia="zh-CN"/>
                    </w:rPr>
                  </w:pPr>
                  <w:r>
                    <w:rPr>
                      <w:rFonts w:hint="eastAsia" w:eastAsia="等线"/>
                      <w:kern w:val="0"/>
                      <w:sz w:val="18"/>
                      <w:szCs w:val="18"/>
                      <w:u w:val="none"/>
                      <w:lang w:val="en-US" w:eastAsia="zh-CN"/>
                    </w:rPr>
                    <w:t>46.80</w:t>
                  </w:r>
                </w:p>
              </w:tc>
            </w:tr>
          </w:tbl>
          <w:p w14:paraId="77E5FE8C">
            <w:pPr>
              <w:pStyle w:val="61"/>
              <w:ind w:left="0" w:leftChars="0" w:firstLine="0" w:firstLineChars="0"/>
              <w:rPr>
                <w:rFonts w:hint="default" w:eastAsia="宋体" w:cs="Times New Roman"/>
                <w:b w:val="0"/>
                <w:bCs/>
                <w:color w:val="auto"/>
                <w:sz w:val="21"/>
                <w:szCs w:val="21"/>
                <w:lang w:val="en-US" w:eastAsia="zh-CN"/>
              </w:rPr>
            </w:pPr>
            <w:r>
              <w:rPr>
                <w:rFonts w:cs="Times New Roman"/>
                <w:b w:val="0"/>
                <w:bCs/>
                <w:color w:val="auto"/>
                <w:sz w:val="21"/>
                <w:szCs w:val="21"/>
              </w:rPr>
              <w:t>注：</w:t>
            </w:r>
            <w:r>
              <w:rPr>
                <w:rFonts w:hint="eastAsia" w:cs="Times New Roman"/>
                <w:b w:val="0"/>
                <w:bCs/>
                <w:color w:val="auto"/>
                <w:sz w:val="21"/>
                <w:szCs w:val="21"/>
                <w:lang w:val="en-US" w:eastAsia="zh-CN"/>
              </w:rPr>
              <w:t>风机吊装高度为115米，因此</w:t>
            </w:r>
            <w:r>
              <w:rPr>
                <w:rFonts w:cs="Times New Roman"/>
                <w:b w:val="0"/>
                <w:bCs/>
                <w:color w:val="auto"/>
                <w:sz w:val="21"/>
                <w:szCs w:val="21"/>
              </w:rPr>
              <w:t>r2=</w:t>
            </w:r>
            <w:r>
              <w:rPr>
                <w:rFonts w:hint="eastAsia" w:cs="Times New Roman"/>
                <w:b w:val="0"/>
                <w:bCs/>
                <w:color w:val="auto"/>
                <w:sz w:val="21"/>
                <w:szCs w:val="21"/>
                <w:lang w:val="en-US" w:eastAsia="zh-CN"/>
              </w:rPr>
              <w:t>[</w:t>
            </w:r>
            <w:r>
              <w:rPr>
                <w:rFonts w:cs="Times New Roman"/>
                <w:b w:val="0"/>
                <w:bCs/>
                <w:color w:val="auto"/>
                <w:sz w:val="21"/>
                <w:szCs w:val="21"/>
              </w:rPr>
              <w:t>（r1）</w:t>
            </w:r>
            <w:r>
              <w:rPr>
                <w:rFonts w:cs="Times New Roman"/>
                <w:b w:val="0"/>
                <w:bCs/>
                <w:color w:val="auto"/>
                <w:sz w:val="21"/>
                <w:szCs w:val="21"/>
                <w:vertAlign w:val="superscript"/>
              </w:rPr>
              <w:t>2</w:t>
            </w:r>
            <w:r>
              <w:rPr>
                <w:rFonts w:cs="Times New Roman"/>
                <w:b w:val="0"/>
                <w:bCs/>
                <w:color w:val="auto"/>
                <w:sz w:val="21"/>
                <w:szCs w:val="21"/>
              </w:rPr>
              <w:t>+</w:t>
            </w:r>
            <w:r>
              <w:rPr>
                <w:rFonts w:hint="eastAsia" w:cs="Times New Roman"/>
                <w:b w:val="0"/>
                <w:bCs/>
                <w:color w:val="auto"/>
                <w:sz w:val="21"/>
                <w:szCs w:val="21"/>
              </w:rPr>
              <w:t>1</w:t>
            </w:r>
            <w:r>
              <w:rPr>
                <w:rFonts w:cs="Times New Roman"/>
                <w:b w:val="0"/>
                <w:bCs/>
                <w:color w:val="auto"/>
                <w:sz w:val="21"/>
                <w:szCs w:val="21"/>
              </w:rPr>
              <w:t>1</w:t>
            </w:r>
            <w:r>
              <w:rPr>
                <w:rFonts w:hint="eastAsia" w:cs="Times New Roman"/>
                <w:b w:val="0"/>
                <w:bCs/>
                <w:color w:val="auto"/>
                <w:sz w:val="21"/>
                <w:szCs w:val="21"/>
                <w:lang w:val="en-US" w:eastAsia="zh-CN"/>
              </w:rPr>
              <w:t>5</w:t>
            </w:r>
            <w:r>
              <w:rPr>
                <w:rFonts w:cs="Times New Roman"/>
                <w:b w:val="0"/>
                <w:bCs/>
                <w:color w:val="auto"/>
                <w:sz w:val="21"/>
                <w:szCs w:val="21"/>
                <w:vertAlign w:val="superscript"/>
              </w:rPr>
              <w:t>2</w:t>
            </w:r>
            <w:r>
              <w:rPr>
                <w:rFonts w:hint="eastAsia" w:cs="Times New Roman"/>
                <w:b w:val="0"/>
                <w:bCs/>
                <w:color w:val="auto"/>
                <w:sz w:val="21"/>
                <w:szCs w:val="21"/>
                <w:lang w:val="en-US" w:eastAsia="zh-CN"/>
              </w:rPr>
              <w:t>]</w:t>
            </w:r>
            <w:r>
              <w:rPr>
                <w:rFonts w:cs="Times New Roman"/>
                <w:b w:val="0"/>
                <w:bCs/>
                <w:color w:val="auto"/>
                <w:sz w:val="21"/>
                <w:szCs w:val="21"/>
                <w:vertAlign w:val="superscript"/>
              </w:rPr>
              <w:t>1/2</w:t>
            </w:r>
          </w:p>
          <w:p w14:paraId="1F788F63">
            <w:pPr>
              <w:pStyle w:val="62"/>
              <w:ind w:firstLine="480"/>
              <w:rPr>
                <w:rFonts w:hint="eastAsia" w:hAnsi="宋体" w:cs="Times New Roman"/>
                <w:color w:val="FF0000"/>
                <w:u w:val="none"/>
              </w:rPr>
            </w:pPr>
            <w:r>
              <w:rPr>
                <w:rFonts w:hint="eastAsia" w:hAnsi="宋体" w:cs="Times New Roman"/>
                <w:color w:val="FF0000"/>
                <w:u w:val="none"/>
              </w:rPr>
              <w:t>由上表可知，不考虑敏感点与风电机组基础处高程差的情况下，昼间风机水平距离50m外、夜间水平距离3</w:t>
            </w:r>
            <w:r>
              <w:rPr>
                <w:rFonts w:hAnsi="宋体" w:cs="Times New Roman"/>
                <w:color w:val="FF0000"/>
                <w:u w:val="none"/>
              </w:rPr>
              <w:t>50</w:t>
            </w:r>
            <w:r>
              <w:rPr>
                <w:rFonts w:hint="eastAsia" w:hAnsi="宋体" w:cs="Times New Roman"/>
                <w:color w:val="FF0000"/>
                <w:u w:val="none"/>
              </w:rPr>
              <w:t>m外的噪声贡献值满足《声环境质量标准》（GB3096-2008）中2类标准，即昼间60dB(A)、夜间50dB(A)。</w:t>
            </w:r>
          </w:p>
          <w:p w14:paraId="6BBABBA4">
            <w:pPr>
              <w:adjustRightInd w:val="0"/>
              <w:snapToGrid w:val="0"/>
              <w:spacing w:line="360" w:lineRule="auto"/>
              <w:ind w:firstLine="480" w:firstLineChars="200"/>
              <w:rPr>
                <w:rFonts w:eastAsia="宋体"/>
                <w:b w:val="0"/>
                <w:bCs w:val="0"/>
                <w:color w:val="FF0000"/>
                <w:sz w:val="24"/>
                <w:highlight w:val="none"/>
                <w:u w:val="none"/>
              </w:rPr>
            </w:pPr>
            <w:r>
              <w:rPr>
                <w:rFonts w:eastAsia="宋体"/>
                <w:color w:val="FF0000"/>
                <w:sz w:val="24"/>
                <w:highlight w:val="none"/>
                <w:u w:val="none"/>
              </w:rPr>
              <w:t>根据上述</w:t>
            </w:r>
            <w:r>
              <w:rPr>
                <w:rFonts w:hint="eastAsia" w:eastAsia="宋体"/>
                <w:color w:val="FF0000"/>
                <w:sz w:val="24"/>
                <w:highlight w:val="none"/>
                <w:u w:val="none"/>
              </w:rPr>
              <w:t>噪声</w:t>
            </w:r>
            <w:r>
              <w:rPr>
                <w:rFonts w:eastAsia="宋体"/>
                <w:color w:val="FF0000"/>
                <w:sz w:val="24"/>
                <w:highlight w:val="none"/>
                <w:u w:val="none"/>
              </w:rPr>
              <w:t>预测结果</w:t>
            </w:r>
            <w:r>
              <w:rPr>
                <w:rFonts w:hint="eastAsia" w:eastAsia="宋体"/>
                <w:color w:val="FF0000"/>
                <w:sz w:val="24"/>
                <w:highlight w:val="none"/>
                <w:u w:val="none"/>
              </w:rPr>
              <w:t>可知，本项目正常运营状态下，</w:t>
            </w:r>
            <w:r>
              <w:rPr>
                <w:rFonts w:hint="eastAsia"/>
                <w:color w:val="FF0000"/>
                <w:sz w:val="24"/>
                <w:highlight w:val="none"/>
                <w:u w:val="none"/>
                <w:lang w:val="en-US" w:eastAsia="zh-CN"/>
              </w:rPr>
              <w:t>在</w:t>
            </w:r>
            <w:r>
              <w:rPr>
                <w:rFonts w:hint="eastAsia" w:eastAsia="宋体"/>
                <w:color w:val="FF0000"/>
                <w:sz w:val="24"/>
                <w:highlight w:val="none"/>
                <w:u w:val="none"/>
              </w:rPr>
              <w:t>不考虑地形高差和植被降噪效果的情况下，</w:t>
            </w:r>
            <w:r>
              <w:rPr>
                <w:rFonts w:hint="eastAsia"/>
                <w:color w:val="FF0000"/>
                <w:sz w:val="24"/>
                <w:highlight w:val="none"/>
                <w:u w:val="none"/>
                <w:lang w:eastAsia="zh-CN"/>
              </w:rPr>
              <w:t>风机基座中心</w:t>
            </w:r>
            <w:r>
              <w:rPr>
                <w:rFonts w:hint="eastAsia"/>
                <w:color w:val="FF0000"/>
                <w:sz w:val="24"/>
                <w:highlight w:val="none"/>
                <w:u w:val="none"/>
                <w:lang w:val="en-US" w:eastAsia="zh-CN"/>
              </w:rPr>
              <w:t>35</w:t>
            </w:r>
            <w:r>
              <w:rPr>
                <w:rFonts w:hint="eastAsia" w:eastAsia="宋体"/>
                <w:color w:val="FF0000"/>
                <w:sz w:val="24"/>
                <w:highlight w:val="none"/>
                <w:u w:val="none"/>
                <w:lang w:val="en-US" w:eastAsia="zh-CN"/>
              </w:rPr>
              <w:t>0</w:t>
            </w:r>
            <w:r>
              <w:rPr>
                <w:rFonts w:hint="eastAsia" w:eastAsia="宋体"/>
                <w:color w:val="FF0000"/>
                <w:sz w:val="24"/>
                <w:highlight w:val="none"/>
                <w:u w:val="none"/>
              </w:rPr>
              <w:t>m外噪声已衰减至5</w:t>
            </w:r>
            <w:r>
              <w:rPr>
                <w:rFonts w:eastAsia="宋体"/>
                <w:color w:val="FF0000"/>
                <w:sz w:val="24"/>
                <w:highlight w:val="none"/>
                <w:u w:val="none"/>
              </w:rPr>
              <w:t>0</w:t>
            </w:r>
            <w:r>
              <w:rPr>
                <w:rFonts w:hint="eastAsia" w:eastAsia="宋体"/>
                <w:color w:val="FF0000"/>
                <w:sz w:val="24"/>
                <w:highlight w:val="none"/>
                <w:u w:val="none"/>
              </w:rPr>
              <w:t>d</w:t>
            </w:r>
            <w:r>
              <w:rPr>
                <w:rFonts w:eastAsia="宋体"/>
                <w:color w:val="FF0000"/>
                <w:sz w:val="24"/>
                <w:highlight w:val="none"/>
                <w:u w:val="none"/>
              </w:rPr>
              <w:t>B</w:t>
            </w:r>
            <w:r>
              <w:rPr>
                <w:rFonts w:hint="eastAsia"/>
                <w:color w:val="FF0000"/>
                <w:sz w:val="24"/>
                <w:highlight w:val="none"/>
                <w:u w:val="none"/>
                <w:lang w:val="en-US" w:eastAsia="zh-CN"/>
              </w:rPr>
              <w:t>(A)</w:t>
            </w:r>
            <w:r>
              <w:rPr>
                <w:rFonts w:hint="eastAsia" w:eastAsia="宋体"/>
                <w:color w:val="FF0000"/>
                <w:sz w:val="24"/>
                <w:highlight w:val="none"/>
                <w:u w:val="none"/>
              </w:rPr>
              <w:t>以下，满足《声环境质量标准》（G</w:t>
            </w:r>
            <w:r>
              <w:rPr>
                <w:rFonts w:eastAsia="宋体"/>
                <w:color w:val="FF0000"/>
                <w:sz w:val="24"/>
                <w:highlight w:val="none"/>
                <w:u w:val="none"/>
              </w:rPr>
              <w:t>B3096-2008</w:t>
            </w:r>
            <w:r>
              <w:rPr>
                <w:rFonts w:hint="eastAsia" w:eastAsia="宋体"/>
                <w:color w:val="FF0000"/>
                <w:sz w:val="24"/>
                <w:highlight w:val="none"/>
                <w:u w:val="none"/>
              </w:rPr>
              <w:t>）中的2类标准。</w:t>
            </w:r>
            <w:r>
              <w:rPr>
                <w:rFonts w:hint="eastAsia"/>
                <w:color w:val="FF0000"/>
                <w:sz w:val="24"/>
                <w:highlight w:val="none"/>
                <w:u w:val="none"/>
                <w:lang w:eastAsia="zh-CN"/>
              </w:rPr>
              <w:t>根据</w:t>
            </w:r>
            <w:r>
              <w:rPr>
                <w:rFonts w:hint="eastAsia" w:eastAsia="宋体"/>
                <w:color w:val="FF0000"/>
                <w:sz w:val="24"/>
                <w:highlight w:val="none"/>
                <w:u w:val="none"/>
              </w:rPr>
              <w:t>本项目噪声预测结果</w:t>
            </w:r>
            <w:r>
              <w:rPr>
                <w:rFonts w:eastAsia="宋体"/>
                <w:color w:val="FF0000"/>
                <w:sz w:val="24"/>
                <w:highlight w:val="none"/>
                <w:u w:val="none"/>
              </w:rPr>
              <w:t>，</w:t>
            </w:r>
            <w:r>
              <w:rPr>
                <w:rFonts w:hint="eastAsia"/>
                <w:b w:val="0"/>
                <w:bCs w:val="0"/>
                <w:color w:val="FF0000"/>
                <w:sz w:val="24"/>
                <w:highlight w:val="none"/>
                <w:u w:val="none"/>
                <w:lang w:val="en-US" w:eastAsia="zh-CN"/>
              </w:rPr>
              <w:t>本次</w:t>
            </w:r>
            <w:r>
              <w:rPr>
                <w:b w:val="0"/>
                <w:bCs w:val="0"/>
                <w:color w:val="FF0000"/>
                <w:sz w:val="24"/>
                <w:highlight w:val="none"/>
                <w:u w:val="none"/>
              </w:rPr>
              <w:t>环评建议以</w:t>
            </w:r>
            <w:r>
              <w:rPr>
                <w:rFonts w:hint="eastAsia"/>
                <w:b w:val="0"/>
                <w:bCs w:val="0"/>
                <w:color w:val="FF0000"/>
                <w:sz w:val="24"/>
                <w:highlight w:val="none"/>
                <w:u w:val="none"/>
                <w:lang w:eastAsia="zh-CN"/>
              </w:rPr>
              <w:t>风机平台边界外延</w:t>
            </w:r>
            <w:r>
              <w:rPr>
                <w:rFonts w:hint="eastAsia"/>
                <w:b w:val="0"/>
                <w:bCs w:val="0"/>
                <w:color w:val="FF0000"/>
                <w:sz w:val="24"/>
                <w:highlight w:val="none"/>
                <w:u w:val="none"/>
                <w:lang w:val="en-US" w:eastAsia="zh-CN"/>
              </w:rPr>
              <w:t>350m范围</w:t>
            </w:r>
            <w:r>
              <w:rPr>
                <w:b w:val="0"/>
                <w:bCs w:val="0"/>
                <w:color w:val="FF0000"/>
                <w:sz w:val="24"/>
                <w:highlight w:val="none"/>
                <w:u w:val="none"/>
              </w:rPr>
              <w:t>的区域为噪声影响控制区，在该区域范围内，不得新建居民住宅、学校、医院等噪声敏感建筑物</w:t>
            </w:r>
            <w:r>
              <w:rPr>
                <w:rFonts w:eastAsia="宋体"/>
                <w:b w:val="0"/>
                <w:bCs w:val="0"/>
                <w:color w:val="FF0000"/>
                <w:sz w:val="24"/>
                <w:highlight w:val="none"/>
                <w:u w:val="none"/>
              </w:rPr>
              <w:t>。</w:t>
            </w:r>
          </w:p>
          <w:p w14:paraId="74C5D22B">
            <w:pPr>
              <w:adjustRightInd w:val="0"/>
              <w:snapToGrid w:val="0"/>
              <w:spacing w:line="360" w:lineRule="auto"/>
              <w:ind w:firstLine="480" w:firstLineChars="200"/>
              <w:rPr>
                <w:rFonts w:hint="eastAsia"/>
                <w:color w:val="FF0000"/>
                <w:sz w:val="24"/>
                <w:u w:val="none"/>
                <w:lang w:val="en-US" w:eastAsia="zh-CN"/>
              </w:rPr>
            </w:pPr>
            <w:r>
              <w:rPr>
                <w:rFonts w:hint="eastAsia" w:eastAsiaTheme="minorEastAsia"/>
                <w:color w:val="FF0000"/>
                <w:sz w:val="24"/>
                <w:u w:val="none"/>
                <w:lang w:val="en-US" w:eastAsia="zh-CN"/>
              </w:rPr>
              <w:t>根据现场调查，DZ22风机点位350米范围分布的居民点为乌龟冲的2户居民，</w:t>
            </w:r>
            <w:r>
              <w:rPr>
                <w:rFonts w:hint="eastAsia"/>
                <w:color w:val="FF0000"/>
                <w:sz w:val="24"/>
                <w:u w:val="none"/>
              </w:rPr>
              <w:t>耒阳国电投风力发电有限公司</w:t>
            </w:r>
            <w:r>
              <w:rPr>
                <w:rFonts w:hint="eastAsia"/>
                <w:color w:val="FF0000"/>
                <w:sz w:val="24"/>
                <w:u w:val="none"/>
                <w:lang w:val="en-US" w:eastAsia="zh-CN"/>
              </w:rPr>
              <w:t>已与上述2户居民签订了“关于支持耒阳市导子东湖风电场项目建设的承诺函”（见附件18），明确对风机建设和运营过程中的环境影响均已知悉，自愿接受当前居住环境，不进行噪声扰民投诉。同时</w:t>
            </w:r>
            <w:r>
              <w:rPr>
                <w:rFonts w:hint="eastAsia"/>
                <w:color w:val="FF0000"/>
                <w:sz w:val="24"/>
                <w:u w:val="none"/>
              </w:rPr>
              <w:t>耒阳国电投风力发电有限公司</w:t>
            </w:r>
            <w:r>
              <w:rPr>
                <w:rFonts w:hint="eastAsia"/>
                <w:color w:val="FF0000"/>
                <w:sz w:val="24"/>
                <w:u w:val="none"/>
                <w:lang w:val="en-US" w:eastAsia="zh-CN"/>
              </w:rPr>
              <w:t>也承诺如发生噪声扰民，由企业、小山村村委会、东湖</w:t>
            </w:r>
            <w:r>
              <w:rPr>
                <w:rFonts w:hint="default" w:ascii="Times New Roman" w:hAnsi="Times New Roman" w:cs="Times New Roman"/>
                <w:color w:val="FF0000"/>
                <w:sz w:val="24"/>
                <w:u w:val="none"/>
                <w:lang w:val="en-US" w:eastAsia="zh-CN"/>
              </w:rPr>
              <w:t>圩</w:t>
            </w:r>
            <w:r>
              <w:rPr>
                <w:rFonts w:hint="eastAsia"/>
                <w:color w:val="FF0000"/>
                <w:sz w:val="24"/>
                <w:u w:val="none"/>
                <w:lang w:val="en-US" w:eastAsia="zh-CN"/>
              </w:rPr>
              <w:t>镇政府积极与村民协商解决，不造成上访的情况出现。</w:t>
            </w:r>
          </w:p>
          <w:p w14:paraId="1E261282">
            <w:pPr>
              <w:adjustRightInd w:val="0"/>
              <w:snapToGrid w:val="0"/>
              <w:spacing w:line="360" w:lineRule="auto"/>
              <w:rPr>
                <w:rFonts w:hint="eastAsia"/>
                <w:color w:val="FF0000"/>
                <w:sz w:val="24"/>
                <w:u w:val="none"/>
                <w:lang w:val="en-US" w:eastAsia="zh-CN"/>
              </w:rPr>
            </w:pPr>
            <w:r>
              <w:rPr>
                <w:rFonts w:hint="default"/>
                <w:lang w:val="en-US" w:eastAsia="zh-CN"/>
              </w:rPr>
              <w:drawing>
                <wp:inline distT="0" distB="0" distL="114300" distR="114300">
                  <wp:extent cx="5281295" cy="3962400"/>
                  <wp:effectExtent l="0" t="0" r="14605" b="0"/>
                  <wp:docPr id="3" name="图片 3" descr="32e90cb7ed40c102f14090ef38e2c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2e90cb7ed40c102f14090ef38e2ce7"/>
                          <pic:cNvPicPr>
                            <a:picLocks noChangeAspect="1"/>
                          </pic:cNvPicPr>
                        </pic:nvPicPr>
                        <pic:blipFill>
                          <a:blip r:embed="rId40"/>
                          <a:stretch>
                            <a:fillRect/>
                          </a:stretch>
                        </pic:blipFill>
                        <pic:spPr>
                          <a:xfrm>
                            <a:off x="0" y="0"/>
                            <a:ext cx="5281295" cy="3962400"/>
                          </a:xfrm>
                          <a:prstGeom prst="rect">
                            <a:avLst/>
                          </a:prstGeom>
                        </pic:spPr>
                      </pic:pic>
                    </a:graphicData>
                  </a:graphic>
                </wp:inline>
              </w:drawing>
            </w:r>
          </w:p>
          <w:p w14:paraId="2058213C">
            <w:pPr>
              <w:pStyle w:val="61"/>
              <w:ind w:left="0" w:leftChars="0" w:firstLine="0" w:firstLineChars="0"/>
              <w:jc w:val="center"/>
              <w:rPr>
                <w:rFonts w:hint="default" w:hAnsi="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图4-1  乌龟冲2户居民现状</w:t>
            </w:r>
          </w:p>
          <w:p w14:paraId="2299ADFC">
            <w:pPr>
              <w:pStyle w:val="62"/>
              <w:ind w:firstLine="480"/>
              <w:rPr>
                <w:rFonts w:hAnsi="宋体" w:cs="Times New Roman"/>
                <w:u w:val="none"/>
              </w:rPr>
            </w:pPr>
            <w:r>
              <w:rPr>
                <w:rFonts w:hint="eastAsia" w:hAnsi="宋体" w:cs="Times New Roman"/>
                <w:u w:val="none"/>
                <w:lang w:eastAsia="zh-CN"/>
              </w:rPr>
              <w:t>（</w:t>
            </w:r>
            <w:r>
              <w:rPr>
                <w:rFonts w:hint="eastAsia" w:hAnsi="宋体" w:cs="Times New Roman"/>
                <w:u w:val="none"/>
                <w:lang w:val="en-US" w:eastAsia="zh-CN"/>
              </w:rPr>
              <w:t>5</w:t>
            </w:r>
            <w:r>
              <w:rPr>
                <w:rFonts w:hint="eastAsia" w:hAnsi="宋体" w:cs="Times New Roman"/>
                <w:u w:val="none"/>
                <w:lang w:eastAsia="zh-CN"/>
              </w:rPr>
              <w:t>）</w:t>
            </w:r>
            <w:r>
              <w:rPr>
                <w:rFonts w:hAnsi="宋体" w:cs="Times New Roman"/>
                <w:u w:val="none"/>
              </w:rPr>
              <w:t>敏感点声环境质量预测</w:t>
            </w:r>
          </w:p>
          <w:p w14:paraId="5B704B73">
            <w:pPr>
              <w:pStyle w:val="62"/>
              <w:ind w:firstLine="480"/>
              <w:rPr>
                <w:rFonts w:hAnsi="宋体" w:cs="Times New Roman"/>
                <w:u w:val="none"/>
              </w:rPr>
            </w:pPr>
            <w:r>
              <w:rPr>
                <w:rFonts w:hint="eastAsia" w:hAnsi="宋体" w:cs="Times New Roman"/>
                <w:u w:val="none"/>
              </w:rPr>
              <w:t>本项目对风机周边5</w:t>
            </w:r>
            <w:r>
              <w:rPr>
                <w:rFonts w:hAnsi="宋体" w:cs="Times New Roman"/>
                <w:u w:val="none"/>
              </w:rPr>
              <w:t>00</w:t>
            </w:r>
            <w:r>
              <w:rPr>
                <w:rFonts w:hint="eastAsia" w:hAnsi="宋体" w:cs="Times New Roman"/>
                <w:u w:val="none"/>
              </w:rPr>
              <w:t>m范围内居民点进行噪声预测，</w:t>
            </w:r>
            <w:r>
              <w:rPr>
                <w:rFonts w:hint="eastAsia" w:hAnsi="宋体" w:cs="Times New Roman"/>
                <w:color w:val="auto"/>
                <w:u w:val="none"/>
              </w:rPr>
              <w:t>其中</w:t>
            </w:r>
            <w:r>
              <w:rPr>
                <w:rFonts w:hint="eastAsia" w:hAnsi="宋体" w:cs="Times New Roman"/>
                <w:color w:val="auto"/>
                <w:u w:val="none"/>
                <w:lang w:val="en-US" w:eastAsia="zh-CN"/>
              </w:rPr>
              <w:t>300m范围无居民分布，DZ22风机点位的320米处分布有乌龟冲2户居民，350~500m范围内居民53户</w:t>
            </w:r>
            <w:r>
              <w:rPr>
                <w:rFonts w:hint="eastAsia" w:hAnsi="宋体" w:cs="Times New Roman"/>
                <w:color w:val="auto"/>
                <w:u w:val="none"/>
              </w:rPr>
              <w:t>。各风机</w:t>
            </w:r>
            <w:r>
              <w:rPr>
                <w:rFonts w:hint="eastAsia" w:hAnsi="宋体" w:cs="Times New Roman"/>
                <w:u w:val="none"/>
              </w:rPr>
              <w:t>机位与居民点之间的山体均有植被覆盖，且项目周边居民均位于山脚下。</w:t>
            </w:r>
            <w:r>
              <w:rPr>
                <w:rFonts w:hint="eastAsia" w:hAnsi="宋体"/>
                <w:u w:val="none"/>
              </w:rPr>
              <w:t>根据罗海霞、丁建生通过理论和实践研究了复合式绿化林带的降噪效果，认为种植10m宽的复合式绿化林带能够起到较好的降噪效果。预测种植10m宽类似的复合式绿化林带，在其长成后降噪效果可达6~10dB（A）（罗海霞等，2003）。</w:t>
            </w:r>
          </w:p>
          <w:p w14:paraId="09AAB29B">
            <w:pPr>
              <w:pStyle w:val="62"/>
              <w:ind w:firstLine="480"/>
              <w:rPr>
                <w:rFonts w:hAnsi="宋体" w:cs="Times New Roman"/>
                <w:color w:val="FF0000"/>
                <w:u w:val="none"/>
              </w:rPr>
            </w:pPr>
            <w:r>
              <w:rPr>
                <w:rFonts w:hint="eastAsia" w:hAnsi="宋体" w:cs="Times New Roman"/>
                <w:color w:val="FF0000"/>
                <w:u w:val="none"/>
              </w:rPr>
              <w:t>由于本项目各居民点均分布于山脚，各风机机位与各居民点之间分布有较为茂密的乔木和灌草相间的植被。本项目综合考虑山体阻隔和植被吸收的降噪量，保守取值</w:t>
            </w:r>
            <w:r>
              <w:rPr>
                <w:rFonts w:hint="eastAsia" w:hAnsi="宋体" w:cs="Times New Roman"/>
                <w:color w:val="FF0000"/>
                <w:u w:val="none"/>
                <w:lang w:val="en-US" w:eastAsia="zh-CN"/>
              </w:rPr>
              <w:t>3.0</w:t>
            </w:r>
            <w:r>
              <w:rPr>
                <w:rFonts w:hint="eastAsia" w:hAnsi="宋体" w:cs="Times New Roman"/>
                <w:color w:val="FF0000"/>
                <w:u w:val="none"/>
              </w:rPr>
              <w:t>dB</w:t>
            </w:r>
            <w:r>
              <w:rPr>
                <w:rFonts w:hint="eastAsia" w:hAnsi="宋体" w:cs="Times New Roman"/>
                <w:color w:val="FF0000"/>
                <w:u w:val="none"/>
                <w:lang w:val="en-US" w:eastAsia="zh-CN"/>
              </w:rPr>
              <w:t>(A)</w:t>
            </w:r>
            <w:r>
              <w:rPr>
                <w:rFonts w:hint="eastAsia" w:hAnsi="宋体" w:cs="Times New Roman"/>
                <w:color w:val="FF0000"/>
                <w:u w:val="none"/>
              </w:rPr>
              <w:t>。</w:t>
            </w:r>
          </w:p>
          <w:p w14:paraId="3B48384D">
            <w:pPr>
              <w:pStyle w:val="62"/>
              <w:ind w:firstLine="480"/>
              <w:rPr>
                <w:rFonts w:hAnsi="宋体" w:cs="Times New Roman"/>
              </w:rPr>
            </w:pPr>
            <w:r>
              <w:rPr>
                <w:rFonts w:hint="eastAsia" w:hAnsi="宋体" w:cs="Times New Roman"/>
              </w:rPr>
              <w:t>居民点信息及预测结果如下。</w:t>
            </w:r>
          </w:p>
          <w:p w14:paraId="198C96A1">
            <w:pPr>
              <w:pStyle w:val="62"/>
              <w:spacing w:line="240" w:lineRule="auto"/>
              <w:ind w:firstLine="0" w:firstLineChars="0"/>
              <w:jc w:val="center"/>
              <w:rPr>
                <w:rFonts w:hAnsi="宋体" w:cs="Times New Roman"/>
                <w:b/>
                <w:color w:val="FF0000"/>
                <w:sz w:val="21"/>
                <w:szCs w:val="21"/>
              </w:rPr>
            </w:pPr>
            <w:r>
              <w:rPr>
                <w:rFonts w:hAnsi="宋体" w:cs="Times New Roman"/>
                <w:b/>
                <w:color w:val="FF0000"/>
                <w:sz w:val="21"/>
                <w:szCs w:val="21"/>
              </w:rPr>
              <w:t>表</w:t>
            </w:r>
            <w:r>
              <w:rPr>
                <w:rFonts w:hint="eastAsia" w:hAnsi="宋体" w:cs="Times New Roman"/>
                <w:b/>
                <w:color w:val="FF0000"/>
                <w:sz w:val="21"/>
                <w:szCs w:val="21"/>
                <w:lang w:val="en-US" w:eastAsia="zh-CN"/>
              </w:rPr>
              <w:t xml:space="preserve">4-7  </w:t>
            </w:r>
            <w:r>
              <w:rPr>
                <w:rFonts w:hint="eastAsia" w:hAnsi="宋体" w:cs="Times New Roman"/>
                <w:b/>
                <w:color w:val="FF0000"/>
                <w:sz w:val="21"/>
                <w:szCs w:val="21"/>
              </w:rPr>
              <w:t>本项目运营期噪声敏感点汇总表</w:t>
            </w:r>
          </w:p>
          <w:tbl>
            <w:tblPr>
              <w:tblStyle w:val="32"/>
              <w:tblW w:w="825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13"/>
              <w:gridCol w:w="850"/>
              <w:gridCol w:w="854"/>
              <w:gridCol w:w="893"/>
              <w:gridCol w:w="1213"/>
              <w:gridCol w:w="950"/>
              <w:gridCol w:w="1162"/>
              <w:gridCol w:w="1025"/>
              <w:gridCol w:w="792"/>
            </w:tblGrid>
            <w:tr w14:paraId="7819AF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42276627">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序号</w:t>
                  </w:r>
                </w:p>
              </w:tc>
              <w:tc>
                <w:tcPr>
                  <w:tcW w:w="850" w:type="dxa"/>
                  <w:tcBorders>
                    <w:tl2br w:val="nil"/>
                    <w:tr2bl w:val="nil"/>
                  </w:tcBorders>
                  <w:shd w:val="clear" w:color="auto" w:fill="auto"/>
                  <w:noWrap/>
                  <w:vAlign w:val="center"/>
                </w:tcPr>
                <w:p w14:paraId="5D711F0F">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敏感点名称</w:t>
                  </w:r>
                </w:p>
              </w:tc>
              <w:tc>
                <w:tcPr>
                  <w:tcW w:w="854" w:type="dxa"/>
                  <w:tcBorders>
                    <w:tl2br w:val="nil"/>
                    <w:tr2bl w:val="nil"/>
                  </w:tcBorders>
                  <w:shd w:val="clear" w:color="auto" w:fill="auto"/>
                  <w:noWrap/>
                  <w:vAlign w:val="center"/>
                </w:tcPr>
                <w:p w14:paraId="0C492B27">
                  <w:pPr>
                    <w:widowControl/>
                    <w:jc w:val="center"/>
                    <w:rPr>
                      <w:rFonts w:hint="default" w:ascii="Times New Roman" w:hAnsi="Times New Roman" w:eastAsia="宋体" w:cs="Times New Roman"/>
                      <w:kern w:val="0"/>
                      <w:sz w:val="18"/>
                      <w:szCs w:val="18"/>
                      <w:u w:val="none"/>
                      <w:lang w:eastAsia="zh-CN"/>
                    </w:rPr>
                  </w:pPr>
                  <w:r>
                    <w:rPr>
                      <w:rFonts w:hint="default" w:ascii="Times New Roman" w:hAnsi="Times New Roman" w:cs="Times New Roman"/>
                      <w:kern w:val="0"/>
                      <w:sz w:val="18"/>
                      <w:szCs w:val="18"/>
                      <w:u w:val="none"/>
                    </w:rPr>
                    <w:t>敏感点高程</w:t>
                  </w:r>
                  <w:r>
                    <w:rPr>
                      <w:rFonts w:hint="default" w:ascii="Times New Roman" w:hAnsi="Times New Roman" w:cs="Times New Roman"/>
                      <w:kern w:val="0"/>
                      <w:sz w:val="18"/>
                      <w:szCs w:val="18"/>
                      <w:u w:val="none"/>
                      <w:lang w:eastAsia="zh-CN"/>
                    </w:rPr>
                    <w:t>（</w:t>
                  </w:r>
                  <w:r>
                    <w:rPr>
                      <w:rFonts w:hint="default" w:ascii="Times New Roman" w:hAnsi="Times New Roman" w:cs="Times New Roman"/>
                      <w:kern w:val="0"/>
                      <w:sz w:val="18"/>
                      <w:szCs w:val="18"/>
                      <w:u w:val="none"/>
                      <w:lang w:val="en-US" w:eastAsia="zh-CN"/>
                    </w:rPr>
                    <w:t>m</w:t>
                  </w:r>
                  <w:r>
                    <w:rPr>
                      <w:rFonts w:hint="default" w:ascii="Times New Roman" w:hAnsi="Times New Roman" w:cs="Times New Roman"/>
                      <w:kern w:val="0"/>
                      <w:sz w:val="18"/>
                      <w:szCs w:val="18"/>
                      <w:u w:val="none"/>
                      <w:lang w:eastAsia="zh-CN"/>
                    </w:rPr>
                    <w:t>）</w:t>
                  </w:r>
                </w:p>
              </w:tc>
              <w:tc>
                <w:tcPr>
                  <w:tcW w:w="893" w:type="dxa"/>
                  <w:tcBorders>
                    <w:tl2br w:val="nil"/>
                    <w:tr2bl w:val="nil"/>
                  </w:tcBorders>
                  <w:shd w:val="clear" w:color="auto" w:fill="auto"/>
                  <w:noWrap/>
                  <w:vAlign w:val="center"/>
                </w:tcPr>
                <w:p w14:paraId="4EB5304E">
                  <w:pPr>
                    <w:widowControl/>
                    <w:jc w:val="center"/>
                    <w:rPr>
                      <w:rFonts w:hint="default" w:ascii="Times New Roman" w:hAnsi="Times New Roman" w:eastAsia="宋体" w:cs="Times New Roman"/>
                      <w:kern w:val="0"/>
                      <w:sz w:val="18"/>
                      <w:szCs w:val="18"/>
                      <w:u w:val="none"/>
                      <w:lang w:eastAsia="zh-CN"/>
                    </w:rPr>
                  </w:pPr>
                  <w:r>
                    <w:rPr>
                      <w:rFonts w:hint="eastAsia" w:cs="Times New Roman"/>
                      <w:kern w:val="0"/>
                      <w:sz w:val="18"/>
                      <w:szCs w:val="18"/>
                      <w:u w:val="none"/>
                      <w:lang w:val="en-US" w:eastAsia="zh-CN"/>
                    </w:rPr>
                    <w:t>最近</w:t>
                  </w:r>
                  <w:r>
                    <w:rPr>
                      <w:rFonts w:hint="default" w:ascii="Times New Roman" w:hAnsi="Times New Roman" w:cs="Times New Roman"/>
                      <w:kern w:val="0"/>
                      <w:sz w:val="18"/>
                      <w:szCs w:val="18"/>
                      <w:u w:val="none"/>
                    </w:rPr>
                    <w:t>风机</w:t>
                  </w:r>
                  <w:r>
                    <w:rPr>
                      <w:rFonts w:hint="eastAsia" w:ascii="Times New Roman" w:hAnsi="Times New Roman" w:cs="Times New Roman"/>
                      <w:kern w:val="0"/>
                      <w:sz w:val="18"/>
                      <w:szCs w:val="18"/>
                      <w:u w:val="none"/>
                      <w:lang w:val="en-US" w:eastAsia="zh-CN"/>
                    </w:rPr>
                    <w:t>基座</w:t>
                  </w:r>
                  <w:r>
                    <w:rPr>
                      <w:rFonts w:hint="default" w:ascii="Times New Roman" w:hAnsi="Times New Roman" w:cs="Times New Roman"/>
                      <w:kern w:val="0"/>
                      <w:sz w:val="18"/>
                      <w:szCs w:val="18"/>
                      <w:u w:val="none"/>
                    </w:rPr>
                    <w:t>高程</w:t>
                  </w:r>
                  <w:r>
                    <w:rPr>
                      <w:rFonts w:hint="default" w:ascii="Times New Roman" w:hAnsi="Times New Roman" w:cs="Times New Roman"/>
                      <w:kern w:val="0"/>
                      <w:sz w:val="18"/>
                      <w:szCs w:val="18"/>
                      <w:u w:val="none"/>
                      <w:lang w:eastAsia="zh-CN"/>
                    </w:rPr>
                    <w:t>（</w:t>
                  </w:r>
                  <w:r>
                    <w:rPr>
                      <w:rFonts w:hint="default" w:ascii="Times New Roman" w:hAnsi="Times New Roman" w:cs="Times New Roman"/>
                      <w:kern w:val="0"/>
                      <w:sz w:val="18"/>
                      <w:szCs w:val="18"/>
                      <w:u w:val="none"/>
                      <w:lang w:val="en-US" w:eastAsia="zh-CN"/>
                    </w:rPr>
                    <w:t>m</w:t>
                  </w:r>
                  <w:r>
                    <w:rPr>
                      <w:rFonts w:hint="default" w:ascii="Times New Roman" w:hAnsi="Times New Roman" w:cs="Times New Roman"/>
                      <w:kern w:val="0"/>
                      <w:sz w:val="18"/>
                      <w:szCs w:val="18"/>
                      <w:u w:val="none"/>
                      <w:lang w:eastAsia="zh-CN"/>
                    </w:rPr>
                    <w:t>）</w:t>
                  </w:r>
                </w:p>
              </w:tc>
              <w:tc>
                <w:tcPr>
                  <w:tcW w:w="1213" w:type="dxa"/>
                  <w:tcBorders>
                    <w:tl2br w:val="nil"/>
                    <w:tr2bl w:val="nil"/>
                  </w:tcBorders>
                  <w:shd w:val="clear" w:color="auto" w:fill="auto"/>
                  <w:vAlign w:val="center"/>
                </w:tcPr>
                <w:p w14:paraId="0761358A">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最近风机</w:t>
                  </w:r>
                </w:p>
              </w:tc>
              <w:tc>
                <w:tcPr>
                  <w:tcW w:w="950" w:type="dxa"/>
                  <w:tcBorders>
                    <w:tl2br w:val="nil"/>
                    <w:tr2bl w:val="nil"/>
                  </w:tcBorders>
                  <w:shd w:val="clear" w:color="auto" w:fill="auto"/>
                  <w:vAlign w:val="center"/>
                </w:tcPr>
                <w:p w14:paraId="161BED94">
                  <w:pPr>
                    <w:widowControl/>
                    <w:jc w:val="center"/>
                    <w:rPr>
                      <w:rFonts w:hint="default" w:ascii="Times New Roman" w:hAnsi="Times New Roman" w:eastAsia="宋体" w:cs="Times New Roman"/>
                      <w:kern w:val="0"/>
                      <w:sz w:val="18"/>
                      <w:szCs w:val="18"/>
                      <w:u w:val="none"/>
                      <w:lang w:val="en-US" w:eastAsia="zh-CN"/>
                    </w:rPr>
                  </w:pPr>
                  <w:r>
                    <w:rPr>
                      <w:rFonts w:hint="default" w:ascii="Times New Roman" w:hAnsi="Times New Roman" w:cs="Times New Roman"/>
                      <w:kern w:val="0"/>
                      <w:sz w:val="18"/>
                      <w:szCs w:val="18"/>
                      <w:u w:val="none"/>
                    </w:rPr>
                    <w:t>最近水平距离（m）</w:t>
                  </w:r>
                  <w:r>
                    <w:rPr>
                      <w:rFonts w:hint="eastAsia" w:cs="Times New Roman"/>
                      <w:kern w:val="0"/>
                      <w:sz w:val="18"/>
                      <w:szCs w:val="18"/>
                      <w:u w:val="none"/>
                      <w:lang w:val="en-US" w:eastAsia="zh-CN"/>
                    </w:rPr>
                    <w:t>r1</w:t>
                  </w:r>
                </w:p>
              </w:tc>
              <w:tc>
                <w:tcPr>
                  <w:tcW w:w="1162" w:type="dxa"/>
                  <w:tcBorders>
                    <w:tl2br w:val="nil"/>
                    <w:tr2bl w:val="nil"/>
                  </w:tcBorders>
                  <w:shd w:val="clear" w:color="auto" w:fill="auto"/>
                  <w:vAlign w:val="center"/>
                </w:tcPr>
                <w:p w14:paraId="0D5AF407">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与风机</w:t>
                  </w:r>
                  <w:r>
                    <w:rPr>
                      <w:rFonts w:hint="eastAsia" w:ascii="Times New Roman" w:hAnsi="Times New Roman" w:cs="Times New Roman"/>
                      <w:kern w:val="0"/>
                      <w:sz w:val="18"/>
                      <w:szCs w:val="18"/>
                      <w:u w:val="none"/>
                      <w:lang w:val="en-US" w:eastAsia="zh-CN"/>
                    </w:rPr>
                    <w:t>轮毂</w:t>
                  </w:r>
                  <w:r>
                    <w:rPr>
                      <w:rFonts w:hint="default" w:ascii="Times New Roman" w:hAnsi="Times New Roman" w:cs="Times New Roman"/>
                      <w:kern w:val="0"/>
                      <w:sz w:val="18"/>
                      <w:szCs w:val="18"/>
                      <w:u w:val="none"/>
                    </w:rPr>
                    <w:t>高差（m）</w:t>
                  </w:r>
                  <w:r>
                    <w:rPr>
                      <w:rFonts w:hint="eastAsia" w:hAnsi="宋体" w:cs="Times New Roman"/>
                      <w:color w:val="000000" w:themeColor="text1"/>
                      <w:sz w:val="18"/>
                      <w:szCs w:val="18"/>
                      <w:highlight w:val="none"/>
                      <w14:textFill>
                        <w14:solidFill>
                          <w14:schemeClr w14:val="tx1"/>
                        </w14:solidFill>
                      </w14:textFill>
                    </w:rPr>
                    <w:t>△h</w:t>
                  </w:r>
                </w:p>
              </w:tc>
              <w:tc>
                <w:tcPr>
                  <w:tcW w:w="1025" w:type="dxa"/>
                  <w:tcBorders>
                    <w:tl2br w:val="nil"/>
                    <w:tr2bl w:val="nil"/>
                  </w:tcBorders>
                  <w:shd w:val="clear" w:color="auto" w:fill="auto"/>
                  <w:vAlign w:val="center"/>
                </w:tcPr>
                <w:p w14:paraId="074D2C15">
                  <w:pPr>
                    <w:widowControl/>
                    <w:jc w:val="center"/>
                    <w:rPr>
                      <w:rFonts w:hint="default" w:ascii="Times New Roman" w:hAnsi="Times New Roman" w:eastAsia="宋体" w:cs="Times New Roman"/>
                      <w:kern w:val="0"/>
                      <w:sz w:val="18"/>
                      <w:szCs w:val="18"/>
                      <w:u w:val="none"/>
                      <w:lang w:val="en-US" w:eastAsia="zh-CN"/>
                    </w:rPr>
                  </w:pPr>
                  <w:r>
                    <w:rPr>
                      <w:rFonts w:hint="default" w:ascii="Times New Roman" w:hAnsi="Times New Roman" w:cs="Times New Roman"/>
                      <w:kern w:val="0"/>
                      <w:sz w:val="18"/>
                      <w:szCs w:val="18"/>
                      <w:u w:val="none"/>
                    </w:rPr>
                    <w:t>轮毂与敏感点直线距离（m）</w:t>
                  </w:r>
                  <w:r>
                    <w:rPr>
                      <w:rFonts w:hint="eastAsia" w:cs="Times New Roman"/>
                      <w:kern w:val="0"/>
                      <w:sz w:val="18"/>
                      <w:szCs w:val="18"/>
                      <w:u w:val="none"/>
                      <w:lang w:val="en-US" w:eastAsia="zh-CN"/>
                    </w:rPr>
                    <w:t>r2</w:t>
                  </w:r>
                </w:p>
              </w:tc>
              <w:tc>
                <w:tcPr>
                  <w:tcW w:w="792" w:type="dxa"/>
                  <w:tcBorders>
                    <w:tl2br w:val="nil"/>
                    <w:tr2bl w:val="nil"/>
                  </w:tcBorders>
                  <w:shd w:val="clear" w:color="auto" w:fill="auto"/>
                  <w:vAlign w:val="center"/>
                </w:tcPr>
                <w:p w14:paraId="1FD53BA5">
                  <w:pPr>
                    <w:widowControl/>
                    <w:jc w:val="center"/>
                    <w:rPr>
                      <w:rFonts w:hint="default" w:ascii="Times New Roman" w:hAnsi="Times New Roman" w:cs="Times New Roman"/>
                      <w:kern w:val="0"/>
                      <w:sz w:val="18"/>
                      <w:szCs w:val="18"/>
                      <w:u w:val="none"/>
                    </w:rPr>
                  </w:pPr>
                  <w:r>
                    <w:rPr>
                      <w:rFonts w:hint="default" w:ascii="Times New Roman" w:hAnsi="Times New Roman" w:cs="Times New Roman"/>
                      <w:kern w:val="0"/>
                      <w:sz w:val="18"/>
                      <w:szCs w:val="18"/>
                      <w:u w:val="none"/>
                    </w:rPr>
                    <w:t>与风机阻隔情况</w:t>
                  </w:r>
                </w:p>
              </w:tc>
            </w:tr>
            <w:tr w14:paraId="7CC077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5A78E79E">
                  <w:pPr>
                    <w:widowControl/>
                    <w:jc w:val="center"/>
                    <w:rPr>
                      <w:rFonts w:hint="default" w:ascii="Times New Roman" w:hAnsi="Times New Roman" w:eastAsia="等线" w:cs="Times New Roman"/>
                      <w:kern w:val="0"/>
                      <w:sz w:val="18"/>
                      <w:szCs w:val="18"/>
                      <w:u w:val="none"/>
                    </w:rPr>
                  </w:pPr>
                  <w:r>
                    <w:rPr>
                      <w:rFonts w:hint="default" w:ascii="Times New Roman" w:hAnsi="Times New Roman" w:eastAsia="等线" w:cs="Times New Roman"/>
                      <w:kern w:val="0"/>
                      <w:sz w:val="18"/>
                      <w:szCs w:val="18"/>
                      <w:u w:val="none"/>
                    </w:rPr>
                    <w:t>1</w:t>
                  </w:r>
                </w:p>
              </w:tc>
              <w:tc>
                <w:tcPr>
                  <w:tcW w:w="850" w:type="dxa"/>
                  <w:tcBorders>
                    <w:tl2br w:val="nil"/>
                    <w:tr2bl w:val="nil"/>
                  </w:tcBorders>
                  <w:shd w:val="clear" w:color="auto" w:fill="auto"/>
                  <w:noWrap/>
                  <w:vAlign w:val="center"/>
                </w:tcPr>
                <w:p w14:paraId="55AC7384">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854" w:type="dxa"/>
                  <w:tcBorders>
                    <w:tl2br w:val="nil"/>
                    <w:tr2bl w:val="nil"/>
                  </w:tcBorders>
                  <w:shd w:val="clear" w:color="auto" w:fill="auto"/>
                  <w:noWrap/>
                  <w:vAlign w:val="center"/>
                </w:tcPr>
                <w:p w14:paraId="5AAF6DA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243</w:t>
                  </w:r>
                </w:p>
              </w:tc>
              <w:tc>
                <w:tcPr>
                  <w:tcW w:w="893" w:type="dxa"/>
                  <w:tcBorders>
                    <w:tl2br w:val="nil"/>
                    <w:tr2bl w:val="nil"/>
                  </w:tcBorders>
                  <w:shd w:val="clear" w:color="auto" w:fill="auto"/>
                  <w:noWrap/>
                  <w:vAlign w:val="center"/>
                </w:tcPr>
                <w:p w14:paraId="1523219C">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540.3</w:t>
                  </w:r>
                </w:p>
              </w:tc>
              <w:tc>
                <w:tcPr>
                  <w:tcW w:w="1213" w:type="dxa"/>
                  <w:tcBorders>
                    <w:tl2br w:val="nil"/>
                    <w:tr2bl w:val="nil"/>
                  </w:tcBorders>
                  <w:shd w:val="clear" w:color="auto" w:fill="auto"/>
                  <w:noWrap/>
                  <w:vAlign w:val="center"/>
                </w:tcPr>
                <w:p w14:paraId="7E22E2E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DZ6东北面</w:t>
                  </w:r>
                </w:p>
              </w:tc>
              <w:tc>
                <w:tcPr>
                  <w:tcW w:w="950" w:type="dxa"/>
                  <w:tcBorders>
                    <w:tl2br w:val="nil"/>
                    <w:tr2bl w:val="nil"/>
                  </w:tcBorders>
                  <w:shd w:val="clear" w:color="auto" w:fill="auto"/>
                  <w:noWrap/>
                  <w:vAlign w:val="center"/>
                </w:tcPr>
                <w:p w14:paraId="6B718323">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495</w:t>
                  </w:r>
                </w:p>
              </w:tc>
              <w:tc>
                <w:tcPr>
                  <w:tcW w:w="1162" w:type="dxa"/>
                  <w:tcBorders>
                    <w:tl2br w:val="nil"/>
                    <w:tr2bl w:val="nil"/>
                  </w:tcBorders>
                  <w:shd w:val="clear" w:color="auto" w:fill="auto"/>
                  <w:noWrap/>
                  <w:vAlign w:val="center"/>
                </w:tcPr>
                <w:p w14:paraId="1B0D32C1">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-297.3</w:t>
                  </w:r>
                </w:p>
              </w:tc>
              <w:tc>
                <w:tcPr>
                  <w:tcW w:w="1025" w:type="dxa"/>
                  <w:tcBorders>
                    <w:tl2br w:val="nil"/>
                    <w:tr2bl w:val="nil"/>
                  </w:tcBorders>
                  <w:shd w:val="clear" w:color="auto" w:fill="auto"/>
                  <w:noWrap/>
                  <w:vAlign w:val="center"/>
                </w:tcPr>
                <w:p w14:paraId="18AEEE39">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644.2</w:t>
                  </w:r>
                </w:p>
              </w:tc>
              <w:tc>
                <w:tcPr>
                  <w:tcW w:w="792" w:type="dxa"/>
                  <w:vMerge w:val="restart"/>
                  <w:tcBorders>
                    <w:tl2br w:val="nil"/>
                    <w:tr2bl w:val="nil"/>
                  </w:tcBorders>
                  <w:shd w:val="clear" w:color="auto" w:fill="auto"/>
                  <w:vAlign w:val="center"/>
                </w:tcPr>
                <w:p w14:paraId="0BEF7DD2">
                  <w:pPr>
                    <w:widowControl/>
                    <w:jc w:val="center"/>
                    <w:rPr>
                      <w:rFonts w:hint="default" w:ascii="Times New Roman" w:hAnsi="Times New Roman" w:eastAsia="宋体" w:cs="Times New Roman"/>
                      <w:kern w:val="0"/>
                      <w:sz w:val="18"/>
                      <w:szCs w:val="18"/>
                      <w:u w:val="none"/>
                      <w:lang w:val="en-US" w:eastAsia="zh-CN"/>
                    </w:rPr>
                  </w:pPr>
                  <w:r>
                    <w:rPr>
                      <w:rFonts w:hint="eastAsia" w:cs="Times New Roman"/>
                      <w:kern w:val="0"/>
                      <w:sz w:val="18"/>
                      <w:szCs w:val="18"/>
                      <w:u w:val="none"/>
                      <w:lang w:val="en-US" w:eastAsia="zh-CN"/>
                    </w:rPr>
                    <w:t>林地和灌草地</w:t>
                  </w:r>
                </w:p>
              </w:tc>
            </w:tr>
            <w:tr w14:paraId="2FA933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7073FA7F">
                  <w:pPr>
                    <w:widowControl/>
                    <w:jc w:val="center"/>
                    <w:rPr>
                      <w:rFonts w:hint="eastAsia" w:ascii="Times New Roman" w:hAnsi="Times New Roman" w:eastAsia="等线" w:cs="Times New Roman"/>
                      <w:kern w:val="0"/>
                      <w:sz w:val="18"/>
                      <w:szCs w:val="18"/>
                      <w:u w:val="none"/>
                      <w:lang w:val="en-US" w:eastAsia="zh-CN"/>
                    </w:rPr>
                  </w:pPr>
                  <w:r>
                    <w:rPr>
                      <w:rFonts w:hint="eastAsia" w:eastAsia="等线" w:cs="Times New Roman"/>
                      <w:kern w:val="0"/>
                      <w:sz w:val="18"/>
                      <w:szCs w:val="18"/>
                      <w:u w:val="none"/>
                      <w:lang w:val="en-US" w:eastAsia="zh-CN"/>
                    </w:rPr>
                    <w:t>2</w:t>
                  </w:r>
                </w:p>
              </w:tc>
              <w:tc>
                <w:tcPr>
                  <w:tcW w:w="850" w:type="dxa"/>
                  <w:tcBorders>
                    <w:tl2br w:val="nil"/>
                    <w:tr2bl w:val="nil"/>
                  </w:tcBorders>
                  <w:shd w:val="clear" w:color="auto" w:fill="auto"/>
                  <w:noWrap/>
                  <w:vAlign w:val="center"/>
                </w:tcPr>
                <w:p w14:paraId="6F8585B4">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泉岭村居民</w:t>
                  </w:r>
                </w:p>
              </w:tc>
              <w:tc>
                <w:tcPr>
                  <w:tcW w:w="854" w:type="dxa"/>
                  <w:tcBorders>
                    <w:tl2br w:val="nil"/>
                    <w:tr2bl w:val="nil"/>
                  </w:tcBorders>
                  <w:shd w:val="clear" w:color="auto" w:fill="auto"/>
                  <w:noWrap/>
                  <w:vAlign w:val="center"/>
                </w:tcPr>
                <w:p w14:paraId="19304617">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237</w:t>
                  </w:r>
                </w:p>
              </w:tc>
              <w:tc>
                <w:tcPr>
                  <w:tcW w:w="893" w:type="dxa"/>
                  <w:tcBorders>
                    <w:tl2br w:val="nil"/>
                    <w:tr2bl w:val="nil"/>
                  </w:tcBorders>
                  <w:shd w:val="clear" w:color="auto" w:fill="auto"/>
                  <w:noWrap/>
                  <w:vAlign w:val="center"/>
                </w:tcPr>
                <w:p w14:paraId="3E2C9D3D">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540.3</w:t>
                  </w:r>
                </w:p>
              </w:tc>
              <w:tc>
                <w:tcPr>
                  <w:tcW w:w="1213" w:type="dxa"/>
                  <w:tcBorders>
                    <w:tl2br w:val="nil"/>
                    <w:tr2bl w:val="nil"/>
                  </w:tcBorders>
                  <w:shd w:val="clear" w:color="auto" w:fill="auto"/>
                  <w:noWrap/>
                  <w:vAlign w:val="center"/>
                </w:tcPr>
                <w:p w14:paraId="4BBAB82A">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DZ6南面</w:t>
                  </w:r>
                </w:p>
              </w:tc>
              <w:tc>
                <w:tcPr>
                  <w:tcW w:w="950" w:type="dxa"/>
                  <w:tcBorders>
                    <w:tl2br w:val="nil"/>
                    <w:tr2bl w:val="nil"/>
                  </w:tcBorders>
                  <w:shd w:val="clear" w:color="auto" w:fill="auto"/>
                  <w:noWrap/>
                  <w:vAlign w:val="center"/>
                </w:tcPr>
                <w:p w14:paraId="246662EA">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490</w:t>
                  </w:r>
                </w:p>
              </w:tc>
              <w:tc>
                <w:tcPr>
                  <w:tcW w:w="1162" w:type="dxa"/>
                  <w:tcBorders>
                    <w:tl2br w:val="nil"/>
                    <w:tr2bl w:val="nil"/>
                  </w:tcBorders>
                  <w:shd w:val="clear" w:color="auto" w:fill="auto"/>
                  <w:noWrap/>
                  <w:vAlign w:val="center"/>
                </w:tcPr>
                <w:p w14:paraId="79485BF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-303.3</w:t>
                  </w:r>
                </w:p>
              </w:tc>
              <w:tc>
                <w:tcPr>
                  <w:tcW w:w="1025" w:type="dxa"/>
                  <w:tcBorders>
                    <w:tl2br w:val="nil"/>
                    <w:tr2bl w:val="nil"/>
                  </w:tcBorders>
                  <w:shd w:val="clear" w:color="auto" w:fill="auto"/>
                  <w:noWrap/>
                  <w:vAlign w:val="center"/>
                </w:tcPr>
                <w:p w14:paraId="0FDD418C">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644.3</w:t>
                  </w:r>
                </w:p>
              </w:tc>
              <w:tc>
                <w:tcPr>
                  <w:tcW w:w="792" w:type="dxa"/>
                  <w:vMerge w:val="continue"/>
                  <w:tcBorders>
                    <w:tl2br w:val="nil"/>
                    <w:tr2bl w:val="nil"/>
                  </w:tcBorders>
                  <w:vAlign w:val="center"/>
                </w:tcPr>
                <w:p w14:paraId="69E38854">
                  <w:pPr>
                    <w:widowControl/>
                    <w:jc w:val="left"/>
                    <w:rPr>
                      <w:rFonts w:hint="default" w:ascii="Times New Roman" w:hAnsi="Times New Roman" w:cs="Times New Roman"/>
                      <w:kern w:val="0"/>
                      <w:sz w:val="18"/>
                      <w:szCs w:val="18"/>
                      <w:u w:val="none"/>
                    </w:rPr>
                  </w:pPr>
                </w:p>
              </w:tc>
            </w:tr>
            <w:tr w14:paraId="318861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6E573F57">
                  <w:pPr>
                    <w:widowControl/>
                    <w:jc w:val="center"/>
                    <w:rPr>
                      <w:rFonts w:hint="default" w:eastAsia="等线" w:cs="Times New Roman"/>
                      <w:kern w:val="0"/>
                      <w:sz w:val="18"/>
                      <w:szCs w:val="18"/>
                      <w:u w:val="none"/>
                      <w:lang w:val="en-US" w:eastAsia="zh-CN"/>
                    </w:rPr>
                  </w:pPr>
                  <w:r>
                    <w:rPr>
                      <w:rFonts w:hint="eastAsia" w:eastAsia="等线" w:cs="Times New Roman"/>
                      <w:kern w:val="0"/>
                      <w:sz w:val="18"/>
                      <w:szCs w:val="18"/>
                      <w:u w:val="none"/>
                      <w:lang w:val="en-US" w:eastAsia="zh-CN"/>
                    </w:rPr>
                    <w:t>3</w:t>
                  </w:r>
                </w:p>
              </w:tc>
              <w:tc>
                <w:tcPr>
                  <w:tcW w:w="850" w:type="dxa"/>
                  <w:tcBorders>
                    <w:tl2br w:val="nil"/>
                    <w:tr2bl w:val="nil"/>
                  </w:tcBorders>
                  <w:shd w:val="clear" w:color="auto" w:fill="auto"/>
                  <w:noWrap/>
                  <w:vAlign w:val="center"/>
                </w:tcPr>
                <w:p w14:paraId="31F170FB">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下石岭居民</w:t>
                  </w:r>
                </w:p>
              </w:tc>
              <w:tc>
                <w:tcPr>
                  <w:tcW w:w="854" w:type="dxa"/>
                  <w:tcBorders>
                    <w:tl2br w:val="nil"/>
                    <w:tr2bl w:val="nil"/>
                  </w:tcBorders>
                  <w:shd w:val="clear" w:color="auto" w:fill="auto"/>
                  <w:noWrap/>
                  <w:vAlign w:val="center"/>
                </w:tcPr>
                <w:p w14:paraId="042FE643">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298</w:t>
                  </w:r>
                </w:p>
              </w:tc>
              <w:tc>
                <w:tcPr>
                  <w:tcW w:w="893" w:type="dxa"/>
                  <w:tcBorders>
                    <w:tl2br w:val="nil"/>
                    <w:tr2bl w:val="nil"/>
                  </w:tcBorders>
                  <w:shd w:val="clear" w:color="auto" w:fill="auto"/>
                  <w:noWrap/>
                  <w:vAlign w:val="center"/>
                </w:tcPr>
                <w:p w14:paraId="7C3D9116">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491.0</w:t>
                  </w:r>
                </w:p>
              </w:tc>
              <w:tc>
                <w:tcPr>
                  <w:tcW w:w="1213" w:type="dxa"/>
                  <w:tcBorders>
                    <w:tl2br w:val="nil"/>
                    <w:tr2bl w:val="nil"/>
                  </w:tcBorders>
                  <w:shd w:val="clear" w:color="auto" w:fill="auto"/>
                  <w:noWrap/>
                  <w:vAlign w:val="center"/>
                </w:tcPr>
                <w:p w14:paraId="76EECBE6">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DZ7北面</w:t>
                  </w:r>
                </w:p>
              </w:tc>
              <w:tc>
                <w:tcPr>
                  <w:tcW w:w="950" w:type="dxa"/>
                  <w:tcBorders>
                    <w:tl2br w:val="nil"/>
                    <w:tr2bl w:val="nil"/>
                  </w:tcBorders>
                  <w:shd w:val="clear" w:color="auto" w:fill="auto"/>
                  <w:noWrap/>
                  <w:vAlign w:val="center"/>
                </w:tcPr>
                <w:p w14:paraId="283EED84">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485</w:t>
                  </w:r>
                </w:p>
              </w:tc>
              <w:tc>
                <w:tcPr>
                  <w:tcW w:w="1162" w:type="dxa"/>
                  <w:tcBorders>
                    <w:tl2br w:val="nil"/>
                    <w:tr2bl w:val="nil"/>
                  </w:tcBorders>
                  <w:shd w:val="clear" w:color="auto" w:fill="auto"/>
                  <w:noWrap/>
                  <w:vAlign w:val="center"/>
                </w:tcPr>
                <w:p w14:paraId="67DCD100">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-193</w:t>
                  </w:r>
                </w:p>
              </w:tc>
              <w:tc>
                <w:tcPr>
                  <w:tcW w:w="1025" w:type="dxa"/>
                  <w:tcBorders>
                    <w:tl2br w:val="nil"/>
                    <w:tr2bl w:val="nil"/>
                  </w:tcBorders>
                  <w:shd w:val="clear" w:color="auto" w:fill="auto"/>
                  <w:noWrap/>
                  <w:vAlign w:val="center"/>
                </w:tcPr>
                <w:p w14:paraId="2B3F5CD7">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574.5</w:t>
                  </w:r>
                </w:p>
              </w:tc>
              <w:tc>
                <w:tcPr>
                  <w:tcW w:w="792" w:type="dxa"/>
                  <w:vMerge w:val="continue"/>
                  <w:tcBorders>
                    <w:tl2br w:val="nil"/>
                    <w:tr2bl w:val="nil"/>
                  </w:tcBorders>
                  <w:vAlign w:val="center"/>
                </w:tcPr>
                <w:p w14:paraId="5FE04C25">
                  <w:pPr>
                    <w:widowControl/>
                    <w:jc w:val="left"/>
                    <w:rPr>
                      <w:rFonts w:hint="default" w:ascii="Times New Roman" w:hAnsi="Times New Roman" w:cs="Times New Roman"/>
                      <w:kern w:val="0"/>
                      <w:sz w:val="18"/>
                      <w:szCs w:val="18"/>
                      <w:u w:val="none"/>
                    </w:rPr>
                  </w:pPr>
                </w:p>
              </w:tc>
            </w:tr>
            <w:tr w14:paraId="3583B1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598CD8D4">
                  <w:pPr>
                    <w:widowControl/>
                    <w:jc w:val="center"/>
                    <w:rPr>
                      <w:rFonts w:hint="default" w:eastAsia="等线" w:cs="Times New Roman"/>
                      <w:kern w:val="0"/>
                      <w:sz w:val="18"/>
                      <w:szCs w:val="18"/>
                      <w:u w:val="none"/>
                      <w:lang w:val="en-US" w:eastAsia="zh-CN"/>
                    </w:rPr>
                  </w:pPr>
                  <w:r>
                    <w:rPr>
                      <w:rFonts w:hint="eastAsia" w:eastAsia="等线" w:cs="Times New Roman"/>
                      <w:kern w:val="0"/>
                      <w:sz w:val="18"/>
                      <w:szCs w:val="18"/>
                      <w:u w:val="none"/>
                      <w:lang w:val="en-US" w:eastAsia="zh-CN"/>
                    </w:rPr>
                    <w:t>4</w:t>
                  </w:r>
                </w:p>
              </w:tc>
              <w:tc>
                <w:tcPr>
                  <w:tcW w:w="850" w:type="dxa"/>
                  <w:tcBorders>
                    <w:tl2br w:val="nil"/>
                    <w:tr2bl w:val="nil"/>
                  </w:tcBorders>
                  <w:shd w:val="clear" w:color="auto" w:fill="auto"/>
                  <w:noWrap/>
                  <w:vAlign w:val="center"/>
                </w:tcPr>
                <w:p w14:paraId="3188869E">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大屋岭居民</w:t>
                  </w:r>
                </w:p>
              </w:tc>
              <w:tc>
                <w:tcPr>
                  <w:tcW w:w="854" w:type="dxa"/>
                  <w:tcBorders>
                    <w:tl2br w:val="nil"/>
                    <w:tr2bl w:val="nil"/>
                  </w:tcBorders>
                  <w:shd w:val="clear" w:color="auto" w:fill="auto"/>
                  <w:noWrap/>
                  <w:vAlign w:val="center"/>
                </w:tcPr>
                <w:p w14:paraId="48D09B6D">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248</w:t>
                  </w:r>
                </w:p>
              </w:tc>
              <w:tc>
                <w:tcPr>
                  <w:tcW w:w="893" w:type="dxa"/>
                  <w:tcBorders>
                    <w:tl2br w:val="nil"/>
                    <w:tr2bl w:val="nil"/>
                  </w:tcBorders>
                  <w:shd w:val="clear" w:color="auto" w:fill="auto"/>
                  <w:noWrap/>
                  <w:vAlign w:val="center"/>
                </w:tcPr>
                <w:p w14:paraId="5E1A789C">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473.7</w:t>
                  </w:r>
                </w:p>
              </w:tc>
              <w:tc>
                <w:tcPr>
                  <w:tcW w:w="1213" w:type="dxa"/>
                  <w:tcBorders>
                    <w:tl2br w:val="nil"/>
                    <w:tr2bl w:val="nil"/>
                  </w:tcBorders>
                  <w:shd w:val="clear" w:color="auto" w:fill="auto"/>
                  <w:noWrap/>
                  <w:vAlign w:val="center"/>
                </w:tcPr>
                <w:p w14:paraId="22E26A3B">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DZ14北面</w:t>
                  </w:r>
                </w:p>
              </w:tc>
              <w:tc>
                <w:tcPr>
                  <w:tcW w:w="950" w:type="dxa"/>
                  <w:tcBorders>
                    <w:tl2br w:val="nil"/>
                    <w:tr2bl w:val="nil"/>
                  </w:tcBorders>
                  <w:shd w:val="clear" w:color="auto" w:fill="auto"/>
                  <w:noWrap/>
                  <w:vAlign w:val="center"/>
                </w:tcPr>
                <w:p w14:paraId="156D10E3">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480</w:t>
                  </w:r>
                </w:p>
              </w:tc>
              <w:tc>
                <w:tcPr>
                  <w:tcW w:w="1162" w:type="dxa"/>
                  <w:tcBorders>
                    <w:tl2br w:val="nil"/>
                    <w:tr2bl w:val="nil"/>
                  </w:tcBorders>
                  <w:shd w:val="clear" w:color="auto" w:fill="auto"/>
                  <w:noWrap/>
                  <w:vAlign w:val="center"/>
                </w:tcPr>
                <w:p w14:paraId="18EF21C7">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-225.7</w:t>
                  </w:r>
                </w:p>
              </w:tc>
              <w:tc>
                <w:tcPr>
                  <w:tcW w:w="1025" w:type="dxa"/>
                  <w:tcBorders>
                    <w:tl2br w:val="nil"/>
                    <w:tr2bl w:val="nil"/>
                  </w:tcBorders>
                  <w:shd w:val="clear" w:color="auto" w:fill="auto"/>
                  <w:noWrap/>
                  <w:vAlign w:val="center"/>
                </w:tcPr>
                <w:p w14:paraId="55F16E93">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588.6</w:t>
                  </w:r>
                </w:p>
              </w:tc>
              <w:tc>
                <w:tcPr>
                  <w:tcW w:w="792" w:type="dxa"/>
                  <w:vMerge w:val="continue"/>
                  <w:tcBorders>
                    <w:tl2br w:val="nil"/>
                    <w:tr2bl w:val="nil"/>
                  </w:tcBorders>
                  <w:vAlign w:val="center"/>
                </w:tcPr>
                <w:p w14:paraId="0A905A5B">
                  <w:pPr>
                    <w:widowControl/>
                    <w:jc w:val="left"/>
                    <w:rPr>
                      <w:rFonts w:hint="default" w:ascii="Times New Roman" w:hAnsi="Times New Roman" w:cs="Times New Roman"/>
                      <w:kern w:val="0"/>
                      <w:sz w:val="18"/>
                      <w:szCs w:val="18"/>
                      <w:u w:val="none"/>
                    </w:rPr>
                  </w:pPr>
                </w:p>
              </w:tc>
            </w:tr>
            <w:tr w14:paraId="0BA781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513" w:type="dxa"/>
                  <w:tcBorders>
                    <w:tl2br w:val="nil"/>
                    <w:tr2bl w:val="nil"/>
                  </w:tcBorders>
                  <w:shd w:val="clear" w:color="auto" w:fill="auto"/>
                  <w:noWrap/>
                  <w:vAlign w:val="center"/>
                </w:tcPr>
                <w:p w14:paraId="1CA3A782">
                  <w:pPr>
                    <w:widowControl/>
                    <w:jc w:val="center"/>
                    <w:rPr>
                      <w:rFonts w:hint="default" w:eastAsia="等线" w:cs="Times New Roman"/>
                      <w:kern w:val="0"/>
                      <w:sz w:val="18"/>
                      <w:szCs w:val="18"/>
                      <w:u w:val="none"/>
                      <w:lang w:val="en-US" w:eastAsia="zh-CN"/>
                    </w:rPr>
                  </w:pPr>
                  <w:r>
                    <w:rPr>
                      <w:rFonts w:hint="eastAsia" w:eastAsia="等线" w:cs="Times New Roman"/>
                      <w:kern w:val="0"/>
                      <w:sz w:val="18"/>
                      <w:szCs w:val="18"/>
                      <w:u w:val="none"/>
                      <w:lang w:val="en-US" w:eastAsia="zh-CN"/>
                    </w:rPr>
                    <w:t>5</w:t>
                  </w:r>
                </w:p>
              </w:tc>
              <w:tc>
                <w:tcPr>
                  <w:tcW w:w="850" w:type="dxa"/>
                  <w:tcBorders>
                    <w:tl2br w:val="nil"/>
                    <w:tr2bl w:val="nil"/>
                  </w:tcBorders>
                  <w:shd w:val="clear" w:color="auto" w:fill="auto"/>
                  <w:noWrap/>
                  <w:vAlign w:val="center"/>
                </w:tcPr>
                <w:p w14:paraId="3B72509B">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乌龟冲居民</w:t>
                  </w:r>
                </w:p>
              </w:tc>
              <w:tc>
                <w:tcPr>
                  <w:tcW w:w="854" w:type="dxa"/>
                  <w:tcBorders>
                    <w:tl2br w:val="nil"/>
                    <w:tr2bl w:val="nil"/>
                  </w:tcBorders>
                  <w:shd w:val="clear" w:color="auto" w:fill="auto"/>
                  <w:noWrap/>
                  <w:vAlign w:val="center"/>
                </w:tcPr>
                <w:p w14:paraId="45FFB891">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251</w:t>
                  </w:r>
                </w:p>
              </w:tc>
              <w:tc>
                <w:tcPr>
                  <w:tcW w:w="893" w:type="dxa"/>
                  <w:tcBorders>
                    <w:tl2br w:val="nil"/>
                    <w:tr2bl w:val="nil"/>
                  </w:tcBorders>
                  <w:shd w:val="clear" w:color="auto" w:fill="auto"/>
                  <w:noWrap/>
                  <w:vAlign w:val="center"/>
                </w:tcPr>
                <w:p w14:paraId="34E164E5">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495.4</w:t>
                  </w:r>
                </w:p>
              </w:tc>
              <w:tc>
                <w:tcPr>
                  <w:tcW w:w="1213" w:type="dxa"/>
                  <w:tcBorders>
                    <w:tl2br w:val="nil"/>
                    <w:tr2bl w:val="nil"/>
                  </w:tcBorders>
                  <w:shd w:val="clear" w:color="auto" w:fill="auto"/>
                  <w:noWrap/>
                  <w:vAlign w:val="center"/>
                </w:tcPr>
                <w:p w14:paraId="4A8472EA">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DZ22北面</w:t>
                  </w:r>
                </w:p>
              </w:tc>
              <w:tc>
                <w:tcPr>
                  <w:tcW w:w="950" w:type="dxa"/>
                  <w:tcBorders>
                    <w:tl2br w:val="nil"/>
                    <w:tr2bl w:val="nil"/>
                  </w:tcBorders>
                  <w:shd w:val="clear" w:color="auto" w:fill="auto"/>
                  <w:noWrap/>
                  <w:vAlign w:val="center"/>
                </w:tcPr>
                <w:p w14:paraId="1BA2DAE0">
                  <w:pPr>
                    <w:widowControl/>
                    <w:adjustRightInd w:val="0"/>
                    <w:snapToGrid w:val="0"/>
                    <w:jc w:val="center"/>
                    <w:rPr>
                      <w:rFonts w:hint="eastAsia"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320</w:t>
                  </w:r>
                </w:p>
              </w:tc>
              <w:tc>
                <w:tcPr>
                  <w:tcW w:w="1162" w:type="dxa"/>
                  <w:tcBorders>
                    <w:tl2br w:val="nil"/>
                    <w:tr2bl w:val="nil"/>
                  </w:tcBorders>
                  <w:shd w:val="clear" w:color="auto" w:fill="auto"/>
                  <w:noWrap/>
                  <w:vAlign w:val="center"/>
                </w:tcPr>
                <w:p w14:paraId="3A69C49F">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-69</w:t>
                  </w:r>
                </w:p>
              </w:tc>
              <w:tc>
                <w:tcPr>
                  <w:tcW w:w="1025" w:type="dxa"/>
                  <w:tcBorders>
                    <w:tl2br w:val="nil"/>
                    <w:tr2bl w:val="nil"/>
                  </w:tcBorders>
                  <w:shd w:val="clear" w:color="auto" w:fill="auto"/>
                  <w:noWrap/>
                  <w:vAlign w:val="center"/>
                </w:tcPr>
                <w:p w14:paraId="4317348F">
                  <w:pPr>
                    <w:widowControl/>
                    <w:adjustRightInd w:val="0"/>
                    <w:snapToGrid w:val="0"/>
                    <w:jc w:val="center"/>
                    <w:rPr>
                      <w:rFonts w:hint="default" w:ascii="Times New Roman" w:hAnsi="Times New Roman" w:eastAsia="宋体" w:cs="Times New Roman"/>
                      <w:kern w:val="0"/>
                      <w:sz w:val="18"/>
                      <w:szCs w:val="18"/>
                      <w:u w:val="none"/>
                      <w:lang w:val="en-US" w:eastAsia="zh-CN" w:bidi="ar-SA"/>
                    </w:rPr>
                  </w:pPr>
                  <w:r>
                    <w:rPr>
                      <w:rFonts w:hint="eastAsia" w:cs="Times New Roman"/>
                      <w:kern w:val="0"/>
                      <w:sz w:val="18"/>
                      <w:szCs w:val="18"/>
                      <w:u w:val="none"/>
                      <w:lang w:val="en-US" w:eastAsia="zh-CN" w:bidi="ar-SA"/>
                    </w:rPr>
                    <w:t>369.1</w:t>
                  </w:r>
                </w:p>
              </w:tc>
              <w:tc>
                <w:tcPr>
                  <w:tcW w:w="792" w:type="dxa"/>
                  <w:vMerge w:val="continue"/>
                  <w:tcBorders>
                    <w:tl2br w:val="nil"/>
                    <w:tr2bl w:val="nil"/>
                  </w:tcBorders>
                  <w:vAlign w:val="center"/>
                </w:tcPr>
                <w:p w14:paraId="1FABDCA8">
                  <w:pPr>
                    <w:widowControl/>
                    <w:jc w:val="left"/>
                    <w:rPr>
                      <w:rFonts w:hint="default" w:ascii="Times New Roman" w:hAnsi="Times New Roman" w:cs="Times New Roman"/>
                      <w:kern w:val="0"/>
                      <w:sz w:val="18"/>
                      <w:szCs w:val="18"/>
                      <w:u w:val="none"/>
                    </w:rPr>
                  </w:pPr>
                </w:p>
              </w:tc>
            </w:tr>
            <w:tr w14:paraId="194CC0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8252" w:type="dxa"/>
                  <w:gridSpan w:val="9"/>
                  <w:tcBorders>
                    <w:tl2br w:val="nil"/>
                    <w:tr2bl w:val="nil"/>
                  </w:tcBorders>
                  <w:shd w:val="clear" w:color="auto" w:fill="auto"/>
                  <w:noWrap/>
                  <w:vAlign w:val="center"/>
                </w:tcPr>
                <w:p w14:paraId="00568E5F">
                  <w:pPr>
                    <w:widowControl/>
                    <w:jc w:val="left"/>
                    <w:rPr>
                      <w:rFonts w:hint="default" w:ascii="Times New Roman" w:hAnsi="Times New Roman" w:eastAsia="宋体" w:cs="Times New Roman"/>
                      <w:kern w:val="0"/>
                      <w:sz w:val="18"/>
                      <w:szCs w:val="18"/>
                      <w:u w:val="none"/>
                      <w:lang w:val="en-US" w:eastAsia="zh-CN"/>
                    </w:rPr>
                  </w:pPr>
                  <w:r>
                    <w:rPr>
                      <w:rFonts w:hint="default" w:ascii="Times New Roman" w:hAnsi="Times New Roman" w:cs="Times New Roman"/>
                      <w:kern w:val="0"/>
                      <w:sz w:val="18"/>
                      <w:szCs w:val="18"/>
                      <w:u w:val="none"/>
                      <w:lang w:val="en-US" w:eastAsia="zh-CN"/>
                    </w:rPr>
                    <w:t>注：</w:t>
                  </w:r>
                  <w:r>
                    <w:rPr>
                      <w:rFonts w:hint="eastAsia" w:hAnsi="宋体" w:cs="Times New Roman"/>
                      <w:color w:val="000000" w:themeColor="text1"/>
                      <w:sz w:val="18"/>
                      <w:szCs w:val="18"/>
                      <w:highlight w:val="none"/>
                      <w14:textFill>
                        <w14:solidFill>
                          <w14:schemeClr w14:val="tx1"/>
                        </w14:solidFill>
                      </w14:textFill>
                    </w:rPr>
                    <w:t>r2=（r1</w:t>
                  </w:r>
                  <w:r>
                    <w:rPr>
                      <w:rFonts w:hint="eastAsia" w:hAnsi="宋体" w:cs="Times New Roman"/>
                      <w:color w:val="000000" w:themeColor="text1"/>
                      <w:sz w:val="18"/>
                      <w:szCs w:val="18"/>
                      <w:highlight w:val="none"/>
                      <w:vertAlign w:val="superscript"/>
                      <w14:textFill>
                        <w14:solidFill>
                          <w14:schemeClr w14:val="tx1"/>
                        </w14:solidFill>
                      </w14:textFill>
                    </w:rPr>
                    <w:t>2</w:t>
                  </w:r>
                  <w:r>
                    <w:rPr>
                      <w:rFonts w:hint="eastAsia" w:hAnsi="宋体" w:cs="Times New Roman"/>
                      <w:color w:val="000000" w:themeColor="text1"/>
                      <w:sz w:val="18"/>
                      <w:szCs w:val="18"/>
                      <w:highlight w:val="none"/>
                      <w14:textFill>
                        <w14:solidFill>
                          <w14:schemeClr w14:val="tx1"/>
                        </w14:solidFill>
                      </w14:textFill>
                    </w:rPr>
                    <w:t>+(△h+1</w:t>
                  </w:r>
                  <w:r>
                    <w:rPr>
                      <w:rFonts w:hAnsi="宋体" w:cs="Times New Roman"/>
                      <w:color w:val="000000" w:themeColor="text1"/>
                      <w:sz w:val="18"/>
                      <w:szCs w:val="18"/>
                      <w:highlight w:val="none"/>
                      <w14:textFill>
                        <w14:solidFill>
                          <w14:schemeClr w14:val="tx1"/>
                        </w14:solidFill>
                      </w14:textFill>
                    </w:rPr>
                    <w:t>1</w:t>
                  </w:r>
                  <w:r>
                    <w:rPr>
                      <w:rFonts w:hint="eastAsia" w:hAnsi="宋体" w:cs="Times New Roman"/>
                      <w:color w:val="000000" w:themeColor="text1"/>
                      <w:sz w:val="18"/>
                      <w:szCs w:val="18"/>
                      <w:highlight w:val="none"/>
                      <w:lang w:val="en-US" w:eastAsia="zh-CN"/>
                      <w14:textFill>
                        <w14:solidFill>
                          <w14:schemeClr w14:val="tx1"/>
                        </w14:solidFill>
                      </w14:textFill>
                    </w:rPr>
                    <w:t>5</w:t>
                  </w:r>
                  <w:r>
                    <w:rPr>
                      <w:rFonts w:hint="eastAsia" w:hAnsi="宋体" w:cs="Times New Roman"/>
                      <w:color w:val="000000" w:themeColor="text1"/>
                      <w:sz w:val="18"/>
                      <w:szCs w:val="18"/>
                      <w:highlight w:val="none"/>
                      <w14:textFill>
                        <w14:solidFill>
                          <w14:schemeClr w14:val="tx1"/>
                        </w14:solidFill>
                      </w14:textFill>
                    </w:rPr>
                    <w:t>)</w:t>
                  </w:r>
                  <w:r>
                    <w:rPr>
                      <w:rFonts w:hint="eastAsia" w:hAnsi="宋体" w:cs="Times New Roman"/>
                      <w:color w:val="000000" w:themeColor="text1"/>
                      <w:sz w:val="18"/>
                      <w:szCs w:val="18"/>
                      <w:highlight w:val="none"/>
                      <w:vertAlign w:val="superscript"/>
                      <w14:textFill>
                        <w14:solidFill>
                          <w14:schemeClr w14:val="tx1"/>
                        </w14:solidFill>
                      </w14:textFill>
                    </w:rPr>
                    <w:t>2</w:t>
                  </w:r>
                  <w:r>
                    <w:rPr>
                      <w:rFonts w:hint="eastAsia" w:hAnsi="宋体" w:cs="Times New Roman"/>
                      <w:color w:val="000000" w:themeColor="text1"/>
                      <w:sz w:val="18"/>
                      <w:szCs w:val="18"/>
                      <w:highlight w:val="none"/>
                      <w14:textFill>
                        <w14:solidFill>
                          <w14:schemeClr w14:val="tx1"/>
                        </w14:solidFill>
                      </w14:textFill>
                    </w:rPr>
                    <w:t>）</w:t>
                  </w:r>
                  <w:r>
                    <w:rPr>
                      <w:rFonts w:hint="eastAsia" w:hAnsi="宋体" w:cs="Times New Roman"/>
                      <w:color w:val="000000" w:themeColor="text1"/>
                      <w:sz w:val="18"/>
                      <w:szCs w:val="18"/>
                      <w:highlight w:val="none"/>
                      <w:vertAlign w:val="superscript"/>
                      <w14:textFill>
                        <w14:solidFill>
                          <w14:schemeClr w14:val="tx1"/>
                        </w14:solidFill>
                      </w14:textFill>
                    </w:rPr>
                    <w:t>1/2</w:t>
                  </w:r>
                </w:p>
              </w:tc>
            </w:tr>
          </w:tbl>
          <w:p w14:paraId="33CEA615">
            <w:pPr>
              <w:pStyle w:val="62"/>
              <w:spacing w:line="240" w:lineRule="auto"/>
              <w:ind w:firstLine="0" w:firstLineChars="0"/>
              <w:jc w:val="center"/>
              <w:rPr>
                <w:rFonts w:hAnsi="宋体" w:cs="Times New Roman"/>
                <w:b/>
                <w:color w:val="FF0000"/>
                <w:sz w:val="21"/>
                <w:szCs w:val="21"/>
              </w:rPr>
            </w:pPr>
            <w:r>
              <w:rPr>
                <w:rFonts w:hAnsi="宋体" w:cs="Times New Roman"/>
                <w:b/>
                <w:color w:val="FF0000"/>
                <w:sz w:val="21"/>
                <w:szCs w:val="21"/>
              </w:rPr>
              <w:t>表</w:t>
            </w:r>
            <w:r>
              <w:rPr>
                <w:rFonts w:hint="eastAsia" w:hAnsi="宋体" w:cs="Times New Roman"/>
                <w:b/>
                <w:color w:val="FF0000"/>
                <w:sz w:val="21"/>
                <w:szCs w:val="21"/>
              </w:rPr>
              <w:t>4</w:t>
            </w:r>
            <w:r>
              <w:rPr>
                <w:rFonts w:hint="eastAsia" w:hAnsi="宋体" w:cs="Times New Roman"/>
                <w:b/>
                <w:color w:val="FF0000"/>
                <w:sz w:val="21"/>
                <w:szCs w:val="21"/>
                <w:lang w:val="en-US" w:eastAsia="zh-CN"/>
              </w:rPr>
              <w:t xml:space="preserve">-8  </w:t>
            </w:r>
            <w:r>
              <w:rPr>
                <w:rFonts w:hint="eastAsia" w:hAnsi="宋体" w:cs="Times New Roman"/>
                <w:b/>
                <w:color w:val="FF0000"/>
                <w:sz w:val="21"/>
                <w:szCs w:val="21"/>
              </w:rPr>
              <w:t>本项目噪声敏感点预测结果</w:t>
            </w:r>
          </w:p>
          <w:tbl>
            <w:tblPr>
              <w:tblStyle w:val="32"/>
              <w:tblW w:w="8309"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3"/>
              <w:gridCol w:w="1408"/>
              <w:gridCol w:w="1169"/>
              <w:gridCol w:w="1408"/>
              <w:gridCol w:w="1170"/>
              <w:gridCol w:w="1170"/>
              <w:gridCol w:w="1171"/>
            </w:tblGrid>
            <w:tr w14:paraId="634319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vMerge w:val="restart"/>
                  <w:tcBorders>
                    <w:tl2br w:val="nil"/>
                    <w:tr2bl w:val="nil"/>
                  </w:tcBorders>
                  <w:shd w:val="clear" w:color="auto" w:fill="auto"/>
                  <w:noWrap/>
                  <w:vAlign w:val="center"/>
                </w:tcPr>
                <w:p w14:paraId="1B550835">
                  <w:pPr>
                    <w:widowControl/>
                    <w:jc w:val="center"/>
                    <w:rPr>
                      <w:rFonts w:ascii="宋体" w:hAnsi="宋体" w:cs="宋体"/>
                      <w:kern w:val="0"/>
                      <w:sz w:val="18"/>
                      <w:szCs w:val="18"/>
                      <w:u w:val="none"/>
                    </w:rPr>
                  </w:pPr>
                  <w:r>
                    <w:rPr>
                      <w:rFonts w:hint="eastAsia" w:ascii="宋体" w:hAnsi="宋体" w:cs="宋体"/>
                      <w:kern w:val="0"/>
                      <w:sz w:val="18"/>
                      <w:szCs w:val="18"/>
                      <w:u w:val="none"/>
                    </w:rPr>
                    <w:t>序号</w:t>
                  </w:r>
                </w:p>
              </w:tc>
              <w:tc>
                <w:tcPr>
                  <w:tcW w:w="1408" w:type="dxa"/>
                  <w:vMerge w:val="restart"/>
                  <w:tcBorders>
                    <w:tl2br w:val="nil"/>
                    <w:tr2bl w:val="nil"/>
                  </w:tcBorders>
                  <w:shd w:val="clear" w:color="auto" w:fill="auto"/>
                  <w:noWrap/>
                  <w:vAlign w:val="center"/>
                </w:tcPr>
                <w:p w14:paraId="1BB25831">
                  <w:pPr>
                    <w:widowControl/>
                    <w:jc w:val="center"/>
                    <w:rPr>
                      <w:rFonts w:ascii="宋体" w:hAnsi="宋体" w:cs="宋体"/>
                      <w:kern w:val="0"/>
                      <w:sz w:val="18"/>
                      <w:szCs w:val="18"/>
                      <w:u w:val="none"/>
                    </w:rPr>
                  </w:pPr>
                  <w:r>
                    <w:rPr>
                      <w:rFonts w:hint="eastAsia" w:ascii="宋体" w:hAnsi="宋体" w:cs="宋体"/>
                      <w:kern w:val="0"/>
                      <w:sz w:val="18"/>
                      <w:szCs w:val="18"/>
                      <w:u w:val="none"/>
                    </w:rPr>
                    <w:t>敏感点名称</w:t>
                  </w:r>
                </w:p>
              </w:tc>
              <w:tc>
                <w:tcPr>
                  <w:tcW w:w="1169" w:type="dxa"/>
                  <w:vMerge w:val="restart"/>
                  <w:tcBorders>
                    <w:tl2br w:val="nil"/>
                    <w:tr2bl w:val="nil"/>
                  </w:tcBorders>
                  <w:shd w:val="clear" w:color="auto" w:fill="auto"/>
                  <w:noWrap/>
                  <w:vAlign w:val="center"/>
                </w:tcPr>
                <w:p w14:paraId="0FFF9E43">
                  <w:pPr>
                    <w:widowControl/>
                    <w:jc w:val="center"/>
                    <w:rPr>
                      <w:rFonts w:ascii="宋体" w:hAnsi="宋体" w:cs="宋体"/>
                      <w:kern w:val="0"/>
                      <w:sz w:val="18"/>
                      <w:szCs w:val="18"/>
                      <w:u w:val="none"/>
                    </w:rPr>
                  </w:pPr>
                  <w:r>
                    <w:rPr>
                      <w:rFonts w:hint="eastAsia" w:ascii="宋体" w:hAnsi="宋体" w:cs="宋体"/>
                      <w:kern w:val="0"/>
                      <w:sz w:val="18"/>
                      <w:szCs w:val="18"/>
                      <w:u w:val="none"/>
                    </w:rPr>
                    <w:t>噪声贡献值</w:t>
                  </w:r>
                </w:p>
              </w:tc>
              <w:tc>
                <w:tcPr>
                  <w:tcW w:w="2578" w:type="dxa"/>
                  <w:gridSpan w:val="2"/>
                  <w:tcBorders>
                    <w:tl2br w:val="nil"/>
                    <w:tr2bl w:val="nil"/>
                  </w:tcBorders>
                  <w:shd w:val="clear" w:color="auto" w:fill="auto"/>
                  <w:noWrap/>
                  <w:vAlign w:val="center"/>
                </w:tcPr>
                <w:p w14:paraId="55E10BC3">
                  <w:pPr>
                    <w:widowControl/>
                    <w:jc w:val="center"/>
                    <w:rPr>
                      <w:rFonts w:hint="eastAsia" w:ascii="宋体" w:hAnsi="宋体" w:eastAsia="宋体" w:cs="宋体"/>
                      <w:kern w:val="0"/>
                      <w:sz w:val="18"/>
                      <w:szCs w:val="18"/>
                      <w:u w:val="none"/>
                      <w:lang w:eastAsia="zh-CN"/>
                    </w:rPr>
                  </w:pPr>
                  <w:r>
                    <w:rPr>
                      <w:rFonts w:hint="eastAsia" w:ascii="宋体" w:hAnsi="宋体" w:cs="宋体"/>
                      <w:kern w:val="0"/>
                      <w:sz w:val="18"/>
                      <w:szCs w:val="18"/>
                      <w:u w:val="none"/>
                    </w:rPr>
                    <w:t>噪声背景值</w:t>
                  </w:r>
                  <w:r>
                    <w:rPr>
                      <w:rFonts w:hint="eastAsia" w:ascii="宋体" w:hAnsi="宋体" w:cs="宋体"/>
                      <w:kern w:val="0"/>
                      <w:sz w:val="18"/>
                      <w:szCs w:val="18"/>
                      <w:u w:val="none"/>
                      <w:lang w:eastAsia="zh-CN"/>
                    </w:rPr>
                    <w:t>（</w:t>
                  </w:r>
                  <w:r>
                    <w:rPr>
                      <w:rFonts w:hint="eastAsia" w:ascii="宋体" w:hAnsi="宋体" w:cs="宋体"/>
                      <w:kern w:val="0"/>
                      <w:sz w:val="18"/>
                      <w:szCs w:val="18"/>
                      <w:u w:val="none"/>
                      <w:lang w:val="en-US" w:eastAsia="zh-CN"/>
                    </w:rPr>
                    <w:t>取两天监测的较大值</w:t>
                  </w:r>
                  <w:r>
                    <w:rPr>
                      <w:rFonts w:hint="eastAsia" w:ascii="宋体" w:hAnsi="宋体" w:cs="宋体"/>
                      <w:kern w:val="0"/>
                      <w:sz w:val="18"/>
                      <w:szCs w:val="18"/>
                      <w:u w:val="none"/>
                      <w:lang w:eastAsia="zh-CN"/>
                    </w:rPr>
                    <w:t>）</w:t>
                  </w:r>
                </w:p>
              </w:tc>
              <w:tc>
                <w:tcPr>
                  <w:tcW w:w="2341" w:type="dxa"/>
                  <w:gridSpan w:val="2"/>
                  <w:tcBorders>
                    <w:tl2br w:val="nil"/>
                    <w:tr2bl w:val="nil"/>
                  </w:tcBorders>
                  <w:shd w:val="clear" w:color="auto" w:fill="auto"/>
                  <w:vAlign w:val="center"/>
                </w:tcPr>
                <w:p w14:paraId="6E94AF9A">
                  <w:pPr>
                    <w:widowControl/>
                    <w:jc w:val="center"/>
                    <w:rPr>
                      <w:rFonts w:hint="eastAsia" w:ascii="宋体" w:hAnsi="宋体" w:eastAsia="宋体" w:cs="宋体"/>
                      <w:kern w:val="0"/>
                      <w:sz w:val="18"/>
                      <w:szCs w:val="18"/>
                      <w:u w:val="none"/>
                      <w:lang w:eastAsia="zh-CN"/>
                    </w:rPr>
                  </w:pPr>
                  <w:r>
                    <w:rPr>
                      <w:rFonts w:hint="eastAsia" w:ascii="宋体" w:hAnsi="宋体" w:cs="宋体"/>
                      <w:kern w:val="0"/>
                      <w:sz w:val="18"/>
                      <w:szCs w:val="18"/>
                      <w:u w:val="none"/>
                    </w:rPr>
                    <w:t>噪声预测值</w:t>
                  </w:r>
                  <w:r>
                    <w:rPr>
                      <w:rFonts w:hint="eastAsia" w:ascii="宋体" w:hAnsi="宋体" w:cs="宋体"/>
                      <w:kern w:val="0"/>
                      <w:sz w:val="18"/>
                      <w:szCs w:val="18"/>
                      <w:u w:val="none"/>
                      <w:lang w:eastAsia="zh-CN"/>
                    </w:rPr>
                    <w:t>（</w:t>
                  </w:r>
                  <w:r>
                    <w:rPr>
                      <w:rFonts w:hint="eastAsia" w:ascii="宋体" w:hAnsi="宋体" w:cs="宋体"/>
                      <w:kern w:val="0"/>
                      <w:sz w:val="18"/>
                      <w:szCs w:val="18"/>
                      <w:u w:val="none"/>
                      <w:lang w:val="en-US" w:eastAsia="zh-CN"/>
                    </w:rPr>
                    <w:t>叠加背景值</w:t>
                  </w:r>
                  <w:r>
                    <w:rPr>
                      <w:rFonts w:hint="eastAsia" w:ascii="宋体" w:hAnsi="宋体" w:cs="宋体"/>
                      <w:kern w:val="0"/>
                      <w:sz w:val="18"/>
                      <w:szCs w:val="18"/>
                      <w:u w:val="none"/>
                      <w:lang w:eastAsia="zh-CN"/>
                    </w:rPr>
                    <w:t>）</w:t>
                  </w:r>
                </w:p>
              </w:tc>
            </w:tr>
            <w:tr w14:paraId="274053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vMerge w:val="continue"/>
                  <w:tcBorders>
                    <w:tl2br w:val="nil"/>
                    <w:tr2bl w:val="nil"/>
                  </w:tcBorders>
                  <w:vAlign w:val="center"/>
                </w:tcPr>
                <w:p w14:paraId="38BCE4FA">
                  <w:pPr>
                    <w:widowControl/>
                    <w:jc w:val="left"/>
                    <w:rPr>
                      <w:rFonts w:ascii="宋体" w:hAnsi="宋体" w:cs="宋体"/>
                      <w:kern w:val="0"/>
                      <w:sz w:val="18"/>
                      <w:szCs w:val="18"/>
                      <w:u w:val="none"/>
                    </w:rPr>
                  </w:pPr>
                </w:p>
              </w:tc>
              <w:tc>
                <w:tcPr>
                  <w:tcW w:w="1408" w:type="dxa"/>
                  <w:vMerge w:val="continue"/>
                  <w:tcBorders>
                    <w:tl2br w:val="nil"/>
                    <w:tr2bl w:val="nil"/>
                  </w:tcBorders>
                  <w:vAlign w:val="center"/>
                </w:tcPr>
                <w:p w14:paraId="268D0180">
                  <w:pPr>
                    <w:widowControl/>
                    <w:jc w:val="left"/>
                    <w:rPr>
                      <w:rFonts w:ascii="宋体" w:hAnsi="宋体" w:cs="宋体"/>
                      <w:kern w:val="0"/>
                      <w:sz w:val="18"/>
                      <w:szCs w:val="18"/>
                      <w:u w:val="none"/>
                    </w:rPr>
                  </w:pPr>
                </w:p>
              </w:tc>
              <w:tc>
                <w:tcPr>
                  <w:tcW w:w="1169" w:type="dxa"/>
                  <w:vMerge w:val="continue"/>
                  <w:tcBorders>
                    <w:tl2br w:val="nil"/>
                    <w:tr2bl w:val="nil"/>
                  </w:tcBorders>
                  <w:vAlign w:val="center"/>
                </w:tcPr>
                <w:p w14:paraId="588EC627">
                  <w:pPr>
                    <w:widowControl/>
                    <w:jc w:val="left"/>
                    <w:rPr>
                      <w:rFonts w:ascii="宋体" w:hAnsi="宋体" w:cs="宋体"/>
                      <w:kern w:val="0"/>
                      <w:sz w:val="18"/>
                      <w:szCs w:val="18"/>
                      <w:u w:val="none"/>
                    </w:rPr>
                  </w:pPr>
                </w:p>
              </w:tc>
              <w:tc>
                <w:tcPr>
                  <w:tcW w:w="1408" w:type="dxa"/>
                  <w:tcBorders>
                    <w:tl2br w:val="nil"/>
                    <w:tr2bl w:val="nil"/>
                  </w:tcBorders>
                  <w:shd w:val="clear" w:color="auto" w:fill="auto"/>
                  <w:vAlign w:val="center"/>
                </w:tcPr>
                <w:p w14:paraId="606207BC">
                  <w:pPr>
                    <w:widowControl/>
                    <w:jc w:val="center"/>
                    <w:rPr>
                      <w:rFonts w:ascii="宋体" w:hAnsi="宋体" w:cs="宋体"/>
                      <w:kern w:val="0"/>
                      <w:sz w:val="18"/>
                      <w:szCs w:val="18"/>
                      <w:u w:val="none"/>
                    </w:rPr>
                  </w:pPr>
                  <w:r>
                    <w:rPr>
                      <w:rFonts w:hint="eastAsia" w:ascii="宋体" w:hAnsi="宋体" w:cs="宋体"/>
                      <w:kern w:val="0"/>
                      <w:sz w:val="18"/>
                      <w:szCs w:val="18"/>
                      <w:u w:val="none"/>
                    </w:rPr>
                    <w:t>昼间</w:t>
                  </w:r>
                </w:p>
              </w:tc>
              <w:tc>
                <w:tcPr>
                  <w:tcW w:w="1170" w:type="dxa"/>
                  <w:tcBorders>
                    <w:tl2br w:val="nil"/>
                    <w:tr2bl w:val="nil"/>
                  </w:tcBorders>
                  <w:shd w:val="clear" w:color="auto" w:fill="auto"/>
                  <w:vAlign w:val="center"/>
                </w:tcPr>
                <w:p w14:paraId="60AFBED0">
                  <w:pPr>
                    <w:widowControl/>
                    <w:jc w:val="center"/>
                    <w:rPr>
                      <w:rFonts w:ascii="宋体" w:hAnsi="宋体" w:cs="宋体"/>
                      <w:kern w:val="0"/>
                      <w:sz w:val="18"/>
                      <w:szCs w:val="18"/>
                      <w:u w:val="none"/>
                    </w:rPr>
                  </w:pPr>
                  <w:r>
                    <w:rPr>
                      <w:rFonts w:hint="eastAsia" w:ascii="宋体" w:hAnsi="宋体" w:cs="宋体"/>
                      <w:kern w:val="0"/>
                      <w:sz w:val="18"/>
                      <w:szCs w:val="18"/>
                      <w:u w:val="none"/>
                    </w:rPr>
                    <w:t>夜间</w:t>
                  </w:r>
                </w:p>
              </w:tc>
              <w:tc>
                <w:tcPr>
                  <w:tcW w:w="1170" w:type="dxa"/>
                  <w:tcBorders>
                    <w:tl2br w:val="nil"/>
                    <w:tr2bl w:val="nil"/>
                  </w:tcBorders>
                  <w:shd w:val="clear" w:color="auto" w:fill="auto"/>
                  <w:vAlign w:val="center"/>
                </w:tcPr>
                <w:p w14:paraId="3BDCD4C5">
                  <w:pPr>
                    <w:widowControl/>
                    <w:jc w:val="center"/>
                    <w:rPr>
                      <w:rFonts w:ascii="宋体" w:hAnsi="宋体" w:cs="宋体"/>
                      <w:kern w:val="0"/>
                      <w:sz w:val="18"/>
                      <w:szCs w:val="18"/>
                      <w:u w:val="none"/>
                    </w:rPr>
                  </w:pPr>
                  <w:r>
                    <w:rPr>
                      <w:rFonts w:hint="eastAsia" w:ascii="宋体" w:hAnsi="宋体" w:cs="宋体"/>
                      <w:kern w:val="0"/>
                      <w:sz w:val="18"/>
                      <w:szCs w:val="18"/>
                      <w:u w:val="none"/>
                    </w:rPr>
                    <w:t>昼间</w:t>
                  </w:r>
                </w:p>
              </w:tc>
              <w:tc>
                <w:tcPr>
                  <w:tcW w:w="1171" w:type="dxa"/>
                  <w:tcBorders>
                    <w:tl2br w:val="nil"/>
                    <w:tr2bl w:val="nil"/>
                  </w:tcBorders>
                  <w:shd w:val="clear" w:color="auto" w:fill="auto"/>
                  <w:vAlign w:val="center"/>
                </w:tcPr>
                <w:p w14:paraId="719792A5">
                  <w:pPr>
                    <w:widowControl/>
                    <w:jc w:val="center"/>
                    <w:rPr>
                      <w:rFonts w:ascii="宋体" w:hAnsi="宋体" w:cs="宋体"/>
                      <w:kern w:val="0"/>
                      <w:sz w:val="18"/>
                      <w:szCs w:val="18"/>
                      <w:u w:val="none"/>
                    </w:rPr>
                  </w:pPr>
                  <w:r>
                    <w:rPr>
                      <w:rFonts w:hint="eastAsia" w:ascii="宋体" w:hAnsi="宋体" w:cs="宋体"/>
                      <w:kern w:val="0"/>
                      <w:sz w:val="18"/>
                      <w:szCs w:val="18"/>
                      <w:u w:val="none"/>
                    </w:rPr>
                    <w:t>夜间</w:t>
                  </w:r>
                </w:p>
              </w:tc>
            </w:tr>
            <w:tr w14:paraId="1688EE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4C61FA3E">
                  <w:pPr>
                    <w:widowControl/>
                    <w:jc w:val="center"/>
                    <w:rPr>
                      <w:rFonts w:eastAsia="等线"/>
                      <w:kern w:val="0"/>
                      <w:sz w:val="18"/>
                      <w:szCs w:val="18"/>
                      <w:u w:val="none"/>
                    </w:rPr>
                  </w:pPr>
                  <w:r>
                    <w:rPr>
                      <w:rFonts w:eastAsia="等线"/>
                      <w:kern w:val="0"/>
                      <w:sz w:val="18"/>
                      <w:szCs w:val="18"/>
                      <w:u w:val="none"/>
                    </w:rPr>
                    <w:t>1</w:t>
                  </w:r>
                </w:p>
              </w:tc>
              <w:tc>
                <w:tcPr>
                  <w:tcW w:w="1408" w:type="dxa"/>
                  <w:tcBorders>
                    <w:tl2br w:val="nil"/>
                    <w:tr2bl w:val="nil"/>
                  </w:tcBorders>
                  <w:shd w:val="clear" w:color="auto" w:fill="auto"/>
                  <w:noWrap/>
                  <w:vAlign w:val="center"/>
                </w:tcPr>
                <w:p w14:paraId="2D59B9C4">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刘家湾居民</w:t>
                  </w:r>
                </w:p>
              </w:tc>
              <w:tc>
                <w:tcPr>
                  <w:tcW w:w="1169" w:type="dxa"/>
                  <w:tcBorders>
                    <w:tl2br w:val="nil"/>
                    <w:tr2bl w:val="nil"/>
                  </w:tcBorders>
                  <w:shd w:val="clear" w:color="auto" w:fill="auto"/>
                  <w:noWrap/>
                  <w:vAlign w:val="center"/>
                </w:tcPr>
                <w:p w14:paraId="71861575">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41.76</w:t>
                  </w:r>
                </w:p>
              </w:tc>
              <w:tc>
                <w:tcPr>
                  <w:tcW w:w="1408" w:type="dxa"/>
                  <w:tcBorders>
                    <w:tl2br w:val="nil"/>
                    <w:tr2bl w:val="nil"/>
                  </w:tcBorders>
                  <w:shd w:val="clear" w:color="auto" w:fill="auto"/>
                  <w:vAlign w:val="center"/>
                </w:tcPr>
                <w:p w14:paraId="60B665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6B79A6F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42.1</w:t>
                  </w:r>
                </w:p>
              </w:tc>
              <w:tc>
                <w:tcPr>
                  <w:tcW w:w="1170" w:type="dxa"/>
                  <w:tcBorders>
                    <w:tl2br w:val="nil"/>
                    <w:tr2bl w:val="nil"/>
                  </w:tcBorders>
                  <w:shd w:val="clear" w:color="auto" w:fill="auto"/>
                  <w:noWrap/>
                  <w:vAlign w:val="center"/>
                </w:tcPr>
                <w:p w14:paraId="0DCF9C7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49.92</w:t>
                  </w:r>
                </w:p>
              </w:tc>
              <w:tc>
                <w:tcPr>
                  <w:tcW w:w="1171" w:type="dxa"/>
                  <w:tcBorders>
                    <w:tl2br w:val="nil"/>
                    <w:tr2bl w:val="nil"/>
                  </w:tcBorders>
                  <w:shd w:val="clear" w:color="auto" w:fill="auto"/>
                  <w:noWrap/>
                  <w:vAlign w:val="center"/>
                </w:tcPr>
                <w:p w14:paraId="51052B6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44.94</w:t>
                  </w:r>
                </w:p>
              </w:tc>
            </w:tr>
            <w:tr w14:paraId="736744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49743481">
                  <w:pPr>
                    <w:widowControl/>
                    <w:jc w:val="center"/>
                    <w:rPr>
                      <w:rFonts w:eastAsia="等线"/>
                      <w:kern w:val="0"/>
                      <w:sz w:val="18"/>
                      <w:szCs w:val="18"/>
                      <w:u w:val="none"/>
                    </w:rPr>
                  </w:pPr>
                  <w:r>
                    <w:rPr>
                      <w:rFonts w:eastAsia="等线"/>
                      <w:kern w:val="0"/>
                      <w:sz w:val="18"/>
                      <w:szCs w:val="18"/>
                      <w:u w:val="none"/>
                    </w:rPr>
                    <w:t>2</w:t>
                  </w:r>
                </w:p>
              </w:tc>
              <w:tc>
                <w:tcPr>
                  <w:tcW w:w="1408" w:type="dxa"/>
                  <w:tcBorders>
                    <w:tl2br w:val="nil"/>
                    <w:tr2bl w:val="nil"/>
                  </w:tcBorders>
                  <w:shd w:val="clear" w:color="auto" w:fill="auto"/>
                  <w:noWrap/>
                  <w:vAlign w:val="center"/>
                </w:tcPr>
                <w:p w14:paraId="500A8535">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泉岭村居民</w:t>
                  </w:r>
                </w:p>
              </w:tc>
              <w:tc>
                <w:tcPr>
                  <w:tcW w:w="1169" w:type="dxa"/>
                  <w:tcBorders>
                    <w:tl2br w:val="nil"/>
                    <w:tr2bl w:val="nil"/>
                  </w:tcBorders>
                  <w:shd w:val="clear" w:color="auto" w:fill="auto"/>
                  <w:noWrap/>
                  <w:vAlign w:val="center"/>
                </w:tcPr>
                <w:p w14:paraId="75E6AFAD">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41.99</w:t>
                  </w:r>
                </w:p>
              </w:tc>
              <w:tc>
                <w:tcPr>
                  <w:tcW w:w="1408" w:type="dxa"/>
                  <w:tcBorders>
                    <w:tl2br w:val="nil"/>
                    <w:tr2bl w:val="nil"/>
                  </w:tcBorders>
                  <w:shd w:val="clear" w:color="auto" w:fill="auto"/>
                  <w:vAlign w:val="center"/>
                </w:tcPr>
                <w:p w14:paraId="5F51478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7AB6CA2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42.1</w:t>
                  </w:r>
                </w:p>
              </w:tc>
              <w:tc>
                <w:tcPr>
                  <w:tcW w:w="1170" w:type="dxa"/>
                  <w:tcBorders>
                    <w:tl2br w:val="nil"/>
                    <w:tr2bl w:val="nil"/>
                  </w:tcBorders>
                  <w:shd w:val="clear" w:color="auto" w:fill="auto"/>
                  <w:noWrap/>
                  <w:vAlign w:val="center"/>
                </w:tcPr>
                <w:p w14:paraId="6042F81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49.96</w:t>
                  </w:r>
                </w:p>
              </w:tc>
              <w:tc>
                <w:tcPr>
                  <w:tcW w:w="1171" w:type="dxa"/>
                  <w:tcBorders>
                    <w:tl2br w:val="nil"/>
                    <w:tr2bl w:val="nil"/>
                  </w:tcBorders>
                  <w:shd w:val="clear" w:color="auto" w:fill="auto"/>
                  <w:noWrap/>
                  <w:vAlign w:val="center"/>
                </w:tcPr>
                <w:p w14:paraId="4269776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45.06</w:t>
                  </w:r>
                </w:p>
              </w:tc>
            </w:tr>
            <w:tr w14:paraId="4D4232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15CA3EFA">
                  <w:pPr>
                    <w:widowControl/>
                    <w:jc w:val="center"/>
                    <w:rPr>
                      <w:rFonts w:eastAsia="等线"/>
                      <w:kern w:val="0"/>
                      <w:sz w:val="18"/>
                      <w:szCs w:val="18"/>
                      <w:u w:val="none"/>
                    </w:rPr>
                  </w:pPr>
                  <w:r>
                    <w:rPr>
                      <w:rFonts w:eastAsia="等线"/>
                      <w:kern w:val="0"/>
                      <w:sz w:val="18"/>
                      <w:szCs w:val="18"/>
                      <w:u w:val="none"/>
                    </w:rPr>
                    <w:t>3</w:t>
                  </w:r>
                </w:p>
              </w:tc>
              <w:tc>
                <w:tcPr>
                  <w:tcW w:w="1408" w:type="dxa"/>
                  <w:tcBorders>
                    <w:tl2br w:val="nil"/>
                    <w:tr2bl w:val="nil"/>
                  </w:tcBorders>
                  <w:shd w:val="clear" w:color="auto" w:fill="auto"/>
                  <w:noWrap/>
                  <w:vAlign w:val="center"/>
                </w:tcPr>
                <w:p w14:paraId="616E84DF">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下石岭居民</w:t>
                  </w:r>
                </w:p>
              </w:tc>
              <w:tc>
                <w:tcPr>
                  <w:tcW w:w="1169" w:type="dxa"/>
                  <w:tcBorders>
                    <w:tl2br w:val="nil"/>
                    <w:tr2bl w:val="nil"/>
                  </w:tcBorders>
                  <w:shd w:val="clear" w:color="auto" w:fill="auto"/>
                  <w:noWrap/>
                  <w:vAlign w:val="center"/>
                </w:tcPr>
                <w:p w14:paraId="6C78C027">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46.28</w:t>
                  </w:r>
                </w:p>
              </w:tc>
              <w:tc>
                <w:tcPr>
                  <w:tcW w:w="1408" w:type="dxa"/>
                  <w:tcBorders>
                    <w:tl2br w:val="nil"/>
                    <w:tr2bl w:val="nil"/>
                  </w:tcBorders>
                  <w:shd w:val="clear" w:color="auto" w:fill="auto"/>
                  <w:vAlign w:val="center"/>
                </w:tcPr>
                <w:p w14:paraId="66DBA2F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49.1</w:t>
                  </w:r>
                </w:p>
              </w:tc>
              <w:tc>
                <w:tcPr>
                  <w:tcW w:w="1170" w:type="dxa"/>
                  <w:tcBorders>
                    <w:tl2br w:val="nil"/>
                    <w:tr2bl w:val="nil"/>
                  </w:tcBorders>
                  <w:shd w:val="clear" w:color="auto" w:fill="auto"/>
                  <w:vAlign w:val="center"/>
                </w:tcPr>
                <w:p w14:paraId="50E9C3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42.3</w:t>
                  </w:r>
                </w:p>
              </w:tc>
              <w:tc>
                <w:tcPr>
                  <w:tcW w:w="1170" w:type="dxa"/>
                  <w:tcBorders>
                    <w:tl2br w:val="nil"/>
                    <w:tr2bl w:val="nil"/>
                  </w:tcBorders>
                  <w:shd w:val="clear" w:color="auto" w:fill="auto"/>
                  <w:noWrap/>
                  <w:vAlign w:val="center"/>
                </w:tcPr>
                <w:p w14:paraId="1CCA388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50.93</w:t>
                  </w:r>
                </w:p>
              </w:tc>
              <w:tc>
                <w:tcPr>
                  <w:tcW w:w="1171" w:type="dxa"/>
                  <w:tcBorders>
                    <w:tl2br w:val="nil"/>
                    <w:tr2bl w:val="nil"/>
                  </w:tcBorders>
                  <w:shd w:val="clear" w:color="auto" w:fill="auto"/>
                  <w:noWrap/>
                  <w:vAlign w:val="center"/>
                </w:tcPr>
                <w:p w14:paraId="4A47750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47.74</w:t>
                  </w:r>
                </w:p>
              </w:tc>
            </w:tr>
            <w:tr w14:paraId="35FF6D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7D272E8C">
                  <w:pPr>
                    <w:widowControl/>
                    <w:jc w:val="center"/>
                    <w:rPr>
                      <w:rFonts w:eastAsia="等线"/>
                      <w:kern w:val="0"/>
                      <w:sz w:val="18"/>
                      <w:szCs w:val="18"/>
                      <w:u w:val="none"/>
                    </w:rPr>
                  </w:pPr>
                  <w:r>
                    <w:rPr>
                      <w:rFonts w:eastAsia="等线"/>
                      <w:kern w:val="0"/>
                      <w:sz w:val="18"/>
                      <w:szCs w:val="18"/>
                      <w:u w:val="none"/>
                    </w:rPr>
                    <w:t>4</w:t>
                  </w:r>
                </w:p>
              </w:tc>
              <w:tc>
                <w:tcPr>
                  <w:tcW w:w="1408" w:type="dxa"/>
                  <w:tcBorders>
                    <w:tl2br w:val="nil"/>
                    <w:tr2bl w:val="nil"/>
                  </w:tcBorders>
                  <w:shd w:val="clear" w:color="auto" w:fill="auto"/>
                  <w:noWrap/>
                  <w:vAlign w:val="center"/>
                </w:tcPr>
                <w:p w14:paraId="42B1E20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大屋岭居民</w:t>
                  </w:r>
                </w:p>
              </w:tc>
              <w:tc>
                <w:tcPr>
                  <w:tcW w:w="1169" w:type="dxa"/>
                  <w:tcBorders>
                    <w:tl2br w:val="nil"/>
                    <w:tr2bl w:val="nil"/>
                  </w:tcBorders>
                  <w:shd w:val="clear" w:color="auto" w:fill="auto"/>
                  <w:noWrap/>
                  <w:vAlign w:val="center"/>
                </w:tcPr>
                <w:p w14:paraId="672F7A1A">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38.66</w:t>
                  </w:r>
                </w:p>
              </w:tc>
              <w:tc>
                <w:tcPr>
                  <w:tcW w:w="1408" w:type="dxa"/>
                  <w:tcBorders>
                    <w:tl2br w:val="nil"/>
                    <w:tr2bl w:val="nil"/>
                  </w:tcBorders>
                  <w:shd w:val="clear" w:color="auto" w:fill="auto"/>
                  <w:vAlign w:val="center"/>
                </w:tcPr>
                <w:p w14:paraId="7F2B28F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5DE3B92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41.5</w:t>
                  </w:r>
                </w:p>
              </w:tc>
              <w:tc>
                <w:tcPr>
                  <w:tcW w:w="1170" w:type="dxa"/>
                  <w:tcBorders>
                    <w:tl2br w:val="nil"/>
                    <w:tr2bl w:val="nil"/>
                  </w:tcBorders>
                  <w:shd w:val="clear" w:color="auto" w:fill="auto"/>
                  <w:noWrap/>
                  <w:vAlign w:val="center"/>
                </w:tcPr>
                <w:p w14:paraId="2D54300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49.57</w:t>
                  </w:r>
                </w:p>
              </w:tc>
              <w:tc>
                <w:tcPr>
                  <w:tcW w:w="1171" w:type="dxa"/>
                  <w:tcBorders>
                    <w:tl2br w:val="nil"/>
                    <w:tr2bl w:val="nil"/>
                  </w:tcBorders>
                  <w:shd w:val="clear" w:color="auto" w:fill="auto"/>
                  <w:noWrap/>
                  <w:vAlign w:val="center"/>
                </w:tcPr>
                <w:p w14:paraId="0A25116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kern w:val="2"/>
                      <w:sz w:val="18"/>
                      <w:szCs w:val="18"/>
                      <w:u w:val="none"/>
                      <w:lang w:val="en-US" w:eastAsia="zh-CN" w:bidi="ar-SA"/>
                    </w:rPr>
                  </w:pPr>
                  <w:r>
                    <w:rPr>
                      <w:rFonts w:hint="eastAsia" w:cs="Times New Roman"/>
                      <w:kern w:val="2"/>
                      <w:sz w:val="18"/>
                      <w:szCs w:val="18"/>
                      <w:u w:val="none"/>
                      <w:lang w:val="en-US" w:eastAsia="zh-CN" w:bidi="ar-SA"/>
                    </w:rPr>
                    <w:t>43.32</w:t>
                  </w:r>
                </w:p>
              </w:tc>
            </w:tr>
            <w:tr w14:paraId="183470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 w:hRule="atLeast"/>
              </w:trPr>
              <w:tc>
                <w:tcPr>
                  <w:tcW w:w="813" w:type="dxa"/>
                  <w:tcBorders>
                    <w:tl2br w:val="nil"/>
                    <w:tr2bl w:val="nil"/>
                  </w:tcBorders>
                  <w:shd w:val="clear" w:color="auto" w:fill="auto"/>
                  <w:noWrap/>
                  <w:vAlign w:val="center"/>
                </w:tcPr>
                <w:p w14:paraId="3FD19556">
                  <w:pPr>
                    <w:widowControl/>
                    <w:jc w:val="center"/>
                    <w:rPr>
                      <w:rFonts w:hint="eastAsia" w:eastAsia="等线"/>
                      <w:kern w:val="0"/>
                      <w:sz w:val="18"/>
                      <w:szCs w:val="18"/>
                      <w:u w:val="none"/>
                      <w:lang w:val="en-US" w:eastAsia="zh-CN"/>
                    </w:rPr>
                  </w:pPr>
                  <w:r>
                    <w:rPr>
                      <w:rFonts w:hint="eastAsia" w:eastAsia="等线"/>
                      <w:kern w:val="0"/>
                      <w:sz w:val="18"/>
                      <w:szCs w:val="18"/>
                      <w:u w:val="none"/>
                      <w:lang w:val="en-US" w:eastAsia="zh-CN"/>
                    </w:rPr>
                    <w:t>5</w:t>
                  </w:r>
                </w:p>
              </w:tc>
              <w:tc>
                <w:tcPr>
                  <w:tcW w:w="1408" w:type="dxa"/>
                  <w:tcBorders>
                    <w:tl2br w:val="nil"/>
                    <w:tr2bl w:val="nil"/>
                  </w:tcBorders>
                  <w:shd w:val="clear" w:color="auto" w:fill="auto"/>
                  <w:noWrap/>
                  <w:vAlign w:val="center"/>
                </w:tcPr>
                <w:p w14:paraId="29EA922C">
                  <w:pPr>
                    <w:widowControl/>
                    <w:adjustRightInd w:val="0"/>
                    <w:snapToGrid w:val="0"/>
                    <w:jc w:val="center"/>
                    <w:rPr>
                      <w:rFonts w:ascii="Times New Roman" w:hAnsi="Times New Roman" w:eastAsia="宋体" w:cs="Times New Roman"/>
                      <w:kern w:val="0"/>
                      <w:sz w:val="18"/>
                      <w:szCs w:val="18"/>
                      <w:u w:val="none"/>
                      <w:lang w:val="en-US" w:eastAsia="zh-CN" w:bidi="ar-SA"/>
                    </w:rPr>
                  </w:pPr>
                  <w:r>
                    <w:rPr>
                      <w:rFonts w:hint="eastAsia"/>
                      <w:kern w:val="0"/>
                      <w:sz w:val="18"/>
                      <w:szCs w:val="18"/>
                      <w:u w:val="none"/>
                      <w:lang w:val="en-US" w:eastAsia="zh-CN"/>
                    </w:rPr>
                    <w:t>乌龟冲居民</w:t>
                  </w:r>
                </w:p>
              </w:tc>
              <w:tc>
                <w:tcPr>
                  <w:tcW w:w="1169" w:type="dxa"/>
                  <w:tcBorders>
                    <w:tl2br w:val="nil"/>
                    <w:tr2bl w:val="nil"/>
                  </w:tcBorders>
                  <w:shd w:val="clear" w:color="auto" w:fill="auto"/>
                  <w:noWrap/>
                  <w:vAlign w:val="center"/>
                </w:tcPr>
                <w:p w14:paraId="4D47A17F">
                  <w:pPr>
                    <w:widowControl/>
                    <w:jc w:val="center"/>
                    <w:rPr>
                      <w:rFonts w:hint="default" w:eastAsia="等线"/>
                      <w:kern w:val="0"/>
                      <w:sz w:val="18"/>
                      <w:szCs w:val="18"/>
                      <w:u w:val="none"/>
                      <w:lang w:val="en-US" w:eastAsia="zh-CN"/>
                    </w:rPr>
                  </w:pPr>
                  <w:r>
                    <w:rPr>
                      <w:rFonts w:hint="eastAsia" w:eastAsia="等线"/>
                      <w:kern w:val="0"/>
                      <w:sz w:val="18"/>
                      <w:szCs w:val="18"/>
                      <w:u w:val="none"/>
                      <w:lang w:val="en-US" w:eastAsia="zh-CN"/>
                    </w:rPr>
                    <w:t>42.65</w:t>
                  </w:r>
                </w:p>
              </w:tc>
              <w:tc>
                <w:tcPr>
                  <w:tcW w:w="1408" w:type="dxa"/>
                  <w:tcBorders>
                    <w:tl2br w:val="nil"/>
                    <w:tr2bl w:val="nil"/>
                  </w:tcBorders>
                  <w:shd w:val="clear" w:color="auto" w:fill="auto"/>
                  <w:vAlign w:val="center"/>
                </w:tcPr>
                <w:p w14:paraId="6B70F47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49.2</w:t>
                  </w:r>
                </w:p>
              </w:tc>
              <w:tc>
                <w:tcPr>
                  <w:tcW w:w="1170" w:type="dxa"/>
                  <w:tcBorders>
                    <w:tl2br w:val="nil"/>
                    <w:tr2bl w:val="nil"/>
                  </w:tcBorders>
                  <w:shd w:val="clear" w:color="auto" w:fill="auto"/>
                  <w:vAlign w:val="center"/>
                </w:tcPr>
                <w:p w14:paraId="461A711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41.5</w:t>
                  </w:r>
                </w:p>
              </w:tc>
              <w:tc>
                <w:tcPr>
                  <w:tcW w:w="1170" w:type="dxa"/>
                  <w:tcBorders>
                    <w:tl2br w:val="nil"/>
                    <w:tr2bl w:val="nil"/>
                  </w:tcBorders>
                  <w:shd w:val="clear" w:color="auto" w:fill="auto"/>
                  <w:noWrap/>
                  <w:vAlign w:val="center"/>
                </w:tcPr>
                <w:p w14:paraId="717A424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50.07</w:t>
                  </w:r>
                </w:p>
              </w:tc>
              <w:tc>
                <w:tcPr>
                  <w:tcW w:w="1171" w:type="dxa"/>
                  <w:tcBorders>
                    <w:tl2br w:val="nil"/>
                    <w:tr2bl w:val="nil"/>
                  </w:tcBorders>
                  <w:shd w:val="clear" w:color="auto" w:fill="auto"/>
                  <w:noWrap/>
                  <w:vAlign w:val="center"/>
                </w:tcPr>
                <w:p w14:paraId="309EE32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kern w:val="2"/>
                      <w:sz w:val="18"/>
                      <w:szCs w:val="18"/>
                      <w:u w:val="none"/>
                      <w:lang w:val="en-US" w:eastAsia="zh-CN" w:bidi="ar-SA"/>
                    </w:rPr>
                  </w:pPr>
                  <w:r>
                    <w:rPr>
                      <w:rFonts w:hint="eastAsia" w:cs="Times New Roman"/>
                      <w:kern w:val="2"/>
                      <w:sz w:val="18"/>
                      <w:szCs w:val="18"/>
                      <w:u w:val="none"/>
                      <w:lang w:val="en-US" w:eastAsia="zh-CN" w:bidi="ar-SA"/>
                    </w:rPr>
                    <w:t>45.13</w:t>
                  </w:r>
                </w:p>
              </w:tc>
            </w:tr>
          </w:tbl>
          <w:p w14:paraId="5AA510C6">
            <w:pPr>
              <w:pStyle w:val="61"/>
              <w:ind w:firstLine="480"/>
              <w:rPr>
                <w:rFonts w:hint="eastAsia" w:hAnsi="宋体" w:cs="Times New Roman"/>
                <w:color w:val="FF0000"/>
                <w:spacing w:val="0"/>
                <w:kern w:val="2"/>
                <w:szCs w:val="20"/>
              </w:rPr>
            </w:pPr>
            <w:r>
              <w:rPr>
                <w:rFonts w:hint="eastAsia" w:hAnsi="宋体" w:cs="Times New Roman"/>
                <w:color w:val="FF0000"/>
                <w:spacing w:val="0"/>
                <w:kern w:val="2"/>
                <w:szCs w:val="20"/>
              </w:rPr>
              <w:t>根据噪声预测结果可知，本项目周边5</w:t>
            </w:r>
            <w:r>
              <w:rPr>
                <w:rFonts w:hAnsi="宋体" w:cs="Times New Roman"/>
                <w:color w:val="FF0000"/>
                <w:spacing w:val="0"/>
                <w:kern w:val="2"/>
                <w:szCs w:val="20"/>
              </w:rPr>
              <w:t>00</w:t>
            </w:r>
            <w:r>
              <w:rPr>
                <w:rFonts w:hint="eastAsia" w:hAnsi="宋体" w:cs="Times New Roman"/>
                <w:color w:val="FF0000"/>
                <w:spacing w:val="0"/>
                <w:kern w:val="2"/>
                <w:szCs w:val="20"/>
              </w:rPr>
              <w:t>m范围居民点噪声预测结果均满足</w:t>
            </w:r>
            <w:r>
              <w:rPr>
                <w:rFonts w:hAnsi="宋体" w:cs="Times New Roman"/>
                <w:color w:val="FF0000"/>
                <w:spacing w:val="0"/>
                <w:kern w:val="2"/>
                <w:szCs w:val="20"/>
              </w:rPr>
              <w:t>《声环境质量标准》（GB3096-2008）中2类标准</w:t>
            </w:r>
            <w:r>
              <w:rPr>
                <w:rFonts w:hint="eastAsia" w:hAnsi="宋体" w:cs="Times New Roman"/>
                <w:color w:val="FF0000"/>
                <w:spacing w:val="0"/>
                <w:kern w:val="2"/>
                <w:szCs w:val="20"/>
              </w:rPr>
              <w:t>要求（昼间</w:t>
            </w:r>
            <w:r>
              <w:rPr>
                <w:rFonts w:hAnsi="宋体" w:cs="Times New Roman"/>
                <w:color w:val="FF0000"/>
                <w:spacing w:val="0"/>
                <w:kern w:val="2"/>
                <w:szCs w:val="20"/>
              </w:rPr>
              <w:t>60dB</w:t>
            </w:r>
            <w:r>
              <w:rPr>
                <w:rFonts w:hint="eastAsia" w:hAnsi="宋体" w:cs="Times New Roman"/>
                <w:color w:val="FF0000"/>
                <w:spacing w:val="0"/>
                <w:kern w:val="2"/>
                <w:szCs w:val="20"/>
                <w:lang w:eastAsia="zh-CN"/>
              </w:rPr>
              <w:t>、</w:t>
            </w:r>
            <w:r>
              <w:rPr>
                <w:rFonts w:hint="eastAsia" w:hAnsi="宋体" w:cs="Times New Roman"/>
                <w:color w:val="FF0000"/>
                <w:spacing w:val="0"/>
                <w:kern w:val="2"/>
                <w:szCs w:val="20"/>
              </w:rPr>
              <w:t>夜间5</w:t>
            </w:r>
            <w:r>
              <w:rPr>
                <w:rFonts w:hAnsi="宋体" w:cs="Times New Roman"/>
                <w:color w:val="FF0000"/>
                <w:spacing w:val="0"/>
                <w:kern w:val="2"/>
                <w:szCs w:val="20"/>
              </w:rPr>
              <w:t>0</w:t>
            </w:r>
            <w:r>
              <w:rPr>
                <w:rFonts w:hint="eastAsia" w:hAnsi="宋体" w:cs="Times New Roman"/>
                <w:color w:val="FF0000"/>
                <w:spacing w:val="0"/>
                <w:kern w:val="2"/>
                <w:szCs w:val="20"/>
              </w:rPr>
              <w:t>dB）。</w:t>
            </w:r>
          </w:p>
          <w:p w14:paraId="6749425C">
            <w:pPr>
              <w:pStyle w:val="61"/>
              <w:ind w:firstLine="480"/>
              <w:rPr>
                <w:rFonts w:hint="default" w:hAnsi="宋体" w:eastAsia="宋体" w:cs="Times New Roman"/>
                <w:color w:val="FF0000"/>
                <w:spacing w:val="0"/>
                <w:kern w:val="2"/>
                <w:szCs w:val="20"/>
                <w:lang w:val="en-US" w:eastAsia="zh-CN"/>
              </w:rPr>
            </w:pPr>
            <w:r>
              <w:rPr>
                <w:rFonts w:hint="eastAsia" w:hAnsi="宋体" w:cs="Times New Roman"/>
                <w:color w:val="FF0000"/>
                <w:spacing w:val="0"/>
                <w:kern w:val="2"/>
                <w:szCs w:val="20"/>
                <w:lang w:eastAsia="zh-CN"/>
              </w:rPr>
              <w:t>（</w:t>
            </w:r>
            <w:r>
              <w:rPr>
                <w:rFonts w:hint="eastAsia" w:hAnsi="宋体" w:cs="Times New Roman"/>
                <w:color w:val="FF0000"/>
                <w:spacing w:val="0"/>
                <w:kern w:val="2"/>
                <w:szCs w:val="20"/>
                <w:lang w:val="en-US" w:eastAsia="zh-CN"/>
              </w:rPr>
              <w:t>6</w:t>
            </w:r>
            <w:r>
              <w:rPr>
                <w:rFonts w:hint="eastAsia" w:hAnsi="宋体" w:cs="Times New Roman"/>
                <w:color w:val="FF0000"/>
                <w:spacing w:val="0"/>
                <w:kern w:val="2"/>
                <w:szCs w:val="20"/>
                <w:lang w:eastAsia="zh-CN"/>
              </w:rPr>
              <w:t>）</w:t>
            </w:r>
            <w:r>
              <w:rPr>
                <w:rFonts w:hint="eastAsia" w:hAnsi="宋体" w:cs="Times New Roman"/>
                <w:color w:val="FF0000"/>
                <w:spacing w:val="0"/>
                <w:kern w:val="2"/>
                <w:szCs w:val="20"/>
                <w:lang w:val="en-US" w:eastAsia="zh-CN"/>
              </w:rPr>
              <w:t>等声值线图</w:t>
            </w:r>
          </w:p>
          <w:p w14:paraId="10BB6FCD">
            <w:pPr>
              <w:pStyle w:val="61"/>
              <w:ind w:firstLine="480"/>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t>本次环评采用环安噪声环境影响评价系统onlinV4对代表性机位噪声等声值线进行了绘制，具体如下：</w:t>
            </w:r>
          </w:p>
          <w:p w14:paraId="27ADF5EB">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5265" cy="2775585"/>
                  <wp:effectExtent l="0" t="0" r="635" b="5715"/>
                  <wp:docPr id="67" name="图片 67" descr="17117698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711769866578"/>
                          <pic:cNvPicPr>
                            <a:picLocks noChangeAspect="1"/>
                          </pic:cNvPicPr>
                        </pic:nvPicPr>
                        <pic:blipFill>
                          <a:blip r:embed="rId41"/>
                          <a:stretch>
                            <a:fillRect/>
                          </a:stretch>
                        </pic:blipFill>
                        <pic:spPr>
                          <a:xfrm>
                            <a:off x="0" y="0"/>
                            <a:ext cx="5295265" cy="2775585"/>
                          </a:xfrm>
                          <a:prstGeom prst="rect">
                            <a:avLst/>
                          </a:prstGeom>
                        </pic:spPr>
                      </pic:pic>
                    </a:graphicData>
                  </a:graphic>
                </wp:inline>
              </w:drawing>
            </w:r>
          </w:p>
          <w:p w14:paraId="3E8B0E81">
            <w:pPr>
              <w:pStyle w:val="61"/>
              <w:ind w:left="0" w:leftChars="0" w:firstLine="0" w:firstLineChars="0"/>
              <w:jc w:val="center"/>
              <w:rPr>
                <w:rFonts w:hint="default" w:hAnsi="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图4-2  计算软件截图</w:t>
            </w:r>
          </w:p>
          <w:p w14:paraId="4E4683C6">
            <w:pPr>
              <w:pStyle w:val="61"/>
              <w:ind w:firstLine="480"/>
              <w:rPr>
                <w:rFonts w:hint="default" w:hAnsi="宋体" w:cs="Times New Roman"/>
                <w:color w:val="FF0000"/>
                <w:spacing w:val="0"/>
                <w:kern w:val="2"/>
                <w:szCs w:val="20"/>
                <w:lang w:val="en-US" w:eastAsia="zh-CN"/>
              </w:rPr>
            </w:pPr>
            <w:r>
              <w:rPr>
                <w:rFonts w:hint="default" w:hAnsi="宋体" w:cs="Times New Roman"/>
                <w:color w:val="FF0000"/>
                <w:spacing w:val="0"/>
                <w:kern w:val="2"/>
                <w:szCs w:val="20"/>
                <w:lang w:val="en-US" w:eastAsia="zh-CN"/>
              </w:rPr>
              <w:t>①</w:t>
            </w:r>
            <w:r>
              <w:rPr>
                <w:rFonts w:hint="eastAsia" w:hAnsi="宋体" w:cs="Times New Roman"/>
                <w:color w:val="FF0000"/>
                <w:spacing w:val="0"/>
                <w:kern w:val="2"/>
                <w:szCs w:val="20"/>
                <w:lang w:val="en-US" w:eastAsia="zh-CN"/>
              </w:rPr>
              <w:t>DZ6风机点位对刘家湾居民和泉岭村居民的影响预测</w:t>
            </w:r>
          </w:p>
          <w:p w14:paraId="6353C24C">
            <w:pPr>
              <w:pStyle w:val="61"/>
              <w:ind w:firstLine="480"/>
              <w:rPr>
                <w:rFonts w:hint="eastAsia" w:hAnsi="宋体" w:cs="Times New Roman"/>
                <w:color w:val="FF0000"/>
                <w:spacing w:val="0"/>
                <w:kern w:val="2"/>
                <w:szCs w:val="20"/>
              </w:rPr>
            </w:pPr>
            <w:r>
              <w:rPr>
                <w:rFonts w:hint="eastAsia" w:hAnsi="宋体" w:cs="Times New Roman"/>
                <w:color w:val="FF0000"/>
                <w:spacing w:val="0"/>
                <w:kern w:val="2"/>
                <w:szCs w:val="20"/>
                <w:lang w:val="en-US" w:eastAsia="zh-CN"/>
              </w:rPr>
              <w:t>预测截图及贡献值等声值线图见图4-3。</w:t>
            </w:r>
          </w:p>
          <w:p w14:paraId="4F3F1E19">
            <w:pPr>
              <w:pStyle w:val="61"/>
              <w:ind w:left="0" w:leftChars="0" w:firstLine="0" w:firstLineChars="0"/>
              <w:rPr>
                <w:rFonts w:hint="eastAsia" w:hAnsi="宋体" w:eastAsia="宋体" w:cs="Times New Roman"/>
                <w:color w:val="auto"/>
                <w:spacing w:val="0"/>
                <w:kern w:val="2"/>
                <w:szCs w:val="20"/>
                <w:lang w:eastAsia="zh-CN"/>
              </w:rPr>
            </w:pPr>
            <w:r>
              <w:rPr>
                <w:rFonts w:hint="eastAsia" w:hAnsi="宋体" w:eastAsia="宋体" w:cs="Times New Roman"/>
                <w:color w:val="auto"/>
                <w:spacing w:val="0"/>
                <w:kern w:val="2"/>
                <w:szCs w:val="20"/>
                <w:lang w:eastAsia="zh-CN"/>
              </w:rPr>
              <w:drawing>
                <wp:inline distT="0" distB="0" distL="114300" distR="114300">
                  <wp:extent cx="5224145" cy="1192530"/>
                  <wp:effectExtent l="0" t="0" r="14605" b="7620"/>
                  <wp:docPr id="1" name="图片 1" descr="171176892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711768924649"/>
                          <pic:cNvPicPr>
                            <a:picLocks noChangeAspect="1"/>
                          </pic:cNvPicPr>
                        </pic:nvPicPr>
                        <pic:blipFill>
                          <a:blip r:embed="rId42"/>
                          <a:srcRect b="68845"/>
                          <a:stretch>
                            <a:fillRect/>
                          </a:stretch>
                        </pic:blipFill>
                        <pic:spPr>
                          <a:xfrm>
                            <a:off x="0" y="0"/>
                            <a:ext cx="5224145" cy="1192530"/>
                          </a:xfrm>
                          <a:prstGeom prst="rect">
                            <a:avLst/>
                          </a:prstGeom>
                        </pic:spPr>
                      </pic:pic>
                    </a:graphicData>
                  </a:graphic>
                </wp:inline>
              </w:drawing>
            </w:r>
          </w:p>
          <w:p w14:paraId="3423E221">
            <w:pPr>
              <w:pStyle w:val="61"/>
              <w:ind w:left="0" w:leftChars="0" w:firstLine="0" w:firstLineChars="0"/>
              <w:rPr>
                <w:rFonts w:hint="eastAsia" w:hAnsi="宋体" w:eastAsia="宋体" w:cs="Times New Roman"/>
                <w:color w:val="auto"/>
                <w:spacing w:val="0"/>
                <w:kern w:val="2"/>
                <w:szCs w:val="20"/>
                <w:lang w:eastAsia="zh-CN"/>
              </w:rPr>
            </w:pPr>
            <w:r>
              <w:rPr>
                <w:rFonts w:hint="eastAsia" w:hAnsi="宋体" w:eastAsia="宋体" w:cs="Times New Roman"/>
                <w:color w:val="auto"/>
                <w:spacing w:val="0"/>
                <w:kern w:val="2"/>
                <w:szCs w:val="20"/>
                <w:lang w:eastAsia="zh-CN"/>
              </w:rPr>
              <w:drawing>
                <wp:inline distT="0" distB="0" distL="114300" distR="114300">
                  <wp:extent cx="5292090" cy="1417955"/>
                  <wp:effectExtent l="0" t="0" r="3810" b="10795"/>
                  <wp:docPr id="5" name="图片 5" descr="171176898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11768982636"/>
                          <pic:cNvPicPr>
                            <a:picLocks noChangeAspect="1"/>
                          </pic:cNvPicPr>
                        </pic:nvPicPr>
                        <pic:blipFill>
                          <a:blip r:embed="rId43"/>
                          <a:srcRect b="63109"/>
                          <a:stretch>
                            <a:fillRect/>
                          </a:stretch>
                        </pic:blipFill>
                        <pic:spPr>
                          <a:xfrm>
                            <a:off x="0" y="0"/>
                            <a:ext cx="5292090" cy="1417955"/>
                          </a:xfrm>
                          <a:prstGeom prst="rect">
                            <a:avLst/>
                          </a:prstGeom>
                        </pic:spPr>
                      </pic:pic>
                    </a:graphicData>
                  </a:graphic>
                </wp:inline>
              </w:drawing>
            </w:r>
          </w:p>
          <w:p w14:paraId="3FAA5CC4">
            <w:pPr>
              <w:pStyle w:val="61"/>
              <w:ind w:left="0" w:leftChars="0" w:firstLine="0" w:firstLineChars="0"/>
              <w:rPr>
                <w:rFonts w:hint="eastAsia" w:hAnsi="宋体" w:eastAsia="宋体" w:cs="Times New Roman"/>
                <w:color w:val="auto"/>
                <w:spacing w:val="0"/>
                <w:kern w:val="2"/>
                <w:szCs w:val="20"/>
                <w:lang w:eastAsia="zh-CN"/>
              </w:rPr>
            </w:pPr>
            <w:r>
              <w:rPr>
                <w:rFonts w:hint="eastAsia" w:hAnsi="宋体" w:eastAsia="宋体" w:cs="Times New Roman"/>
                <w:color w:val="auto"/>
                <w:spacing w:val="0"/>
                <w:kern w:val="2"/>
                <w:szCs w:val="20"/>
                <w:lang w:eastAsia="zh-CN"/>
              </w:rPr>
              <w:drawing>
                <wp:inline distT="0" distB="0" distL="114300" distR="114300">
                  <wp:extent cx="5290185" cy="3630930"/>
                  <wp:effectExtent l="0" t="0" r="5715" b="7620"/>
                  <wp:docPr id="72" name="图片 72" descr="171177156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711771566977"/>
                          <pic:cNvPicPr>
                            <a:picLocks noChangeAspect="1"/>
                          </pic:cNvPicPr>
                        </pic:nvPicPr>
                        <pic:blipFill>
                          <a:blip r:embed="rId44"/>
                          <a:stretch>
                            <a:fillRect/>
                          </a:stretch>
                        </pic:blipFill>
                        <pic:spPr>
                          <a:xfrm>
                            <a:off x="0" y="0"/>
                            <a:ext cx="5290185" cy="3630930"/>
                          </a:xfrm>
                          <a:prstGeom prst="rect">
                            <a:avLst/>
                          </a:prstGeom>
                        </pic:spPr>
                      </pic:pic>
                    </a:graphicData>
                  </a:graphic>
                </wp:inline>
              </w:drawing>
            </w:r>
          </w:p>
          <w:p w14:paraId="16CD1D73">
            <w:pPr>
              <w:pStyle w:val="61"/>
              <w:ind w:left="0" w:leftChars="0" w:firstLine="0" w:firstLineChars="0"/>
              <w:jc w:val="center"/>
              <w:rPr>
                <w:rFonts w:hint="default" w:hAnsi="宋体" w:eastAsia="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图4-3  DZ6噪声贡献值等声值线图</w:t>
            </w:r>
          </w:p>
          <w:p w14:paraId="263D1E30">
            <w:pPr>
              <w:pStyle w:val="61"/>
              <w:ind w:firstLine="480"/>
              <w:rPr>
                <w:rFonts w:hint="eastAsia" w:hAnsi="宋体" w:cs="Times New Roman"/>
                <w:color w:val="FF0000"/>
                <w:spacing w:val="0"/>
                <w:kern w:val="2"/>
                <w:szCs w:val="20"/>
                <w:lang w:val="en-US" w:eastAsia="zh-CN"/>
              </w:rPr>
            </w:pPr>
            <w:r>
              <w:rPr>
                <w:rFonts w:hint="default" w:hAnsi="宋体" w:cs="Times New Roman"/>
                <w:color w:val="FF0000"/>
                <w:spacing w:val="0"/>
                <w:kern w:val="2"/>
                <w:szCs w:val="20"/>
                <w:lang w:val="en-US" w:eastAsia="zh-CN"/>
              </w:rPr>
              <w:t>②</w:t>
            </w:r>
            <w:r>
              <w:rPr>
                <w:rFonts w:hint="eastAsia" w:hAnsi="宋体" w:cs="Times New Roman"/>
                <w:color w:val="FF0000"/>
                <w:spacing w:val="0"/>
                <w:kern w:val="2"/>
                <w:szCs w:val="20"/>
                <w:lang w:val="en-US" w:eastAsia="zh-CN"/>
              </w:rPr>
              <w:t>DZ7、DZ8风机点位对下石岭居民的影响预测</w:t>
            </w:r>
          </w:p>
          <w:p w14:paraId="34AE35D2">
            <w:pPr>
              <w:pStyle w:val="61"/>
              <w:ind w:left="0" w:leftChars="0" w:firstLine="480" w:firstLineChars="200"/>
              <w:rPr>
                <w:rFonts w:hint="eastAsia" w:hAnsi="宋体" w:cs="Times New Roman"/>
                <w:color w:val="auto"/>
                <w:spacing w:val="0"/>
                <w:kern w:val="2"/>
                <w:szCs w:val="20"/>
                <w:lang w:val="en-US" w:eastAsia="zh-CN"/>
              </w:rPr>
            </w:pPr>
            <w:r>
              <w:rPr>
                <w:rFonts w:hint="eastAsia" w:hAnsi="宋体" w:cs="Times New Roman"/>
                <w:color w:val="FF0000"/>
                <w:spacing w:val="0"/>
                <w:kern w:val="2"/>
                <w:szCs w:val="20"/>
                <w:lang w:val="en-US" w:eastAsia="zh-CN"/>
              </w:rPr>
              <w:t>预测截图及贡献值等声值线图见图4-4。</w:t>
            </w:r>
          </w:p>
          <w:p w14:paraId="4BC7BE9B">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88915" cy="815340"/>
                  <wp:effectExtent l="0" t="0" r="6985" b="3810"/>
                  <wp:docPr id="70" name="图片 70" descr="171177131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711771318920"/>
                          <pic:cNvPicPr>
                            <a:picLocks noChangeAspect="1"/>
                          </pic:cNvPicPr>
                        </pic:nvPicPr>
                        <pic:blipFill>
                          <a:blip r:embed="rId45"/>
                          <a:stretch>
                            <a:fillRect/>
                          </a:stretch>
                        </pic:blipFill>
                        <pic:spPr>
                          <a:xfrm>
                            <a:off x="0" y="0"/>
                            <a:ext cx="5288915" cy="815340"/>
                          </a:xfrm>
                          <a:prstGeom prst="rect">
                            <a:avLst/>
                          </a:prstGeom>
                        </pic:spPr>
                      </pic:pic>
                    </a:graphicData>
                  </a:graphic>
                </wp:inline>
              </w:drawing>
            </w:r>
          </w:p>
          <w:p w14:paraId="41F3375D">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88915" cy="930910"/>
                  <wp:effectExtent l="0" t="0" r="6985" b="2540"/>
                  <wp:docPr id="71" name="图片 71" descr="171177133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711771338469"/>
                          <pic:cNvPicPr>
                            <a:picLocks noChangeAspect="1"/>
                          </pic:cNvPicPr>
                        </pic:nvPicPr>
                        <pic:blipFill>
                          <a:blip r:embed="rId46"/>
                          <a:stretch>
                            <a:fillRect/>
                          </a:stretch>
                        </pic:blipFill>
                        <pic:spPr>
                          <a:xfrm>
                            <a:off x="0" y="0"/>
                            <a:ext cx="5288915" cy="930910"/>
                          </a:xfrm>
                          <a:prstGeom prst="rect">
                            <a:avLst/>
                          </a:prstGeom>
                        </pic:spPr>
                      </pic:pic>
                    </a:graphicData>
                  </a:graphic>
                </wp:inline>
              </w:drawing>
            </w:r>
          </w:p>
          <w:p w14:paraId="742760F3">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94630" cy="3689350"/>
                  <wp:effectExtent l="0" t="0" r="1270" b="6350"/>
                  <wp:docPr id="69" name="图片 69" descr="171177127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711771275702"/>
                          <pic:cNvPicPr>
                            <a:picLocks noChangeAspect="1"/>
                          </pic:cNvPicPr>
                        </pic:nvPicPr>
                        <pic:blipFill>
                          <a:blip r:embed="rId47"/>
                          <a:stretch>
                            <a:fillRect/>
                          </a:stretch>
                        </pic:blipFill>
                        <pic:spPr>
                          <a:xfrm>
                            <a:off x="0" y="0"/>
                            <a:ext cx="5294630" cy="3689350"/>
                          </a:xfrm>
                          <a:prstGeom prst="rect">
                            <a:avLst/>
                          </a:prstGeom>
                        </pic:spPr>
                      </pic:pic>
                    </a:graphicData>
                  </a:graphic>
                </wp:inline>
              </w:drawing>
            </w:r>
          </w:p>
          <w:p w14:paraId="13C2A126">
            <w:pPr>
              <w:pStyle w:val="61"/>
              <w:ind w:left="0" w:leftChars="0" w:firstLine="0" w:firstLineChars="0"/>
              <w:jc w:val="center"/>
              <w:rPr>
                <w:rFonts w:hint="default" w:hAnsi="宋体" w:eastAsia="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图4-4  DZ7、DZ8噪声贡献值等声值线图</w:t>
            </w:r>
          </w:p>
          <w:p w14:paraId="2693AB6E">
            <w:pPr>
              <w:pStyle w:val="61"/>
              <w:ind w:firstLine="480"/>
              <w:rPr>
                <w:rFonts w:hint="eastAsia" w:hAnsi="宋体" w:cs="Times New Roman"/>
                <w:color w:val="FF0000"/>
                <w:spacing w:val="0"/>
                <w:kern w:val="2"/>
                <w:szCs w:val="20"/>
                <w:lang w:val="en-US" w:eastAsia="zh-CN"/>
              </w:rPr>
            </w:pPr>
            <w:r>
              <w:rPr>
                <w:rFonts w:hint="default" w:hAnsi="宋体" w:cs="Times New Roman"/>
                <w:color w:val="FF0000"/>
                <w:spacing w:val="0"/>
                <w:kern w:val="2"/>
                <w:szCs w:val="20"/>
                <w:lang w:val="en-US" w:eastAsia="zh-CN"/>
              </w:rPr>
              <w:t>③</w:t>
            </w:r>
            <w:r>
              <w:rPr>
                <w:rFonts w:hint="eastAsia" w:hAnsi="宋体" w:cs="Times New Roman"/>
                <w:color w:val="FF0000"/>
                <w:spacing w:val="0"/>
                <w:kern w:val="2"/>
                <w:szCs w:val="20"/>
                <w:lang w:val="en-US" w:eastAsia="zh-CN"/>
              </w:rPr>
              <w:t>DZ14风机点位对大屋岭居民的影响预测</w:t>
            </w:r>
          </w:p>
          <w:p w14:paraId="15046255">
            <w:pPr>
              <w:pStyle w:val="61"/>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t>预测截图及贡献值等声值线图见图4-5。</w:t>
            </w:r>
          </w:p>
          <w:p w14:paraId="21C682A4">
            <w:pPr>
              <w:pStyle w:val="61"/>
              <w:ind w:left="0" w:leftChars="0" w:firstLine="0" w:firstLineChars="0"/>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drawing>
                <wp:inline distT="0" distB="0" distL="114300" distR="114300">
                  <wp:extent cx="5293995" cy="846455"/>
                  <wp:effectExtent l="0" t="0" r="1905" b="10795"/>
                  <wp:docPr id="75" name="图片 75" descr="171177196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711771965582"/>
                          <pic:cNvPicPr>
                            <a:picLocks noChangeAspect="1"/>
                          </pic:cNvPicPr>
                        </pic:nvPicPr>
                        <pic:blipFill>
                          <a:blip r:embed="rId48"/>
                          <a:stretch>
                            <a:fillRect/>
                          </a:stretch>
                        </pic:blipFill>
                        <pic:spPr>
                          <a:xfrm>
                            <a:off x="0" y="0"/>
                            <a:ext cx="5293995" cy="846455"/>
                          </a:xfrm>
                          <a:prstGeom prst="rect">
                            <a:avLst/>
                          </a:prstGeom>
                        </pic:spPr>
                      </pic:pic>
                    </a:graphicData>
                  </a:graphic>
                </wp:inline>
              </w:drawing>
            </w:r>
          </w:p>
          <w:p w14:paraId="4A073C4D">
            <w:pPr>
              <w:pStyle w:val="61"/>
              <w:ind w:left="0" w:leftChars="0" w:firstLine="0" w:firstLineChars="0"/>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drawing>
                <wp:inline distT="0" distB="0" distL="114300" distR="114300">
                  <wp:extent cx="5288915" cy="854075"/>
                  <wp:effectExtent l="0" t="0" r="6985" b="3175"/>
                  <wp:docPr id="76" name="图片 76" descr="171177198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711771981138"/>
                          <pic:cNvPicPr>
                            <a:picLocks noChangeAspect="1"/>
                          </pic:cNvPicPr>
                        </pic:nvPicPr>
                        <pic:blipFill>
                          <a:blip r:embed="rId49"/>
                          <a:stretch>
                            <a:fillRect/>
                          </a:stretch>
                        </pic:blipFill>
                        <pic:spPr>
                          <a:xfrm>
                            <a:off x="0" y="0"/>
                            <a:ext cx="5288915" cy="854075"/>
                          </a:xfrm>
                          <a:prstGeom prst="rect">
                            <a:avLst/>
                          </a:prstGeom>
                        </pic:spPr>
                      </pic:pic>
                    </a:graphicData>
                  </a:graphic>
                </wp:inline>
              </w:drawing>
            </w:r>
          </w:p>
          <w:p w14:paraId="1A12BF0F">
            <w:pPr>
              <w:pStyle w:val="61"/>
              <w:ind w:left="0" w:leftChars="0" w:firstLine="0" w:firstLineChars="0"/>
              <w:rPr>
                <w:rFonts w:hint="eastAsia" w:hAnsi="宋体" w:cs="Times New Roman"/>
                <w:color w:val="FF0000"/>
                <w:spacing w:val="0"/>
                <w:kern w:val="2"/>
                <w:szCs w:val="20"/>
                <w:lang w:val="en-US" w:eastAsia="zh-CN"/>
              </w:rPr>
            </w:pPr>
          </w:p>
          <w:p w14:paraId="515B0CA6">
            <w:pPr>
              <w:pStyle w:val="61"/>
              <w:ind w:left="0" w:leftChars="0" w:firstLine="0" w:firstLineChars="0"/>
              <w:rPr>
                <w:rFonts w:hint="eastAsia" w:hAnsi="宋体" w:cs="Times New Roman"/>
                <w:color w:val="FF0000"/>
                <w:spacing w:val="0"/>
                <w:kern w:val="2"/>
                <w:szCs w:val="20"/>
                <w:lang w:val="en-US" w:eastAsia="zh-CN"/>
              </w:rPr>
            </w:pPr>
          </w:p>
          <w:p w14:paraId="0108EC9F">
            <w:pPr>
              <w:pStyle w:val="61"/>
              <w:ind w:left="0" w:leftChars="0" w:firstLine="0" w:firstLineChars="0"/>
              <w:rPr>
                <w:rFonts w:hint="default" w:hAnsi="宋体" w:cs="Times New Roman"/>
                <w:color w:val="FF0000"/>
                <w:spacing w:val="0"/>
                <w:kern w:val="2"/>
                <w:szCs w:val="20"/>
                <w:lang w:val="en-US" w:eastAsia="zh-CN"/>
              </w:rPr>
            </w:pPr>
          </w:p>
          <w:p w14:paraId="37060E44">
            <w:pPr>
              <w:pStyle w:val="61"/>
              <w:ind w:left="0" w:leftChars="0" w:firstLine="0" w:firstLineChars="0"/>
              <w:rPr>
                <w:rFonts w:hint="default" w:hAnsi="宋体" w:cs="Times New Roman"/>
                <w:color w:val="auto"/>
                <w:spacing w:val="0"/>
                <w:kern w:val="2"/>
                <w:szCs w:val="20"/>
                <w:lang w:val="en-US" w:eastAsia="zh-CN"/>
              </w:rPr>
            </w:pPr>
            <w:r>
              <w:rPr>
                <w:rFonts w:hint="default" w:hAnsi="宋体" w:cs="Times New Roman"/>
                <w:color w:val="auto"/>
                <w:spacing w:val="0"/>
                <w:kern w:val="2"/>
                <w:szCs w:val="20"/>
                <w:lang w:val="en-US" w:eastAsia="zh-CN"/>
              </w:rPr>
              <w:drawing>
                <wp:inline distT="0" distB="0" distL="114300" distR="114300">
                  <wp:extent cx="5288280" cy="4077970"/>
                  <wp:effectExtent l="0" t="0" r="7620" b="17780"/>
                  <wp:docPr id="74" name="图片 74" descr="171177191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711771917946"/>
                          <pic:cNvPicPr>
                            <a:picLocks noChangeAspect="1"/>
                          </pic:cNvPicPr>
                        </pic:nvPicPr>
                        <pic:blipFill>
                          <a:blip r:embed="rId50"/>
                          <a:stretch>
                            <a:fillRect/>
                          </a:stretch>
                        </pic:blipFill>
                        <pic:spPr>
                          <a:xfrm>
                            <a:off x="0" y="0"/>
                            <a:ext cx="5288280" cy="4077970"/>
                          </a:xfrm>
                          <a:prstGeom prst="rect">
                            <a:avLst/>
                          </a:prstGeom>
                        </pic:spPr>
                      </pic:pic>
                    </a:graphicData>
                  </a:graphic>
                </wp:inline>
              </w:drawing>
            </w:r>
          </w:p>
          <w:p w14:paraId="5A6513F0">
            <w:pPr>
              <w:pStyle w:val="61"/>
              <w:ind w:left="0" w:leftChars="0" w:firstLine="0" w:firstLineChars="0"/>
              <w:jc w:val="center"/>
              <w:rPr>
                <w:rFonts w:hint="default" w:hAnsi="宋体" w:eastAsia="宋体" w:cs="Times New Roman"/>
                <w:b/>
                <w:bCs/>
                <w:color w:val="auto"/>
                <w:spacing w:val="0"/>
                <w:kern w:val="2"/>
                <w:szCs w:val="20"/>
                <w:lang w:val="en-US" w:eastAsia="zh-CN"/>
              </w:rPr>
            </w:pPr>
            <w:r>
              <w:rPr>
                <w:rFonts w:hint="eastAsia" w:hAnsi="宋体" w:cs="Times New Roman"/>
                <w:b/>
                <w:bCs/>
                <w:color w:val="auto"/>
                <w:spacing w:val="0"/>
                <w:kern w:val="2"/>
                <w:szCs w:val="20"/>
                <w:lang w:val="en-US" w:eastAsia="zh-CN"/>
              </w:rPr>
              <w:t>图4-5  DZ14噪声贡献值等声值线图</w:t>
            </w:r>
          </w:p>
          <w:p w14:paraId="502AD247">
            <w:pPr>
              <w:pStyle w:val="61"/>
              <w:ind w:firstLine="480"/>
              <w:rPr>
                <w:rFonts w:hint="eastAsia" w:hAnsi="宋体" w:cs="Times New Roman"/>
                <w:color w:val="auto"/>
                <w:spacing w:val="0"/>
                <w:kern w:val="2"/>
                <w:szCs w:val="20"/>
                <w:lang w:val="en-US" w:eastAsia="zh-CN"/>
              </w:rPr>
            </w:pPr>
            <w:r>
              <w:rPr>
                <w:rFonts w:hint="default" w:hAnsi="宋体" w:cs="Times New Roman"/>
                <w:color w:val="FF0000"/>
                <w:spacing w:val="0"/>
                <w:kern w:val="2"/>
                <w:szCs w:val="20"/>
                <w:lang w:val="en-US" w:eastAsia="zh-CN"/>
              </w:rPr>
              <w:t>④</w:t>
            </w:r>
            <w:r>
              <w:rPr>
                <w:rFonts w:hint="eastAsia" w:hAnsi="宋体" w:cs="Times New Roman"/>
                <w:color w:val="FF0000"/>
                <w:spacing w:val="0"/>
                <w:kern w:val="2"/>
                <w:szCs w:val="20"/>
                <w:lang w:val="en-US" w:eastAsia="zh-CN"/>
              </w:rPr>
              <w:t>DZ22风机点位对乌龟冲居民的影响预测</w:t>
            </w:r>
          </w:p>
          <w:p w14:paraId="6478A33A">
            <w:pPr>
              <w:pStyle w:val="61"/>
              <w:rPr>
                <w:rFonts w:hint="eastAsia" w:hAnsi="宋体" w:cs="Times New Roman"/>
                <w:color w:val="FF0000"/>
                <w:spacing w:val="0"/>
                <w:kern w:val="2"/>
                <w:szCs w:val="20"/>
                <w:lang w:val="en-US" w:eastAsia="zh-CN"/>
              </w:rPr>
            </w:pPr>
            <w:r>
              <w:rPr>
                <w:rFonts w:hint="eastAsia" w:hAnsi="宋体" w:cs="Times New Roman"/>
                <w:color w:val="FF0000"/>
                <w:spacing w:val="0"/>
                <w:kern w:val="2"/>
                <w:szCs w:val="20"/>
                <w:lang w:val="en-US" w:eastAsia="zh-CN"/>
              </w:rPr>
              <w:t>预测截图及贡献值等声值线图见图4-6。</w:t>
            </w:r>
          </w:p>
          <w:p w14:paraId="6B8E1B7B">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0820" cy="920115"/>
                  <wp:effectExtent l="0" t="0" r="5080" b="13335"/>
                  <wp:docPr id="77" name="图片 77" descr="171177296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711772965423"/>
                          <pic:cNvPicPr>
                            <a:picLocks noChangeAspect="1"/>
                          </pic:cNvPicPr>
                        </pic:nvPicPr>
                        <pic:blipFill>
                          <a:blip r:embed="rId51"/>
                          <a:stretch>
                            <a:fillRect/>
                          </a:stretch>
                        </pic:blipFill>
                        <pic:spPr>
                          <a:xfrm>
                            <a:off x="0" y="0"/>
                            <a:ext cx="5290820" cy="920115"/>
                          </a:xfrm>
                          <a:prstGeom prst="rect">
                            <a:avLst/>
                          </a:prstGeom>
                        </pic:spPr>
                      </pic:pic>
                    </a:graphicData>
                  </a:graphic>
                </wp:inline>
              </w:drawing>
            </w:r>
          </w:p>
          <w:p w14:paraId="6E5BD546">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0820" cy="989330"/>
                  <wp:effectExtent l="0" t="0" r="5080" b="1270"/>
                  <wp:docPr id="78" name="图片 78" descr="171177298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11772987609"/>
                          <pic:cNvPicPr>
                            <a:picLocks noChangeAspect="1"/>
                          </pic:cNvPicPr>
                        </pic:nvPicPr>
                        <pic:blipFill>
                          <a:blip r:embed="rId52"/>
                          <a:stretch>
                            <a:fillRect/>
                          </a:stretch>
                        </pic:blipFill>
                        <pic:spPr>
                          <a:xfrm>
                            <a:off x="0" y="0"/>
                            <a:ext cx="5290820" cy="989330"/>
                          </a:xfrm>
                          <a:prstGeom prst="rect">
                            <a:avLst/>
                          </a:prstGeom>
                        </pic:spPr>
                      </pic:pic>
                    </a:graphicData>
                  </a:graphic>
                </wp:inline>
              </w:drawing>
            </w:r>
          </w:p>
          <w:p w14:paraId="318D204C">
            <w:pPr>
              <w:pStyle w:val="61"/>
              <w:ind w:left="0" w:leftChars="0" w:firstLine="0" w:firstLineChars="0"/>
              <w:rPr>
                <w:rFonts w:hint="eastAsia" w:hAnsi="宋体" w:cs="Times New Roman"/>
                <w:color w:val="auto"/>
                <w:spacing w:val="0"/>
                <w:kern w:val="2"/>
                <w:szCs w:val="20"/>
                <w:lang w:val="en-US" w:eastAsia="zh-CN"/>
              </w:rPr>
            </w:pPr>
          </w:p>
          <w:p w14:paraId="660C3AFD">
            <w:pPr>
              <w:pStyle w:val="61"/>
              <w:ind w:left="0" w:leftChars="0" w:firstLine="0" w:firstLineChars="0"/>
              <w:rPr>
                <w:rFonts w:hint="eastAsia" w:hAnsi="宋体" w:cs="Times New Roman"/>
                <w:color w:val="auto"/>
                <w:spacing w:val="0"/>
                <w:kern w:val="2"/>
                <w:szCs w:val="20"/>
                <w:lang w:val="en-US" w:eastAsia="zh-CN"/>
              </w:rPr>
            </w:pPr>
          </w:p>
          <w:p w14:paraId="62CDBCBD">
            <w:pPr>
              <w:pStyle w:val="61"/>
              <w:ind w:left="0" w:leftChars="0" w:firstLine="0" w:firstLineChars="0"/>
              <w:rPr>
                <w:rFonts w:hint="eastAsia" w:hAnsi="宋体" w:cs="Times New Roman"/>
                <w:color w:val="auto"/>
                <w:spacing w:val="0"/>
                <w:kern w:val="2"/>
                <w:szCs w:val="20"/>
                <w:lang w:val="en-US" w:eastAsia="zh-CN"/>
              </w:rPr>
            </w:pPr>
          </w:p>
          <w:p w14:paraId="51E8566C">
            <w:pPr>
              <w:pStyle w:val="61"/>
              <w:ind w:left="0" w:leftChars="0" w:firstLine="0" w:firstLineChars="0"/>
              <w:rPr>
                <w:rFonts w:hint="eastAsia" w:hAnsi="宋体" w:cs="Times New Roman"/>
                <w:color w:val="auto"/>
                <w:spacing w:val="0"/>
                <w:kern w:val="2"/>
                <w:szCs w:val="20"/>
                <w:lang w:val="en-US" w:eastAsia="zh-CN"/>
              </w:rPr>
            </w:pPr>
          </w:p>
          <w:p w14:paraId="5EFD15BB">
            <w:pPr>
              <w:pStyle w:val="61"/>
              <w:ind w:left="0" w:leftChars="0" w:firstLine="0" w:firstLineChars="0"/>
              <w:rPr>
                <w:rFonts w:hint="eastAsia" w:hAnsi="宋体" w:cs="Times New Roman"/>
                <w:color w:val="auto"/>
                <w:spacing w:val="0"/>
                <w:kern w:val="2"/>
                <w:szCs w:val="20"/>
                <w:lang w:val="en-US" w:eastAsia="zh-CN"/>
              </w:rPr>
            </w:pPr>
          </w:p>
          <w:p w14:paraId="0F39C4DA">
            <w:pPr>
              <w:pStyle w:val="61"/>
              <w:ind w:left="0" w:leftChars="0" w:firstLine="0" w:firstLineChars="0"/>
              <w:rPr>
                <w:rFonts w:hint="eastAsia" w:hAnsi="宋体" w:cs="Times New Roman"/>
                <w:color w:val="auto"/>
                <w:spacing w:val="0"/>
                <w:kern w:val="2"/>
                <w:szCs w:val="20"/>
                <w:lang w:val="en-US" w:eastAsia="zh-CN"/>
              </w:rPr>
            </w:pPr>
          </w:p>
          <w:p w14:paraId="76C34169">
            <w:pPr>
              <w:pStyle w:val="61"/>
              <w:ind w:left="0" w:leftChars="0" w:firstLine="0" w:firstLineChars="0"/>
              <w:rPr>
                <w:rFonts w:hint="eastAsia" w:hAnsi="宋体" w:cs="Times New Roman"/>
                <w:color w:val="auto"/>
                <w:spacing w:val="0"/>
                <w:kern w:val="2"/>
                <w:szCs w:val="20"/>
                <w:lang w:val="en-US" w:eastAsia="zh-CN"/>
              </w:rPr>
            </w:pPr>
            <w:r>
              <w:rPr>
                <w:rFonts w:hint="eastAsia" w:hAnsi="宋体" w:cs="Times New Roman"/>
                <w:color w:val="auto"/>
                <w:spacing w:val="0"/>
                <w:kern w:val="2"/>
                <w:szCs w:val="20"/>
                <w:lang w:val="en-US" w:eastAsia="zh-CN"/>
              </w:rPr>
              <w:drawing>
                <wp:inline distT="0" distB="0" distL="114300" distR="114300">
                  <wp:extent cx="5292725" cy="3787140"/>
                  <wp:effectExtent l="0" t="0" r="3175" b="3810"/>
                  <wp:docPr id="79" name="图片 79" descr="171177310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711773104047"/>
                          <pic:cNvPicPr>
                            <a:picLocks noChangeAspect="1"/>
                          </pic:cNvPicPr>
                        </pic:nvPicPr>
                        <pic:blipFill>
                          <a:blip r:embed="rId53"/>
                          <a:stretch>
                            <a:fillRect/>
                          </a:stretch>
                        </pic:blipFill>
                        <pic:spPr>
                          <a:xfrm>
                            <a:off x="0" y="0"/>
                            <a:ext cx="5292725" cy="3787140"/>
                          </a:xfrm>
                          <a:prstGeom prst="rect">
                            <a:avLst/>
                          </a:prstGeom>
                        </pic:spPr>
                      </pic:pic>
                    </a:graphicData>
                  </a:graphic>
                </wp:inline>
              </w:drawing>
            </w:r>
          </w:p>
          <w:p w14:paraId="7784698F">
            <w:pPr>
              <w:pStyle w:val="61"/>
              <w:ind w:left="0" w:leftChars="0" w:firstLine="0" w:firstLineChars="0"/>
              <w:jc w:val="center"/>
              <w:rPr>
                <w:rFonts w:hint="eastAsia" w:hAnsi="宋体" w:cs="Times New Roman"/>
                <w:color w:val="auto"/>
                <w:spacing w:val="0"/>
                <w:kern w:val="2"/>
                <w:szCs w:val="20"/>
              </w:rPr>
            </w:pPr>
            <w:r>
              <w:rPr>
                <w:rFonts w:hint="eastAsia" w:hAnsi="宋体" w:cs="Times New Roman"/>
                <w:b/>
                <w:bCs/>
                <w:color w:val="auto"/>
                <w:spacing w:val="0"/>
                <w:kern w:val="2"/>
                <w:szCs w:val="20"/>
                <w:lang w:val="en-US" w:eastAsia="zh-CN"/>
              </w:rPr>
              <w:t>图4-6  DZ22噪声贡献值等声值线图</w:t>
            </w:r>
          </w:p>
          <w:p w14:paraId="60C47B28">
            <w:pPr>
              <w:pStyle w:val="62"/>
              <w:ind w:firstLine="480"/>
              <w:rPr>
                <w:rFonts w:hAnsi="宋体" w:cs="Times New Roman"/>
              </w:rPr>
            </w:pPr>
            <w:r>
              <w:rPr>
                <w:rFonts w:hAnsi="宋体" w:cs="Times New Roman"/>
              </w:rPr>
              <w:t>（</w:t>
            </w:r>
            <w:r>
              <w:rPr>
                <w:rFonts w:hint="eastAsia" w:hAnsi="宋体" w:cs="Times New Roman"/>
                <w:lang w:val="en-US" w:eastAsia="zh-CN"/>
              </w:rPr>
              <w:t>7</w:t>
            </w:r>
            <w:r>
              <w:rPr>
                <w:rFonts w:hAnsi="宋体" w:cs="Times New Roman"/>
              </w:rPr>
              <w:t>）偏航系统运行单个风电机组突发噪声预测</w:t>
            </w:r>
          </w:p>
          <w:p w14:paraId="36E0654D">
            <w:pPr>
              <w:pStyle w:val="62"/>
              <w:ind w:firstLine="480"/>
              <w:rPr>
                <w:rFonts w:hAnsi="宋体" w:cs="Times New Roman"/>
              </w:rPr>
            </w:pPr>
            <w:r>
              <w:rPr>
                <w:rFonts w:hAnsi="宋体" w:cs="Times New Roman"/>
              </w:rPr>
              <w:t>偏航系统运行时噪声来源于刹车系统产生的刹车噪声、液压及润滑油冷却系统噪声。偏航系统运行单个风电机组突发噪声最大预</w:t>
            </w:r>
            <w:r>
              <w:rPr>
                <w:rFonts w:hint="eastAsia" w:hAnsi="宋体" w:cs="Times New Roman"/>
              </w:rPr>
              <w:t>测</w:t>
            </w:r>
            <w:r>
              <w:rPr>
                <w:rFonts w:hAnsi="宋体" w:cs="Times New Roman"/>
              </w:rPr>
              <w:t>值见</w:t>
            </w:r>
            <w:r>
              <w:rPr>
                <w:rFonts w:hint="eastAsia" w:hAnsi="宋体" w:cs="Times New Roman"/>
              </w:rPr>
              <w:t>下表</w:t>
            </w:r>
            <w:r>
              <w:rPr>
                <w:rFonts w:hAnsi="宋体" w:cs="Times New Roman"/>
              </w:rPr>
              <w:t>。</w:t>
            </w:r>
          </w:p>
          <w:p w14:paraId="283E94E9">
            <w:pPr>
              <w:pStyle w:val="62"/>
              <w:spacing w:line="240" w:lineRule="auto"/>
              <w:ind w:firstLine="0" w:firstLineChars="0"/>
              <w:jc w:val="center"/>
              <w:rPr>
                <w:rFonts w:hAnsi="宋体" w:cs="Times New Roman"/>
                <w:b/>
                <w:color w:val="FF0000"/>
                <w:sz w:val="21"/>
                <w:szCs w:val="21"/>
              </w:rPr>
            </w:pPr>
            <w:r>
              <w:rPr>
                <w:rFonts w:hAnsi="宋体" w:cs="Times New Roman"/>
                <w:b/>
                <w:bCs w:val="0"/>
                <w:color w:val="auto"/>
                <w:sz w:val="21"/>
                <w:szCs w:val="21"/>
              </w:rPr>
              <w:t>表</w:t>
            </w:r>
            <w:r>
              <w:rPr>
                <w:rFonts w:hint="eastAsia" w:hAnsi="宋体" w:cs="Times New Roman"/>
                <w:b/>
                <w:bCs w:val="0"/>
                <w:color w:val="auto"/>
                <w:sz w:val="21"/>
                <w:szCs w:val="21"/>
              </w:rPr>
              <w:t>4</w:t>
            </w:r>
            <w:r>
              <w:rPr>
                <w:rFonts w:hAnsi="宋体" w:cs="Times New Roman"/>
                <w:b/>
                <w:bCs w:val="0"/>
                <w:color w:val="auto"/>
                <w:sz w:val="21"/>
                <w:szCs w:val="21"/>
              </w:rPr>
              <w:t>-</w:t>
            </w:r>
            <w:r>
              <w:rPr>
                <w:rFonts w:hint="eastAsia" w:hAnsi="宋体" w:cs="Times New Roman"/>
                <w:b/>
                <w:bCs w:val="0"/>
                <w:color w:val="auto"/>
                <w:sz w:val="21"/>
                <w:szCs w:val="21"/>
                <w:lang w:val="en-US" w:eastAsia="zh-CN"/>
              </w:rPr>
              <w:t xml:space="preserve">9  </w:t>
            </w:r>
            <w:r>
              <w:rPr>
                <w:rFonts w:hAnsi="宋体" w:cs="Times New Roman"/>
                <w:b/>
                <w:bCs w:val="0"/>
                <w:color w:val="auto"/>
                <w:sz w:val="21"/>
                <w:szCs w:val="21"/>
              </w:rPr>
              <w:t>单个风电机组突发噪声衰减计算结果</w:t>
            </w:r>
          </w:p>
          <w:tbl>
            <w:tblPr>
              <w:tblStyle w:val="32"/>
              <w:tblW w:w="4954"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908"/>
              <w:gridCol w:w="755"/>
              <w:gridCol w:w="755"/>
              <w:gridCol w:w="755"/>
              <w:gridCol w:w="755"/>
              <w:gridCol w:w="755"/>
              <w:gridCol w:w="755"/>
              <w:gridCol w:w="755"/>
              <w:gridCol w:w="747"/>
            </w:tblGrid>
            <w:tr w14:paraId="1D8D9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5" w:type="pct"/>
                  <w:tcBorders>
                    <w:top w:val="single" w:color="auto" w:sz="12" w:space="0"/>
                    <w:left w:val="nil"/>
                  </w:tcBorders>
                  <w:shd w:val="clear" w:color="auto" w:fill="auto"/>
                  <w:vAlign w:val="center"/>
                </w:tcPr>
                <w:p w14:paraId="5BA27F1F">
                  <w:pPr>
                    <w:widowControl/>
                    <w:adjustRightInd w:val="0"/>
                    <w:snapToGrid w:val="0"/>
                    <w:jc w:val="center"/>
                    <w:rPr>
                      <w:rFonts w:hint="eastAsia" w:ascii="宋体" w:hAnsi="宋体" w:eastAsia="宋体" w:cs="宋体"/>
                      <w:kern w:val="0"/>
                      <w:sz w:val="18"/>
                      <w:szCs w:val="18"/>
                      <w:lang w:val="en-US" w:eastAsia="zh-CN" w:bidi="ar-SA"/>
                    </w:rPr>
                  </w:pPr>
                  <w:r>
                    <w:rPr>
                      <w:rFonts w:hint="eastAsia"/>
                      <w:sz w:val="18"/>
                      <w:szCs w:val="18"/>
                    </w:rPr>
                    <w:t>距声源水平距离</w:t>
                  </w:r>
                  <w:r>
                    <w:rPr>
                      <w:sz w:val="18"/>
                      <w:szCs w:val="18"/>
                    </w:rPr>
                    <w:t>r1</w:t>
                  </w:r>
                  <w:r>
                    <w:rPr>
                      <w:rFonts w:hint="eastAsia"/>
                      <w:sz w:val="18"/>
                      <w:szCs w:val="18"/>
                    </w:rPr>
                    <w:t>（</w:t>
                  </w:r>
                  <w:r>
                    <w:rPr>
                      <w:sz w:val="18"/>
                      <w:szCs w:val="18"/>
                    </w:rPr>
                    <w:t>m</w:t>
                  </w:r>
                  <w:r>
                    <w:rPr>
                      <w:rFonts w:hint="eastAsia"/>
                      <w:sz w:val="18"/>
                      <w:szCs w:val="18"/>
                    </w:rPr>
                    <w:t>）</w:t>
                  </w:r>
                </w:p>
              </w:tc>
              <w:tc>
                <w:tcPr>
                  <w:tcW w:w="550" w:type="pct"/>
                  <w:tcBorders>
                    <w:top w:val="single" w:color="auto" w:sz="12" w:space="0"/>
                  </w:tcBorders>
                  <w:shd w:val="clear" w:color="auto" w:fill="auto"/>
                  <w:vAlign w:val="center"/>
                </w:tcPr>
                <w:p w14:paraId="659A80CD">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50</w:t>
                  </w:r>
                </w:p>
              </w:tc>
              <w:tc>
                <w:tcPr>
                  <w:tcW w:w="457" w:type="pct"/>
                  <w:tcBorders>
                    <w:top w:val="single" w:color="auto" w:sz="12" w:space="0"/>
                  </w:tcBorders>
                  <w:shd w:val="clear" w:color="auto" w:fill="auto"/>
                  <w:vAlign w:val="center"/>
                </w:tcPr>
                <w:p w14:paraId="253AC21C">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100</w:t>
                  </w:r>
                </w:p>
              </w:tc>
              <w:tc>
                <w:tcPr>
                  <w:tcW w:w="457" w:type="pct"/>
                  <w:tcBorders>
                    <w:top w:val="single" w:color="auto" w:sz="12" w:space="0"/>
                  </w:tcBorders>
                  <w:shd w:val="clear" w:color="auto" w:fill="auto"/>
                  <w:vAlign w:val="center"/>
                </w:tcPr>
                <w:p w14:paraId="5F9CED46">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150</w:t>
                  </w:r>
                </w:p>
              </w:tc>
              <w:tc>
                <w:tcPr>
                  <w:tcW w:w="457" w:type="pct"/>
                  <w:tcBorders>
                    <w:top w:val="single" w:color="auto" w:sz="12" w:space="0"/>
                  </w:tcBorders>
                  <w:shd w:val="clear" w:color="auto" w:fill="auto"/>
                  <w:vAlign w:val="center"/>
                </w:tcPr>
                <w:p w14:paraId="337B2AD8">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200</w:t>
                  </w:r>
                </w:p>
              </w:tc>
              <w:tc>
                <w:tcPr>
                  <w:tcW w:w="457" w:type="pct"/>
                  <w:tcBorders>
                    <w:top w:val="single" w:color="auto" w:sz="12" w:space="0"/>
                  </w:tcBorders>
                  <w:shd w:val="clear" w:color="auto" w:fill="auto"/>
                  <w:vAlign w:val="center"/>
                </w:tcPr>
                <w:p w14:paraId="50CFA790">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250</w:t>
                  </w:r>
                </w:p>
              </w:tc>
              <w:tc>
                <w:tcPr>
                  <w:tcW w:w="457" w:type="pct"/>
                  <w:tcBorders>
                    <w:top w:val="single" w:color="auto" w:sz="12" w:space="0"/>
                  </w:tcBorders>
                  <w:shd w:val="clear" w:color="auto" w:fill="auto"/>
                  <w:vAlign w:val="center"/>
                </w:tcPr>
                <w:p w14:paraId="79D297C3">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300</w:t>
                  </w:r>
                </w:p>
              </w:tc>
              <w:tc>
                <w:tcPr>
                  <w:tcW w:w="457" w:type="pct"/>
                  <w:tcBorders>
                    <w:top w:val="single" w:color="auto" w:sz="12" w:space="0"/>
                  </w:tcBorders>
                  <w:shd w:val="clear" w:color="auto" w:fill="auto"/>
                  <w:vAlign w:val="center"/>
                </w:tcPr>
                <w:p w14:paraId="08E386BC">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350</w:t>
                  </w:r>
                </w:p>
              </w:tc>
              <w:tc>
                <w:tcPr>
                  <w:tcW w:w="457" w:type="pct"/>
                  <w:tcBorders>
                    <w:top w:val="single" w:color="auto" w:sz="12" w:space="0"/>
                  </w:tcBorders>
                  <w:shd w:val="clear" w:color="auto" w:fill="auto"/>
                  <w:vAlign w:val="center"/>
                </w:tcPr>
                <w:p w14:paraId="273B0B73">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400</w:t>
                  </w:r>
                </w:p>
              </w:tc>
              <w:tc>
                <w:tcPr>
                  <w:tcW w:w="452" w:type="pct"/>
                  <w:tcBorders>
                    <w:top w:val="single" w:color="auto" w:sz="12" w:space="0"/>
                    <w:right w:val="nil"/>
                  </w:tcBorders>
                  <w:shd w:val="clear" w:color="auto" w:fill="auto"/>
                  <w:vAlign w:val="center"/>
                </w:tcPr>
                <w:p w14:paraId="0A3481D6">
                  <w:pPr>
                    <w:widowControl/>
                    <w:adjustRightInd w:val="0"/>
                    <w:snapToGrid w:val="0"/>
                    <w:jc w:val="center"/>
                    <w:rPr>
                      <w:rFonts w:ascii="Times New Roman" w:hAnsi="Times New Roman" w:eastAsia="等线" w:cs="Times New Roman"/>
                      <w:kern w:val="0"/>
                      <w:sz w:val="18"/>
                      <w:szCs w:val="18"/>
                      <w:lang w:val="en-US" w:eastAsia="zh-CN" w:bidi="ar-SA"/>
                    </w:rPr>
                  </w:pPr>
                  <w:r>
                    <w:rPr>
                      <w:rFonts w:eastAsia="等线"/>
                      <w:sz w:val="18"/>
                      <w:szCs w:val="18"/>
                    </w:rPr>
                    <w:t>500</w:t>
                  </w:r>
                </w:p>
              </w:tc>
            </w:tr>
            <w:tr w14:paraId="1E5BC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5" w:type="pct"/>
                  <w:tcBorders>
                    <w:left w:val="nil"/>
                  </w:tcBorders>
                  <w:shd w:val="clear" w:color="auto" w:fill="auto"/>
                  <w:vAlign w:val="center"/>
                </w:tcPr>
                <w:p w14:paraId="1F6C4D90">
                  <w:pPr>
                    <w:widowControl/>
                    <w:adjustRightInd w:val="0"/>
                    <w:snapToGrid w:val="0"/>
                    <w:jc w:val="center"/>
                    <w:rPr>
                      <w:rFonts w:ascii="宋体" w:hAnsi="宋体" w:cs="宋体"/>
                      <w:kern w:val="0"/>
                      <w:sz w:val="18"/>
                      <w:szCs w:val="18"/>
                    </w:rPr>
                  </w:pPr>
                  <w:r>
                    <w:rPr>
                      <w:rFonts w:hint="eastAsia"/>
                      <w:sz w:val="18"/>
                      <w:szCs w:val="18"/>
                    </w:rPr>
                    <w:t>对应距声源几何距离</w:t>
                  </w:r>
                  <w:r>
                    <w:rPr>
                      <w:sz w:val="18"/>
                      <w:szCs w:val="18"/>
                    </w:rPr>
                    <w:t>r2</w:t>
                  </w:r>
                  <w:r>
                    <w:rPr>
                      <w:rFonts w:hint="eastAsia"/>
                      <w:sz w:val="18"/>
                      <w:szCs w:val="18"/>
                    </w:rPr>
                    <w:t>（</w:t>
                  </w:r>
                  <w:r>
                    <w:rPr>
                      <w:sz w:val="18"/>
                      <w:szCs w:val="18"/>
                    </w:rPr>
                    <w:t>m</w:t>
                  </w:r>
                  <w:r>
                    <w:rPr>
                      <w:rFonts w:hint="eastAsia"/>
                      <w:sz w:val="18"/>
                      <w:szCs w:val="18"/>
                    </w:rPr>
                    <w:t>）</w:t>
                  </w:r>
                </w:p>
              </w:tc>
              <w:tc>
                <w:tcPr>
                  <w:tcW w:w="550" w:type="pct"/>
                  <w:shd w:val="clear" w:color="auto" w:fill="auto"/>
                  <w:vAlign w:val="center"/>
                </w:tcPr>
                <w:p w14:paraId="30530BF8">
                  <w:pPr>
                    <w:widowControl/>
                    <w:adjustRightInd w:val="0"/>
                    <w:snapToGrid w:val="0"/>
                    <w:jc w:val="center"/>
                    <w:rPr>
                      <w:rFonts w:eastAsia="等线"/>
                      <w:kern w:val="0"/>
                      <w:sz w:val="18"/>
                      <w:szCs w:val="18"/>
                    </w:rPr>
                  </w:pPr>
                  <w:r>
                    <w:rPr>
                      <w:rFonts w:eastAsia="等线"/>
                      <w:sz w:val="18"/>
                      <w:szCs w:val="18"/>
                    </w:rPr>
                    <w:t>120.8</w:t>
                  </w:r>
                </w:p>
              </w:tc>
              <w:tc>
                <w:tcPr>
                  <w:tcW w:w="457" w:type="pct"/>
                  <w:shd w:val="clear" w:color="auto" w:fill="auto"/>
                  <w:vAlign w:val="center"/>
                </w:tcPr>
                <w:p w14:paraId="0ABDA705">
                  <w:pPr>
                    <w:widowControl/>
                    <w:adjustRightInd w:val="0"/>
                    <w:snapToGrid w:val="0"/>
                    <w:jc w:val="center"/>
                    <w:rPr>
                      <w:rFonts w:eastAsia="等线"/>
                      <w:kern w:val="0"/>
                      <w:sz w:val="18"/>
                      <w:szCs w:val="18"/>
                    </w:rPr>
                  </w:pPr>
                  <w:r>
                    <w:rPr>
                      <w:rFonts w:eastAsia="等线"/>
                      <w:sz w:val="18"/>
                      <w:szCs w:val="18"/>
                    </w:rPr>
                    <w:t>148.7</w:t>
                  </w:r>
                </w:p>
              </w:tc>
              <w:tc>
                <w:tcPr>
                  <w:tcW w:w="457" w:type="pct"/>
                  <w:shd w:val="clear" w:color="auto" w:fill="auto"/>
                  <w:vAlign w:val="center"/>
                </w:tcPr>
                <w:p w14:paraId="26757BBE">
                  <w:pPr>
                    <w:widowControl/>
                    <w:adjustRightInd w:val="0"/>
                    <w:snapToGrid w:val="0"/>
                    <w:jc w:val="center"/>
                    <w:rPr>
                      <w:rFonts w:eastAsia="等线"/>
                      <w:kern w:val="0"/>
                      <w:sz w:val="18"/>
                      <w:szCs w:val="18"/>
                    </w:rPr>
                  </w:pPr>
                  <w:r>
                    <w:rPr>
                      <w:rFonts w:eastAsia="等线"/>
                      <w:sz w:val="18"/>
                      <w:szCs w:val="18"/>
                    </w:rPr>
                    <w:t>186.0</w:t>
                  </w:r>
                </w:p>
              </w:tc>
              <w:tc>
                <w:tcPr>
                  <w:tcW w:w="457" w:type="pct"/>
                  <w:shd w:val="clear" w:color="auto" w:fill="auto"/>
                  <w:vAlign w:val="center"/>
                </w:tcPr>
                <w:p w14:paraId="72A3A865">
                  <w:pPr>
                    <w:widowControl/>
                    <w:adjustRightInd w:val="0"/>
                    <w:snapToGrid w:val="0"/>
                    <w:jc w:val="center"/>
                    <w:rPr>
                      <w:rFonts w:eastAsia="等线"/>
                      <w:kern w:val="0"/>
                      <w:sz w:val="18"/>
                      <w:szCs w:val="18"/>
                    </w:rPr>
                  </w:pPr>
                  <w:r>
                    <w:rPr>
                      <w:rFonts w:eastAsia="等线"/>
                      <w:sz w:val="18"/>
                      <w:szCs w:val="18"/>
                    </w:rPr>
                    <w:t>228.3</w:t>
                  </w:r>
                </w:p>
              </w:tc>
              <w:tc>
                <w:tcPr>
                  <w:tcW w:w="457" w:type="pct"/>
                  <w:shd w:val="clear" w:color="auto" w:fill="auto"/>
                  <w:vAlign w:val="center"/>
                </w:tcPr>
                <w:p w14:paraId="54A6F788">
                  <w:pPr>
                    <w:widowControl/>
                    <w:adjustRightInd w:val="0"/>
                    <w:snapToGrid w:val="0"/>
                    <w:jc w:val="center"/>
                    <w:rPr>
                      <w:rFonts w:eastAsia="等线"/>
                      <w:kern w:val="0"/>
                      <w:sz w:val="18"/>
                      <w:szCs w:val="18"/>
                    </w:rPr>
                  </w:pPr>
                  <w:r>
                    <w:rPr>
                      <w:rFonts w:eastAsia="等线"/>
                      <w:sz w:val="18"/>
                      <w:szCs w:val="18"/>
                    </w:rPr>
                    <w:t>273.1</w:t>
                  </w:r>
                </w:p>
              </w:tc>
              <w:tc>
                <w:tcPr>
                  <w:tcW w:w="457" w:type="pct"/>
                  <w:shd w:val="clear" w:color="auto" w:fill="auto"/>
                  <w:vAlign w:val="center"/>
                </w:tcPr>
                <w:p w14:paraId="5E1441C8">
                  <w:pPr>
                    <w:widowControl/>
                    <w:adjustRightInd w:val="0"/>
                    <w:snapToGrid w:val="0"/>
                    <w:jc w:val="center"/>
                    <w:rPr>
                      <w:rFonts w:eastAsia="等线"/>
                      <w:kern w:val="0"/>
                      <w:sz w:val="18"/>
                      <w:szCs w:val="18"/>
                    </w:rPr>
                  </w:pPr>
                  <w:r>
                    <w:rPr>
                      <w:rFonts w:eastAsia="等线"/>
                      <w:sz w:val="18"/>
                      <w:szCs w:val="18"/>
                    </w:rPr>
                    <w:t>319.5</w:t>
                  </w:r>
                </w:p>
              </w:tc>
              <w:tc>
                <w:tcPr>
                  <w:tcW w:w="457" w:type="pct"/>
                  <w:shd w:val="clear" w:color="auto" w:fill="auto"/>
                  <w:vAlign w:val="center"/>
                </w:tcPr>
                <w:p w14:paraId="7CA3CD46">
                  <w:pPr>
                    <w:widowControl/>
                    <w:adjustRightInd w:val="0"/>
                    <w:snapToGrid w:val="0"/>
                    <w:jc w:val="center"/>
                    <w:rPr>
                      <w:rFonts w:eastAsia="等线"/>
                      <w:kern w:val="0"/>
                      <w:sz w:val="18"/>
                      <w:szCs w:val="18"/>
                    </w:rPr>
                  </w:pPr>
                  <w:r>
                    <w:rPr>
                      <w:rFonts w:eastAsia="等线"/>
                      <w:sz w:val="18"/>
                      <w:szCs w:val="18"/>
                    </w:rPr>
                    <w:t>366.9</w:t>
                  </w:r>
                </w:p>
              </w:tc>
              <w:tc>
                <w:tcPr>
                  <w:tcW w:w="457" w:type="pct"/>
                  <w:shd w:val="clear" w:color="auto" w:fill="auto"/>
                  <w:vAlign w:val="center"/>
                </w:tcPr>
                <w:p w14:paraId="089F4211">
                  <w:pPr>
                    <w:widowControl/>
                    <w:adjustRightInd w:val="0"/>
                    <w:snapToGrid w:val="0"/>
                    <w:jc w:val="center"/>
                    <w:rPr>
                      <w:rFonts w:eastAsia="等线"/>
                      <w:kern w:val="0"/>
                      <w:sz w:val="18"/>
                      <w:szCs w:val="18"/>
                    </w:rPr>
                  </w:pPr>
                  <w:r>
                    <w:rPr>
                      <w:rFonts w:eastAsia="等线"/>
                      <w:sz w:val="18"/>
                      <w:szCs w:val="18"/>
                    </w:rPr>
                    <w:t>414.8</w:t>
                  </w:r>
                </w:p>
              </w:tc>
              <w:tc>
                <w:tcPr>
                  <w:tcW w:w="452" w:type="pct"/>
                  <w:tcBorders>
                    <w:right w:val="nil"/>
                  </w:tcBorders>
                  <w:shd w:val="clear" w:color="auto" w:fill="auto"/>
                  <w:vAlign w:val="center"/>
                </w:tcPr>
                <w:p w14:paraId="295EF0A0">
                  <w:pPr>
                    <w:widowControl/>
                    <w:adjustRightInd w:val="0"/>
                    <w:snapToGrid w:val="0"/>
                    <w:jc w:val="center"/>
                    <w:rPr>
                      <w:rFonts w:eastAsia="等线"/>
                      <w:kern w:val="0"/>
                      <w:sz w:val="18"/>
                      <w:szCs w:val="18"/>
                    </w:rPr>
                  </w:pPr>
                  <w:r>
                    <w:rPr>
                      <w:rFonts w:eastAsia="等线"/>
                      <w:sz w:val="18"/>
                      <w:szCs w:val="18"/>
                    </w:rPr>
                    <w:t>512.0</w:t>
                  </w:r>
                </w:p>
              </w:tc>
            </w:tr>
            <w:tr w14:paraId="4093F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95" w:type="pct"/>
                  <w:tcBorders>
                    <w:left w:val="nil"/>
                    <w:bottom w:val="single" w:color="auto" w:sz="12" w:space="0"/>
                  </w:tcBorders>
                  <w:shd w:val="clear" w:color="auto" w:fill="auto"/>
                  <w:vAlign w:val="center"/>
                </w:tcPr>
                <w:p w14:paraId="0CDFCB9E">
                  <w:pPr>
                    <w:widowControl/>
                    <w:adjustRightInd w:val="0"/>
                    <w:snapToGrid w:val="0"/>
                    <w:jc w:val="center"/>
                    <w:rPr>
                      <w:rFonts w:eastAsia="等线"/>
                      <w:kern w:val="0"/>
                      <w:sz w:val="18"/>
                      <w:szCs w:val="18"/>
                    </w:rPr>
                  </w:pPr>
                  <w:r>
                    <w:rPr>
                      <w:rFonts w:eastAsia="等线"/>
                      <w:sz w:val="18"/>
                      <w:szCs w:val="18"/>
                    </w:rPr>
                    <w:t>L(r)dB(A)</w:t>
                  </w:r>
                </w:p>
              </w:tc>
              <w:tc>
                <w:tcPr>
                  <w:tcW w:w="550" w:type="pct"/>
                  <w:tcBorders>
                    <w:bottom w:val="single" w:color="auto" w:sz="12" w:space="0"/>
                  </w:tcBorders>
                  <w:shd w:val="clear" w:color="auto" w:fill="auto"/>
                  <w:vAlign w:val="center"/>
                </w:tcPr>
                <w:p w14:paraId="48D5C57F">
                  <w:pPr>
                    <w:widowControl/>
                    <w:adjustRightInd w:val="0"/>
                    <w:snapToGrid w:val="0"/>
                    <w:jc w:val="center"/>
                    <w:rPr>
                      <w:rFonts w:eastAsia="等线"/>
                      <w:kern w:val="0"/>
                      <w:sz w:val="18"/>
                      <w:szCs w:val="18"/>
                    </w:rPr>
                  </w:pPr>
                  <w:r>
                    <w:rPr>
                      <w:rFonts w:eastAsia="等线"/>
                      <w:sz w:val="18"/>
                      <w:szCs w:val="18"/>
                    </w:rPr>
                    <w:t>70.4</w:t>
                  </w:r>
                </w:p>
              </w:tc>
              <w:tc>
                <w:tcPr>
                  <w:tcW w:w="457" w:type="pct"/>
                  <w:tcBorders>
                    <w:bottom w:val="single" w:color="auto" w:sz="12" w:space="0"/>
                  </w:tcBorders>
                  <w:shd w:val="clear" w:color="auto" w:fill="auto"/>
                  <w:vAlign w:val="center"/>
                </w:tcPr>
                <w:p w14:paraId="0699FD08">
                  <w:pPr>
                    <w:widowControl/>
                    <w:adjustRightInd w:val="0"/>
                    <w:snapToGrid w:val="0"/>
                    <w:jc w:val="center"/>
                    <w:rPr>
                      <w:rFonts w:eastAsia="等线"/>
                      <w:kern w:val="0"/>
                      <w:sz w:val="18"/>
                      <w:szCs w:val="18"/>
                    </w:rPr>
                  </w:pPr>
                  <w:r>
                    <w:rPr>
                      <w:rFonts w:eastAsia="等线"/>
                      <w:sz w:val="18"/>
                      <w:szCs w:val="18"/>
                    </w:rPr>
                    <w:t>68.6</w:t>
                  </w:r>
                </w:p>
              </w:tc>
              <w:tc>
                <w:tcPr>
                  <w:tcW w:w="457" w:type="pct"/>
                  <w:tcBorders>
                    <w:bottom w:val="single" w:color="auto" w:sz="12" w:space="0"/>
                  </w:tcBorders>
                  <w:shd w:val="clear" w:color="auto" w:fill="auto"/>
                  <w:vAlign w:val="center"/>
                </w:tcPr>
                <w:p w14:paraId="066A5DFD">
                  <w:pPr>
                    <w:widowControl/>
                    <w:adjustRightInd w:val="0"/>
                    <w:snapToGrid w:val="0"/>
                    <w:jc w:val="center"/>
                    <w:rPr>
                      <w:rFonts w:eastAsia="等线"/>
                      <w:kern w:val="0"/>
                      <w:sz w:val="18"/>
                      <w:szCs w:val="18"/>
                    </w:rPr>
                  </w:pPr>
                  <w:r>
                    <w:rPr>
                      <w:rFonts w:eastAsia="等线"/>
                      <w:sz w:val="18"/>
                      <w:szCs w:val="18"/>
                    </w:rPr>
                    <w:t>66.6</w:t>
                  </w:r>
                </w:p>
              </w:tc>
              <w:tc>
                <w:tcPr>
                  <w:tcW w:w="457" w:type="pct"/>
                  <w:tcBorders>
                    <w:bottom w:val="single" w:color="auto" w:sz="12" w:space="0"/>
                  </w:tcBorders>
                  <w:shd w:val="clear" w:color="auto" w:fill="auto"/>
                  <w:vAlign w:val="center"/>
                </w:tcPr>
                <w:p w14:paraId="79054BEC">
                  <w:pPr>
                    <w:widowControl/>
                    <w:adjustRightInd w:val="0"/>
                    <w:snapToGrid w:val="0"/>
                    <w:jc w:val="center"/>
                    <w:rPr>
                      <w:rFonts w:eastAsia="等线"/>
                      <w:kern w:val="0"/>
                      <w:sz w:val="18"/>
                      <w:szCs w:val="18"/>
                    </w:rPr>
                  </w:pPr>
                  <w:r>
                    <w:rPr>
                      <w:rFonts w:eastAsia="等线"/>
                      <w:sz w:val="18"/>
                      <w:szCs w:val="18"/>
                    </w:rPr>
                    <w:t>64.8</w:t>
                  </w:r>
                </w:p>
              </w:tc>
              <w:tc>
                <w:tcPr>
                  <w:tcW w:w="457" w:type="pct"/>
                  <w:tcBorders>
                    <w:bottom w:val="single" w:color="auto" w:sz="12" w:space="0"/>
                  </w:tcBorders>
                  <w:shd w:val="clear" w:color="auto" w:fill="auto"/>
                  <w:vAlign w:val="center"/>
                </w:tcPr>
                <w:p w14:paraId="1AEE3D26">
                  <w:pPr>
                    <w:widowControl/>
                    <w:adjustRightInd w:val="0"/>
                    <w:snapToGrid w:val="0"/>
                    <w:jc w:val="center"/>
                    <w:rPr>
                      <w:rFonts w:eastAsia="等线"/>
                      <w:kern w:val="0"/>
                      <w:sz w:val="18"/>
                      <w:szCs w:val="18"/>
                    </w:rPr>
                  </w:pPr>
                  <w:r>
                    <w:rPr>
                      <w:rFonts w:eastAsia="等线"/>
                      <w:sz w:val="18"/>
                      <w:szCs w:val="18"/>
                    </w:rPr>
                    <w:t>63.3</w:t>
                  </w:r>
                </w:p>
              </w:tc>
              <w:tc>
                <w:tcPr>
                  <w:tcW w:w="457" w:type="pct"/>
                  <w:tcBorders>
                    <w:bottom w:val="single" w:color="auto" w:sz="12" w:space="0"/>
                  </w:tcBorders>
                  <w:shd w:val="clear" w:color="auto" w:fill="auto"/>
                  <w:vAlign w:val="center"/>
                </w:tcPr>
                <w:p w14:paraId="7493B223">
                  <w:pPr>
                    <w:widowControl/>
                    <w:adjustRightInd w:val="0"/>
                    <w:snapToGrid w:val="0"/>
                    <w:jc w:val="center"/>
                    <w:rPr>
                      <w:rFonts w:eastAsia="等线"/>
                      <w:kern w:val="0"/>
                      <w:sz w:val="18"/>
                      <w:szCs w:val="18"/>
                    </w:rPr>
                  </w:pPr>
                  <w:r>
                    <w:rPr>
                      <w:rFonts w:eastAsia="等线"/>
                      <w:sz w:val="18"/>
                      <w:szCs w:val="18"/>
                    </w:rPr>
                    <w:t>61.9</w:t>
                  </w:r>
                </w:p>
              </w:tc>
              <w:tc>
                <w:tcPr>
                  <w:tcW w:w="457" w:type="pct"/>
                  <w:tcBorders>
                    <w:bottom w:val="single" w:color="auto" w:sz="12" w:space="0"/>
                  </w:tcBorders>
                  <w:shd w:val="clear" w:color="auto" w:fill="auto"/>
                  <w:vAlign w:val="center"/>
                </w:tcPr>
                <w:p w14:paraId="424F7BC1">
                  <w:pPr>
                    <w:widowControl/>
                    <w:adjustRightInd w:val="0"/>
                    <w:snapToGrid w:val="0"/>
                    <w:jc w:val="center"/>
                    <w:rPr>
                      <w:rFonts w:eastAsia="等线"/>
                      <w:kern w:val="0"/>
                      <w:sz w:val="18"/>
                      <w:szCs w:val="18"/>
                    </w:rPr>
                  </w:pPr>
                  <w:r>
                    <w:rPr>
                      <w:rFonts w:eastAsia="等线"/>
                      <w:sz w:val="18"/>
                      <w:szCs w:val="18"/>
                    </w:rPr>
                    <w:t>60.7</w:t>
                  </w:r>
                </w:p>
              </w:tc>
              <w:tc>
                <w:tcPr>
                  <w:tcW w:w="457" w:type="pct"/>
                  <w:tcBorders>
                    <w:bottom w:val="single" w:color="auto" w:sz="12" w:space="0"/>
                  </w:tcBorders>
                  <w:shd w:val="clear" w:color="auto" w:fill="auto"/>
                  <w:vAlign w:val="center"/>
                </w:tcPr>
                <w:p w14:paraId="68219F2A">
                  <w:pPr>
                    <w:widowControl/>
                    <w:adjustRightInd w:val="0"/>
                    <w:snapToGrid w:val="0"/>
                    <w:jc w:val="center"/>
                    <w:rPr>
                      <w:rFonts w:eastAsia="等线"/>
                      <w:kern w:val="0"/>
                      <w:sz w:val="18"/>
                      <w:szCs w:val="18"/>
                    </w:rPr>
                  </w:pPr>
                  <w:r>
                    <w:rPr>
                      <w:rFonts w:eastAsia="等线"/>
                      <w:sz w:val="18"/>
                      <w:szCs w:val="18"/>
                    </w:rPr>
                    <w:t>59.6</w:t>
                  </w:r>
                </w:p>
              </w:tc>
              <w:tc>
                <w:tcPr>
                  <w:tcW w:w="452" w:type="pct"/>
                  <w:tcBorders>
                    <w:bottom w:val="single" w:color="auto" w:sz="12" w:space="0"/>
                    <w:right w:val="nil"/>
                  </w:tcBorders>
                  <w:shd w:val="clear" w:color="auto" w:fill="auto"/>
                  <w:vAlign w:val="center"/>
                </w:tcPr>
                <w:p w14:paraId="536AB270">
                  <w:pPr>
                    <w:widowControl/>
                    <w:adjustRightInd w:val="0"/>
                    <w:snapToGrid w:val="0"/>
                    <w:jc w:val="center"/>
                    <w:rPr>
                      <w:rFonts w:eastAsia="等线"/>
                      <w:kern w:val="0"/>
                      <w:sz w:val="18"/>
                      <w:szCs w:val="18"/>
                    </w:rPr>
                  </w:pPr>
                  <w:r>
                    <w:rPr>
                      <w:rFonts w:eastAsia="等线"/>
                      <w:sz w:val="18"/>
                      <w:szCs w:val="18"/>
                    </w:rPr>
                    <w:t>57.8</w:t>
                  </w:r>
                </w:p>
              </w:tc>
            </w:tr>
          </w:tbl>
          <w:p w14:paraId="299456B0">
            <w:pPr>
              <w:pStyle w:val="61"/>
              <w:ind w:left="0" w:leftChars="0" w:firstLine="0" w:firstLineChars="0"/>
              <w:rPr>
                <w:rFonts w:cs="Times New Roman" w:eastAsiaTheme="minorEastAsia"/>
                <w:bCs/>
                <w:color w:val="auto"/>
                <w:sz w:val="21"/>
                <w:szCs w:val="21"/>
              </w:rPr>
            </w:pPr>
            <w:r>
              <w:rPr>
                <w:rFonts w:cs="Times New Roman" w:eastAsiaTheme="minorEastAsia"/>
                <w:bCs/>
                <w:color w:val="auto"/>
                <w:sz w:val="21"/>
                <w:szCs w:val="21"/>
              </w:rPr>
              <w:t>注：r2=（r1</w:t>
            </w:r>
            <w:r>
              <w:rPr>
                <w:rFonts w:cs="Times New Roman" w:eastAsiaTheme="minorEastAsia"/>
                <w:bCs/>
                <w:color w:val="auto"/>
                <w:sz w:val="21"/>
                <w:szCs w:val="21"/>
                <w:vertAlign w:val="superscript"/>
              </w:rPr>
              <w:t>2</w:t>
            </w:r>
            <w:r>
              <w:rPr>
                <w:rFonts w:cs="Times New Roman" w:eastAsiaTheme="minorEastAsia"/>
                <w:bCs/>
                <w:color w:val="auto"/>
                <w:sz w:val="21"/>
                <w:szCs w:val="21"/>
              </w:rPr>
              <w:t>+11</w:t>
            </w:r>
            <w:r>
              <w:rPr>
                <w:rFonts w:hint="eastAsia" w:cs="Times New Roman" w:eastAsiaTheme="minorEastAsia"/>
                <w:bCs/>
                <w:color w:val="auto"/>
                <w:sz w:val="21"/>
                <w:szCs w:val="21"/>
                <w:lang w:val="en-US" w:eastAsia="zh-CN"/>
              </w:rPr>
              <w:t>5</w:t>
            </w:r>
            <w:r>
              <w:rPr>
                <w:rFonts w:cs="Times New Roman" w:eastAsiaTheme="minorEastAsia"/>
                <w:bCs/>
                <w:color w:val="auto"/>
                <w:sz w:val="21"/>
                <w:szCs w:val="21"/>
                <w:vertAlign w:val="superscript"/>
              </w:rPr>
              <w:t>2</w:t>
            </w:r>
            <w:r>
              <w:rPr>
                <w:rFonts w:cs="Times New Roman" w:eastAsiaTheme="minorEastAsia"/>
                <w:bCs/>
                <w:color w:val="auto"/>
                <w:sz w:val="21"/>
                <w:szCs w:val="21"/>
              </w:rPr>
              <w:t>）</w:t>
            </w:r>
            <w:r>
              <w:rPr>
                <w:rFonts w:cs="Times New Roman" w:eastAsiaTheme="minorEastAsia"/>
                <w:bCs/>
                <w:color w:val="auto"/>
                <w:sz w:val="21"/>
                <w:szCs w:val="21"/>
                <w:vertAlign w:val="superscript"/>
              </w:rPr>
              <w:t>1/2</w:t>
            </w:r>
          </w:p>
          <w:p w14:paraId="2069624C">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hAnsi="宋体" w:cs="Times New Roman"/>
              </w:rPr>
              <w:t>从</w:t>
            </w:r>
            <w:r>
              <w:rPr>
                <w:rFonts w:hint="eastAsia" w:hAnsi="宋体" w:cs="Times New Roman"/>
              </w:rPr>
              <w:t>上表</w:t>
            </w:r>
            <w:r>
              <w:rPr>
                <w:rFonts w:hAnsi="宋体" w:cs="Times New Roman"/>
              </w:rPr>
              <w:t>结果可以看出，不考虑敏感点与风电机组基础高程差的情况下，夜间水平距离200m处的噪声能满足《声环境质量标准》</w:t>
            </w:r>
            <w:r>
              <w:rPr>
                <w:rFonts w:hint="eastAsia" w:hAnsi="宋体" w:cs="Times New Roman"/>
                <w:lang w:eastAsia="zh-CN"/>
              </w:rPr>
              <w:t>（</w:t>
            </w:r>
            <w:r>
              <w:rPr>
                <w:rFonts w:hAnsi="宋体" w:cs="Times New Roman"/>
              </w:rPr>
              <w:t>GB3096-2008</w:t>
            </w:r>
            <w:r>
              <w:rPr>
                <w:rFonts w:hint="eastAsia" w:hAnsi="宋体" w:cs="Times New Roman"/>
                <w:lang w:eastAsia="zh-CN"/>
              </w:rPr>
              <w:t>）</w:t>
            </w:r>
            <w:r>
              <w:rPr>
                <w:rFonts w:hint="eastAsia" w:hAnsi="宋体" w:cs="Times New Roman"/>
              </w:rPr>
              <w:t>2</w:t>
            </w:r>
            <w:r>
              <w:rPr>
                <w:rFonts w:hAnsi="宋体" w:cs="Times New Roman"/>
              </w:rPr>
              <w:t>类声环境功能区</w:t>
            </w:r>
            <w:r>
              <w:rPr>
                <w:rFonts w:hint="eastAsia" w:hAnsi="宋体" w:cs="Times New Roman"/>
              </w:rPr>
              <w:t>突发</w:t>
            </w:r>
            <w:r>
              <w:rPr>
                <w:rFonts w:hAnsi="宋体" w:cs="Times New Roman"/>
              </w:rPr>
              <w:t>噪声限值（夜间</w:t>
            </w:r>
            <w:r>
              <w:rPr>
                <w:rFonts w:hint="eastAsia" w:hAnsi="宋体" w:cs="Times New Roman"/>
              </w:rPr>
              <w:t>65</w:t>
            </w:r>
            <w:r>
              <w:rPr>
                <w:rFonts w:hAnsi="宋体" w:cs="Times New Roman"/>
              </w:rPr>
              <w:t>dB）的要求。</w:t>
            </w:r>
            <w:r>
              <w:rPr>
                <w:rFonts w:hint="eastAsia" w:hAnsi="宋体" w:cs="Times New Roman"/>
              </w:rPr>
              <w:t>因突发噪声产生的影响较小，由于突发噪声持续时间短，且考虑有高程差，噪声进一步削减，因而突发噪声总体影响不大。</w:t>
            </w:r>
          </w:p>
          <w:p w14:paraId="45D87108">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hAnsi="宋体" w:cs="Times New Roman"/>
              </w:rPr>
              <w:t>为了减小偏航系统产生的刹车噪声对噪声敏感建筑物的影响，本环评</w:t>
            </w:r>
            <w:r>
              <w:rPr>
                <w:rFonts w:hint="eastAsia" w:hAnsi="宋体" w:cs="Times New Roman"/>
                <w:lang w:val="en-US" w:eastAsia="zh-CN"/>
              </w:rPr>
              <w:t>要求</w:t>
            </w:r>
            <w:r>
              <w:rPr>
                <w:rFonts w:hAnsi="宋体" w:cs="Times New Roman"/>
              </w:rPr>
              <w:t>风电机组在运行过程中应加强偏航系统的维护保养并应尽量避免运行偏航系统，将风电机组对噪声敏感建筑物的影响降低至最小。</w:t>
            </w:r>
          </w:p>
          <w:p w14:paraId="76037ACE">
            <w:pPr>
              <w:pStyle w:val="62"/>
              <w:keepNext w:val="0"/>
              <w:keepLines w:val="0"/>
              <w:pageBreakBefore w:val="0"/>
              <w:kinsoku/>
              <w:wordWrap/>
              <w:overflowPunct/>
              <w:topLinePunct w:val="0"/>
              <w:autoSpaceDE/>
              <w:autoSpaceDN/>
              <w:bidi w:val="0"/>
              <w:ind w:firstLine="480"/>
              <w:textAlignment w:val="auto"/>
              <w:rPr>
                <w:rFonts w:hAnsi="宋体" w:cs="Times New Roman"/>
              </w:rPr>
            </w:pPr>
            <w:r>
              <w:rPr>
                <w:rFonts w:hAnsi="宋体" w:cs="Times New Roman"/>
              </w:rPr>
              <w:t>（</w:t>
            </w:r>
            <w:r>
              <w:rPr>
                <w:rFonts w:hint="eastAsia" w:hAnsi="宋体" w:cs="Times New Roman"/>
                <w:lang w:val="en-US" w:eastAsia="zh-CN"/>
              </w:rPr>
              <w:t>8</w:t>
            </w:r>
            <w:r>
              <w:rPr>
                <w:rFonts w:hAnsi="宋体" w:cs="Times New Roman"/>
              </w:rPr>
              <w:t>）升压站声环境影响分析</w:t>
            </w:r>
          </w:p>
          <w:p w14:paraId="182AB4F3">
            <w:pPr>
              <w:keepNext w:val="0"/>
              <w:keepLines w:val="0"/>
              <w:pageBreakBefore w:val="0"/>
              <w:kinsoku/>
              <w:wordWrap/>
              <w:overflowPunct/>
              <w:topLinePunct w:val="0"/>
              <w:autoSpaceDE/>
              <w:autoSpaceDN/>
              <w:bidi w:val="0"/>
              <w:spacing w:line="360" w:lineRule="auto"/>
              <w:ind w:firstLine="480" w:firstLineChars="200"/>
              <w:textAlignment w:val="auto"/>
              <w:rPr>
                <w:rFonts w:hint="eastAsia"/>
                <w:color w:val="FF0000"/>
                <w:sz w:val="24"/>
                <w:lang w:val="en-US" w:eastAsia="zh-CN"/>
              </w:rPr>
            </w:pPr>
            <w:r>
              <w:rPr>
                <w:rFonts w:hint="eastAsia"/>
                <w:color w:val="FF0000"/>
                <w:sz w:val="24"/>
                <w:lang w:val="en-US" w:eastAsia="zh-CN"/>
              </w:rPr>
              <w:t>户外式220kV升压站对周围声环境的影响主要是由变电站中的主变压器运行时所产生的噪声，变电站运行期声环境影响也可采用点声源模式进行预测及评价。根据典型220kV主变压器运行期间的噪声类比监测数据及相关设计资料，取较高水平按照距离220kV主变压器1m处声压级70dB(A)计算，4台SVG无功补偿的1m处声压级按照65dB(A)来计算。</w:t>
            </w:r>
          </w:p>
          <w:p w14:paraId="024473EE">
            <w:pPr>
              <w:pStyle w:val="62"/>
              <w:spacing w:line="240" w:lineRule="auto"/>
              <w:ind w:firstLine="0" w:firstLineChars="0"/>
              <w:jc w:val="center"/>
              <w:rPr>
                <w:rFonts w:hint="default" w:hAnsi="宋体" w:cs="Times New Roman"/>
                <w:b/>
                <w:bCs w:val="0"/>
                <w:color w:val="FF0000"/>
                <w:sz w:val="21"/>
                <w:szCs w:val="21"/>
                <w:lang w:val="en-US" w:eastAsia="zh-CN"/>
              </w:rPr>
            </w:pPr>
            <w:r>
              <w:rPr>
                <w:rFonts w:hint="eastAsia" w:hAnsi="宋体" w:cs="Times New Roman"/>
                <w:b/>
                <w:bCs w:val="0"/>
                <w:color w:val="FF0000"/>
                <w:sz w:val="21"/>
                <w:szCs w:val="21"/>
                <w:lang w:val="en-US" w:eastAsia="zh-CN"/>
              </w:rPr>
              <w:t>表4-10  室外声源调查清单</w:t>
            </w:r>
          </w:p>
          <w:tbl>
            <w:tblPr>
              <w:tblStyle w:val="33"/>
              <w:tblW w:w="5000"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912"/>
              <w:gridCol w:w="1704"/>
              <w:gridCol w:w="1538"/>
              <w:gridCol w:w="1071"/>
              <w:gridCol w:w="1130"/>
              <w:gridCol w:w="1417"/>
            </w:tblGrid>
            <w:tr w14:paraId="4EC0E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1670742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序号</w:t>
                  </w:r>
                </w:p>
              </w:tc>
              <w:tc>
                <w:tcPr>
                  <w:tcW w:w="912" w:type="dxa"/>
                  <w:tcBorders>
                    <w:tl2br w:val="nil"/>
                    <w:tr2bl w:val="nil"/>
                  </w:tcBorders>
                  <w:vAlign w:val="center"/>
                </w:tcPr>
                <w:p w14:paraId="5D22F6E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声源名称</w:t>
                  </w:r>
                </w:p>
              </w:tc>
              <w:tc>
                <w:tcPr>
                  <w:tcW w:w="1704" w:type="dxa"/>
                  <w:tcBorders>
                    <w:tl2br w:val="nil"/>
                    <w:tr2bl w:val="nil"/>
                  </w:tcBorders>
                  <w:vAlign w:val="center"/>
                </w:tcPr>
                <w:p w14:paraId="5BCC409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型号</w:t>
                  </w:r>
                </w:p>
              </w:tc>
              <w:tc>
                <w:tcPr>
                  <w:tcW w:w="1538" w:type="dxa"/>
                  <w:tcBorders>
                    <w:tl2br w:val="nil"/>
                    <w:tr2bl w:val="nil"/>
                  </w:tcBorders>
                  <w:vAlign w:val="center"/>
                </w:tcPr>
                <w:p w14:paraId="51550F4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空间相对位置（X，Y）</w:t>
                  </w:r>
                </w:p>
              </w:tc>
              <w:tc>
                <w:tcPr>
                  <w:tcW w:w="1071" w:type="dxa"/>
                  <w:tcBorders>
                    <w:tl2br w:val="nil"/>
                    <w:tr2bl w:val="nil"/>
                  </w:tcBorders>
                  <w:vAlign w:val="center"/>
                </w:tcPr>
                <w:p w14:paraId="7690C5A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声源源强dB（A）</w:t>
                  </w:r>
                </w:p>
              </w:tc>
              <w:tc>
                <w:tcPr>
                  <w:tcW w:w="1130" w:type="dxa"/>
                  <w:tcBorders>
                    <w:tl2br w:val="nil"/>
                    <w:tr2bl w:val="nil"/>
                  </w:tcBorders>
                  <w:vAlign w:val="center"/>
                </w:tcPr>
                <w:p w14:paraId="0CCA21B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声源控制措施</w:t>
                  </w:r>
                </w:p>
              </w:tc>
              <w:tc>
                <w:tcPr>
                  <w:tcW w:w="1417" w:type="dxa"/>
                  <w:tcBorders>
                    <w:tl2br w:val="nil"/>
                    <w:tr2bl w:val="nil"/>
                  </w:tcBorders>
                  <w:vAlign w:val="center"/>
                </w:tcPr>
                <w:p w14:paraId="0955515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运行时段</w:t>
                  </w:r>
                </w:p>
              </w:tc>
            </w:tr>
            <w:tr w14:paraId="42D96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37FE5B6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w:t>
                  </w:r>
                </w:p>
              </w:tc>
              <w:tc>
                <w:tcPr>
                  <w:tcW w:w="912" w:type="dxa"/>
                  <w:tcBorders>
                    <w:tl2br w:val="nil"/>
                    <w:tr2bl w:val="nil"/>
                  </w:tcBorders>
                  <w:vAlign w:val="center"/>
                </w:tcPr>
                <w:p w14:paraId="579D00B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1#主变</w:t>
                  </w:r>
                </w:p>
              </w:tc>
              <w:tc>
                <w:tcPr>
                  <w:tcW w:w="1704" w:type="dxa"/>
                  <w:tcBorders>
                    <w:tl2br w:val="nil"/>
                    <w:tr2bl w:val="nil"/>
                  </w:tcBorders>
                  <w:vAlign w:val="center"/>
                </w:tcPr>
                <w:p w14:paraId="1423D4B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SZ18-180000/220</w:t>
                  </w:r>
                </w:p>
              </w:tc>
              <w:tc>
                <w:tcPr>
                  <w:tcW w:w="1538" w:type="dxa"/>
                  <w:tcBorders>
                    <w:tl2br w:val="nil"/>
                    <w:tr2bl w:val="nil"/>
                  </w:tcBorders>
                  <w:vAlign w:val="center"/>
                </w:tcPr>
                <w:p w14:paraId="7847B34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8.9,8.68</w:t>
                  </w:r>
                </w:p>
              </w:tc>
              <w:tc>
                <w:tcPr>
                  <w:tcW w:w="1071" w:type="dxa"/>
                  <w:tcBorders>
                    <w:tl2br w:val="nil"/>
                    <w:tr2bl w:val="nil"/>
                  </w:tcBorders>
                  <w:vAlign w:val="center"/>
                </w:tcPr>
                <w:p w14:paraId="0C730C9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70</w:t>
                  </w:r>
                </w:p>
              </w:tc>
              <w:tc>
                <w:tcPr>
                  <w:tcW w:w="1130" w:type="dxa"/>
                  <w:vMerge w:val="restart"/>
                  <w:tcBorders>
                    <w:tl2br w:val="nil"/>
                    <w:tr2bl w:val="nil"/>
                  </w:tcBorders>
                  <w:vAlign w:val="center"/>
                </w:tcPr>
                <w:p w14:paraId="284AD6F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主变基础减振，升压站设置2.0米高的实体围墙阻隔</w:t>
                  </w:r>
                </w:p>
              </w:tc>
              <w:tc>
                <w:tcPr>
                  <w:tcW w:w="1417" w:type="dxa"/>
                  <w:vMerge w:val="restart"/>
                  <w:tcBorders>
                    <w:tl2br w:val="nil"/>
                    <w:tr2bl w:val="nil"/>
                  </w:tcBorders>
                  <w:vAlign w:val="center"/>
                </w:tcPr>
                <w:p w14:paraId="652AC00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24h连读运行</w:t>
                  </w:r>
                </w:p>
              </w:tc>
            </w:tr>
            <w:tr w14:paraId="1CC20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27138F2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w:t>
                  </w:r>
                </w:p>
              </w:tc>
              <w:tc>
                <w:tcPr>
                  <w:tcW w:w="912" w:type="dxa"/>
                  <w:tcBorders>
                    <w:tl2br w:val="nil"/>
                    <w:tr2bl w:val="nil"/>
                  </w:tcBorders>
                  <w:vAlign w:val="center"/>
                </w:tcPr>
                <w:p w14:paraId="5C65700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SVG1</w:t>
                  </w:r>
                </w:p>
              </w:tc>
              <w:tc>
                <w:tcPr>
                  <w:tcW w:w="1704" w:type="dxa"/>
                  <w:tcBorders>
                    <w:tl2br w:val="nil"/>
                    <w:tr2bl w:val="nil"/>
                  </w:tcBorders>
                  <w:vAlign w:val="center"/>
                </w:tcPr>
                <w:p w14:paraId="3518C17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6A2EC95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-26.27,28.05</w:t>
                  </w:r>
                </w:p>
              </w:tc>
              <w:tc>
                <w:tcPr>
                  <w:tcW w:w="1071" w:type="dxa"/>
                  <w:tcBorders>
                    <w:tl2br w:val="nil"/>
                    <w:tr2bl w:val="nil"/>
                  </w:tcBorders>
                  <w:vAlign w:val="center"/>
                </w:tcPr>
                <w:p w14:paraId="43A83C4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41F9575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0FC1DCB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66662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567" w:type="dxa"/>
                  <w:tcBorders>
                    <w:tl2br w:val="nil"/>
                    <w:tr2bl w:val="nil"/>
                  </w:tcBorders>
                  <w:vAlign w:val="center"/>
                </w:tcPr>
                <w:p w14:paraId="15EA935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3</w:t>
                  </w:r>
                </w:p>
              </w:tc>
              <w:tc>
                <w:tcPr>
                  <w:tcW w:w="912" w:type="dxa"/>
                  <w:tcBorders>
                    <w:tl2br w:val="nil"/>
                    <w:tr2bl w:val="nil"/>
                  </w:tcBorders>
                  <w:vAlign w:val="center"/>
                </w:tcPr>
                <w:p w14:paraId="5790605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SVG2</w:t>
                  </w:r>
                </w:p>
              </w:tc>
              <w:tc>
                <w:tcPr>
                  <w:tcW w:w="1704" w:type="dxa"/>
                  <w:tcBorders>
                    <w:tl2br w:val="nil"/>
                    <w:tr2bl w:val="nil"/>
                  </w:tcBorders>
                  <w:vAlign w:val="center"/>
                </w:tcPr>
                <w:p w14:paraId="2CBF54D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1BD5E04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-12.54,28.24</w:t>
                  </w:r>
                </w:p>
              </w:tc>
              <w:tc>
                <w:tcPr>
                  <w:tcW w:w="1071" w:type="dxa"/>
                  <w:tcBorders>
                    <w:tl2br w:val="nil"/>
                    <w:tr2bl w:val="nil"/>
                  </w:tcBorders>
                  <w:vAlign w:val="center"/>
                </w:tcPr>
                <w:p w14:paraId="0C2CE0D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593676D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3320CB1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236093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1CE33ED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w:t>
                  </w:r>
                </w:p>
              </w:tc>
              <w:tc>
                <w:tcPr>
                  <w:tcW w:w="912" w:type="dxa"/>
                  <w:tcBorders>
                    <w:tl2br w:val="nil"/>
                    <w:tr2bl w:val="nil"/>
                  </w:tcBorders>
                  <w:vAlign w:val="center"/>
                </w:tcPr>
                <w:p w14:paraId="540ABD1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SVG3</w:t>
                  </w:r>
                </w:p>
              </w:tc>
              <w:tc>
                <w:tcPr>
                  <w:tcW w:w="1704" w:type="dxa"/>
                  <w:tcBorders>
                    <w:tl2br w:val="nil"/>
                    <w:tr2bl w:val="nil"/>
                  </w:tcBorders>
                  <w:vAlign w:val="center"/>
                </w:tcPr>
                <w:p w14:paraId="2A7831C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579C14B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2.13,27.68</w:t>
                  </w:r>
                </w:p>
              </w:tc>
              <w:tc>
                <w:tcPr>
                  <w:tcW w:w="1071" w:type="dxa"/>
                  <w:tcBorders>
                    <w:tl2br w:val="nil"/>
                    <w:tr2bl w:val="nil"/>
                  </w:tcBorders>
                  <w:vAlign w:val="center"/>
                </w:tcPr>
                <w:p w14:paraId="20A0C9D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4E20DC4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70480E6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6FC9A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l2br w:val="nil"/>
                    <w:tr2bl w:val="nil"/>
                  </w:tcBorders>
                  <w:vAlign w:val="center"/>
                </w:tcPr>
                <w:p w14:paraId="1B43C9F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w:t>
                  </w:r>
                </w:p>
              </w:tc>
              <w:tc>
                <w:tcPr>
                  <w:tcW w:w="912" w:type="dxa"/>
                  <w:tcBorders>
                    <w:tl2br w:val="nil"/>
                    <w:tr2bl w:val="nil"/>
                  </w:tcBorders>
                  <w:vAlign w:val="center"/>
                </w:tcPr>
                <w:p w14:paraId="7F9B7BC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SVG4</w:t>
                  </w:r>
                </w:p>
              </w:tc>
              <w:tc>
                <w:tcPr>
                  <w:tcW w:w="1704" w:type="dxa"/>
                  <w:tcBorders>
                    <w:tl2br w:val="nil"/>
                    <w:tr2bl w:val="nil"/>
                  </w:tcBorders>
                  <w:vAlign w:val="center"/>
                </w:tcPr>
                <w:p w14:paraId="5DF3DB3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SVG+FC</w:t>
                  </w:r>
                </w:p>
              </w:tc>
              <w:tc>
                <w:tcPr>
                  <w:tcW w:w="1538" w:type="dxa"/>
                  <w:tcBorders>
                    <w:tl2br w:val="nil"/>
                    <w:tr2bl w:val="nil"/>
                  </w:tcBorders>
                  <w:vAlign w:val="center"/>
                </w:tcPr>
                <w:p w14:paraId="242C326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17.74,27.49</w:t>
                  </w:r>
                </w:p>
              </w:tc>
              <w:tc>
                <w:tcPr>
                  <w:tcW w:w="1071" w:type="dxa"/>
                  <w:tcBorders>
                    <w:tl2br w:val="nil"/>
                    <w:tr2bl w:val="nil"/>
                  </w:tcBorders>
                  <w:vAlign w:val="center"/>
                </w:tcPr>
                <w:p w14:paraId="5AA44C8C">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65</w:t>
                  </w:r>
                </w:p>
              </w:tc>
              <w:tc>
                <w:tcPr>
                  <w:tcW w:w="1130" w:type="dxa"/>
                  <w:vMerge w:val="continue"/>
                  <w:tcBorders>
                    <w:tl2br w:val="nil"/>
                    <w:tr2bl w:val="nil"/>
                  </w:tcBorders>
                  <w:vAlign w:val="center"/>
                </w:tcPr>
                <w:p w14:paraId="2286EBA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1417" w:type="dxa"/>
                  <w:vMerge w:val="continue"/>
                  <w:tcBorders>
                    <w:tl2br w:val="nil"/>
                    <w:tr2bl w:val="nil"/>
                  </w:tcBorders>
                  <w:vAlign w:val="center"/>
                </w:tcPr>
                <w:p w14:paraId="5D2BE18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r>
            <w:tr w14:paraId="0721A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9" w:type="dxa"/>
                  <w:gridSpan w:val="7"/>
                  <w:tcBorders>
                    <w:tl2br w:val="nil"/>
                    <w:tr2bl w:val="nil"/>
                  </w:tcBorders>
                  <w:vAlign w:val="center"/>
                </w:tcPr>
                <w:p w14:paraId="74843E5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both"/>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注：以升压站的中心点作为原点0,0</w:t>
                  </w:r>
                </w:p>
              </w:tc>
            </w:tr>
          </w:tbl>
          <w:p w14:paraId="0BDE568D">
            <w:pPr>
              <w:pStyle w:val="62"/>
              <w:ind w:firstLine="480"/>
              <w:rPr>
                <w:rFonts w:hint="eastAsia" w:hAnsi="宋体" w:cs="Times New Roman"/>
                <w:color w:val="FF0000"/>
                <w:lang w:val="en-US" w:eastAsia="zh-CN"/>
              </w:rPr>
            </w:pPr>
            <w:r>
              <w:rPr>
                <w:rFonts w:hint="eastAsia" w:hAnsi="宋体" w:cs="Times New Roman"/>
                <w:color w:val="FF0000"/>
                <w:lang w:val="en-US" w:eastAsia="zh-CN"/>
              </w:rPr>
              <w:t>由于</w:t>
            </w:r>
            <w:r>
              <w:rPr>
                <w:rFonts w:hint="eastAsia" w:hAnsi="宋体" w:cs="Times New Roman"/>
                <w:color w:val="FF0000"/>
              </w:rPr>
              <w:t>升压站周边2</w:t>
            </w:r>
            <w:r>
              <w:rPr>
                <w:rFonts w:hAnsi="宋体" w:cs="Times New Roman"/>
                <w:color w:val="FF0000"/>
              </w:rPr>
              <w:t>00</w:t>
            </w:r>
            <w:r>
              <w:rPr>
                <w:rFonts w:hint="eastAsia" w:hAnsi="宋体" w:cs="Times New Roman"/>
                <w:color w:val="FF0000"/>
              </w:rPr>
              <w:t>m范围内无声环境敏感目标</w:t>
            </w:r>
            <w:r>
              <w:rPr>
                <w:rFonts w:hint="eastAsia" w:hAnsi="宋体" w:cs="Times New Roman"/>
                <w:color w:val="FF0000"/>
                <w:lang w:eastAsia="zh-CN"/>
              </w:rPr>
              <w:t>，</w:t>
            </w:r>
            <w:r>
              <w:rPr>
                <w:rFonts w:hint="eastAsia" w:hAnsi="宋体" w:cs="Times New Roman"/>
                <w:color w:val="FF0000"/>
                <w:lang w:val="en-US" w:eastAsia="zh-CN"/>
              </w:rPr>
              <w:t>因此预测点位选择在围墙外1m，高度取2.5m（需高过实体围墙）</w:t>
            </w:r>
            <w:r>
              <w:rPr>
                <w:rFonts w:hint="eastAsia" w:hAnsi="宋体" w:cs="Times New Roman"/>
                <w:color w:val="FF0000"/>
              </w:rPr>
              <w:t>。</w:t>
            </w:r>
          </w:p>
          <w:p w14:paraId="40DD5E42">
            <w:pPr>
              <w:pStyle w:val="62"/>
              <w:ind w:firstLine="480"/>
              <w:rPr>
                <w:rFonts w:hint="eastAsia" w:hAnsi="宋体" w:cs="Times New Roman"/>
                <w:color w:val="FF0000"/>
                <w:lang w:val="en-US" w:eastAsia="zh-CN"/>
              </w:rPr>
            </w:pPr>
            <w:r>
              <w:rPr>
                <w:rFonts w:hint="eastAsia" w:hAnsi="宋体" w:cs="Times New Roman"/>
                <w:color w:val="FF0000"/>
                <w:lang w:val="en-US" w:eastAsia="zh-CN"/>
              </w:rPr>
              <w:t>升压站</w:t>
            </w:r>
            <w:r>
              <w:rPr>
                <w:rFonts w:hint="eastAsia" w:hAnsi="宋体" w:cs="Times New Roman"/>
                <w:color w:val="FF0000"/>
              </w:rPr>
              <w:t>采用《环境影响评价技术导则-声环境》（HJ2.4-20</w:t>
            </w:r>
            <w:r>
              <w:rPr>
                <w:rFonts w:hAnsi="宋体" w:cs="Times New Roman"/>
                <w:color w:val="FF0000"/>
              </w:rPr>
              <w:t>21</w:t>
            </w:r>
            <w:r>
              <w:rPr>
                <w:rFonts w:hint="eastAsia" w:hAnsi="宋体" w:cs="Times New Roman"/>
                <w:color w:val="FF0000"/>
              </w:rPr>
              <w:t>）中噪声预测模式。预测计算时，在满足工程所需精度的前提下，采用了较为保守的考虑，在噪声衰减时考虑了空气、距离衰减以及综合楼等主要建筑物的阻挡效应，而未考虑声源较远的无声源建（构）筑物之间的衍射和反射衰减、地面反射衰减和绿化树木的声屏障衰减等。升压变电站围墙外地面按光滑反射面考虑。本工程噪声预测结果见下表。</w:t>
            </w:r>
          </w:p>
          <w:p w14:paraId="71CEF694">
            <w:pPr>
              <w:pStyle w:val="62"/>
              <w:spacing w:line="240" w:lineRule="auto"/>
              <w:ind w:firstLine="0" w:firstLineChars="0"/>
              <w:jc w:val="center"/>
              <w:rPr>
                <w:rFonts w:hint="eastAsia" w:hAnsi="宋体" w:cs="Times New Roman"/>
                <w:b/>
                <w:bCs w:val="0"/>
                <w:color w:val="FF0000"/>
                <w:sz w:val="21"/>
                <w:szCs w:val="21"/>
                <w:lang w:val="en-US" w:eastAsia="zh-CN"/>
              </w:rPr>
            </w:pPr>
            <w:r>
              <w:rPr>
                <w:rFonts w:hint="eastAsia" w:hAnsi="宋体" w:cs="Times New Roman"/>
                <w:b/>
                <w:bCs w:val="0"/>
                <w:color w:val="FF0000"/>
                <w:sz w:val="21"/>
                <w:szCs w:val="21"/>
                <w:lang w:val="en-US" w:eastAsia="zh-CN"/>
              </w:rPr>
              <w:t>表4-11  升压站厂界噪声预测结果  单位：dB(A)</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57"/>
              <w:gridCol w:w="1050"/>
              <w:gridCol w:w="744"/>
              <w:gridCol w:w="744"/>
              <w:gridCol w:w="746"/>
              <w:gridCol w:w="744"/>
              <w:gridCol w:w="744"/>
              <w:gridCol w:w="744"/>
              <w:gridCol w:w="747"/>
              <w:gridCol w:w="745"/>
              <w:gridCol w:w="744"/>
            </w:tblGrid>
            <w:tr w14:paraId="046E31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967" w:type="pct"/>
                  <w:gridSpan w:val="2"/>
                  <w:vMerge w:val="restart"/>
                  <w:shd w:val="clear" w:color="auto" w:fill="auto"/>
                  <w:vAlign w:val="center"/>
                </w:tcPr>
                <w:p w14:paraId="4CADBF1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位置</w:t>
                  </w:r>
                </w:p>
              </w:tc>
              <w:tc>
                <w:tcPr>
                  <w:tcW w:w="448" w:type="pct"/>
                  <w:vMerge w:val="restart"/>
                  <w:shd w:val="clear" w:color="auto" w:fill="auto"/>
                  <w:vAlign w:val="center"/>
                </w:tcPr>
                <w:p w14:paraId="1923B54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贡献值</w:t>
                  </w:r>
                </w:p>
              </w:tc>
              <w:tc>
                <w:tcPr>
                  <w:tcW w:w="897" w:type="pct"/>
                  <w:gridSpan w:val="2"/>
                  <w:vAlign w:val="center"/>
                </w:tcPr>
                <w:p w14:paraId="6CDA2D6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现状值</w:t>
                  </w:r>
                </w:p>
              </w:tc>
              <w:tc>
                <w:tcPr>
                  <w:tcW w:w="896" w:type="pct"/>
                  <w:gridSpan w:val="2"/>
                  <w:vAlign w:val="center"/>
                </w:tcPr>
                <w:p w14:paraId="2E840FD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预测值</w:t>
                  </w:r>
                </w:p>
              </w:tc>
              <w:tc>
                <w:tcPr>
                  <w:tcW w:w="897" w:type="pct"/>
                  <w:gridSpan w:val="2"/>
                  <w:vAlign w:val="center"/>
                </w:tcPr>
                <w:p w14:paraId="50B44D7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标准值</w:t>
                  </w:r>
                </w:p>
              </w:tc>
              <w:tc>
                <w:tcPr>
                  <w:tcW w:w="895" w:type="pct"/>
                  <w:gridSpan w:val="2"/>
                  <w:tcBorders>
                    <w:right w:val="nil"/>
                  </w:tcBorders>
                  <w:vAlign w:val="center"/>
                </w:tcPr>
                <w:p w14:paraId="20E3A49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是否达标</w:t>
                  </w:r>
                </w:p>
              </w:tc>
            </w:tr>
            <w:tr w14:paraId="7BF32A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67" w:type="pct"/>
                  <w:gridSpan w:val="2"/>
                  <w:vMerge w:val="continue"/>
                  <w:tcBorders>
                    <w:left w:val="nil"/>
                  </w:tcBorders>
                  <w:shd w:val="clear" w:color="auto" w:fill="auto"/>
                  <w:vAlign w:val="center"/>
                </w:tcPr>
                <w:p w14:paraId="6A8A9B6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448" w:type="pct"/>
                  <w:vMerge w:val="continue"/>
                  <w:shd w:val="clear" w:color="auto" w:fill="auto"/>
                  <w:vAlign w:val="center"/>
                </w:tcPr>
                <w:p w14:paraId="2E1238D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0F64A18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9" w:type="pct"/>
                  <w:vAlign w:val="center"/>
                </w:tcPr>
                <w:p w14:paraId="631B6DE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c>
                <w:tcPr>
                  <w:tcW w:w="448" w:type="pct"/>
                  <w:vAlign w:val="center"/>
                </w:tcPr>
                <w:p w14:paraId="4F48261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8" w:type="pct"/>
                  <w:vAlign w:val="center"/>
                </w:tcPr>
                <w:p w14:paraId="7BF75C9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c>
                <w:tcPr>
                  <w:tcW w:w="448" w:type="pct"/>
                  <w:vAlign w:val="center"/>
                </w:tcPr>
                <w:p w14:paraId="7AD6C6A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9" w:type="pct"/>
                  <w:vAlign w:val="center"/>
                </w:tcPr>
                <w:p w14:paraId="4627E25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c>
                <w:tcPr>
                  <w:tcW w:w="448" w:type="pct"/>
                  <w:vAlign w:val="center"/>
                </w:tcPr>
                <w:p w14:paraId="1DAFC59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昼间</w:t>
                  </w:r>
                </w:p>
              </w:tc>
              <w:tc>
                <w:tcPr>
                  <w:tcW w:w="447" w:type="pct"/>
                  <w:tcBorders>
                    <w:right w:val="nil"/>
                  </w:tcBorders>
                  <w:vAlign w:val="center"/>
                </w:tcPr>
                <w:p w14:paraId="3C4EB38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夜间</w:t>
                  </w:r>
                </w:p>
              </w:tc>
            </w:tr>
            <w:tr w14:paraId="2BA2B1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335" w:type="pct"/>
                  <w:vMerge w:val="restart"/>
                  <w:tcBorders>
                    <w:left w:val="nil"/>
                  </w:tcBorders>
                  <w:shd w:val="clear" w:color="auto" w:fill="auto"/>
                  <w:vAlign w:val="center"/>
                </w:tcPr>
                <w:p w14:paraId="4914BD5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升压站</w:t>
                  </w:r>
                </w:p>
              </w:tc>
              <w:tc>
                <w:tcPr>
                  <w:tcW w:w="632" w:type="pct"/>
                  <w:shd w:val="clear" w:color="auto" w:fill="auto"/>
                  <w:vAlign w:val="center"/>
                </w:tcPr>
                <w:p w14:paraId="0E73E5E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东面厂界</w:t>
                  </w:r>
                </w:p>
              </w:tc>
              <w:tc>
                <w:tcPr>
                  <w:tcW w:w="448" w:type="pct"/>
                  <w:shd w:val="clear" w:color="auto" w:fill="auto"/>
                  <w:vAlign w:val="center"/>
                </w:tcPr>
                <w:p w14:paraId="5F22646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47.91</w:t>
                  </w:r>
                </w:p>
              </w:tc>
              <w:tc>
                <w:tcPr>
                  <w:tcW w:w="448" w:type="pct"/>
                  <w:vAlign w:val="center"/>
                </w:tcPr>
                <w:p w14:paraId="23513BA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49.2</w:t>
                  </w:r>
                </w:p>
              </w:tc>
              <w:tc>
                <w:tcPr>
                  <w:tcW w:w="449" w:type="pct"/>
                  <w:vAlign w:val="center"/>
                </w:tcPr>
                <w:p w14:paraId="6660DC2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41.8</w:t>
                  </w:r>
                </w:p>
              </w:tc>
              <w:tc>
                <w:tcPr>
                  <w:tcW w:w="448" w:type="pct"/>
                  <w:vAlign w:val="center"/>
                </w:tcPr>
                <w:p w14:paraId="49E9678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51.61</w:t>
                  </w:r>
                </w:p>
              </w:tc>
              <w:tc>
                <w:tcPr>
                  <w:tcW w:w="448" w:type="pct"/>
                  <w:vAlign w:val="center"/>
                </w:tcPr>
                <w:p w14:paraId="72CBF93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26CB486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5B2CB64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3FA8D1D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3D6007B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r w14:paraId="6871E3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continue"/>
                  <w:tcBorders>
                    <w:left w:val="nil"/>
                  </w:tcBorders>
                  <w:shd w:val="clear" w:color="auto" w:fill="auto"/>
                  <w:vAlign w:val="center"/>
                </w:tcPr>
                <w:p w14:paraId="6AC355F6">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632" w:type="pct"/>
                  <w:shd w:val="clear" w:color="auto" w:fill="auto"/>
                  <w:vAlign w:val="center"/>
                </w:tcPr>
                <w:p w14:paraId="7D9CC5D4">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南面厂界</w:t>
                  </w:r>
                </w:p>
              </w:tc>
              <w:tc>
                <w:tcPr>
                  <w:tcW w:w="448" w:type="pct"/>
                  <w:shd w:val="clear" w:color="auto" w:fill="auto"/>
                  <w:vAlign w:val="center"/>
                </w:tcPr>
                <w:p w14:paraId="577389A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47.48</w:t>
                  </w:r>
                </w:p>
              </w:tc>
              <w:tc>
                <w:tcPr>
                  <w:tcW w:w="448" w:type="pct"/>
                  <w:vAlign w:val="center"/>
                </w:tcPr>
                <w:p w14:paraId="38F3045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48.9</w:t>
                  </w:r>
                </w:p>
              </w:tc>
              <w:tc>
                <w:tcPr>
                  <w:tcW w:w="449" w:type="pct"/>
                  <w:vAlign w:val="center"/>
                </w:tcPr>
                <w:p w14:paraId="0356AAF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41.9</w:t>
                  </w:r>
                </w:p>
              </w:tc>
              <w:tc>
                <w:tcPr>
                  <w:tcW w:w="448" w:type="pct"/>
                  <w:vAlign w:val="center"/>
                </w:tcPr>
                <w:p w14:paraId="37B6980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51.26</w:t>
                  </w:r>
                </w:p>
              </w:tc>
              <w:tc>
                <w:tcPr>
                  <w:tcW w:w="448" w:type="pct"/>
                  <w:vAlign w:val="center"/>
                </w:tcPr>
                <w:p w14:paraId="27A3FB7F">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7BC4194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01BC84D0">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72EB4A8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7674A0C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r w14:paraId="0D208A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continue"/>
                  <w:tcBorders>
                    <w:left w:val="nil"/>
                  </w:tcBorders>
                  <w:shd w:val="clear" w:color="auto" w:fill="auto"/>
                  <w:vAlign w:val="center"/>
                </w:tcPr>
                <w:p w14:paraId="3793427A">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632" w:type="pct"/>
                  <w:shd w:val="clear" w:color="auto" w:fill="auto"/>
                  <w:vAlign w:val="center"/>
                </w:tcPr>
                <w:p w14:paraId="1D9CED7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西面厂界</w:t>
                  </w:r>
                </w:p>
              </w:tc>
              <w:tc>
                <w:tcPr>
                  <w:tcW w:w="448" w:type="pct"/>
                  <w:shd w:val="clear" w:color="auto" w:fill="auto"/>
                  <w:vAlign w:val="center"/>
                </w:tcPr>
                <w:p w14:paraId="7FE0808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46.85</w:t>
                  </w:r>
                </w:p>
              </w:tc>
              <w:tc>
                <w:tcPr>
                  <w:tcW w:w="448" w:type="pct"/>
                  <w:vAlign w:val="center"/>
                </w:tcPr>
                <w:p w14:paraId="2C2FF881">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49.1</w:t>
                  </w:r>
                </w:p>
              </w:tc>
              <w:tc>
                <w:tcPr>
                  <w:tcW w:w="449" w:type="pct"/>
                  <w:vAlign w:val="center"/>
                </w:tcPr>
                <w:p w14:paraId="4AAD9737">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42.5</w:t>
                  </w:r>
                </w:p>
              </w:tc>
              <w:tc>
                <w:tcPr>
                  <w:tcW w:w="448" w:type="pct"/>
                  <w:vAlign w:val="center"/>
                </w:tcPr>
                <w:p w14:paraId="64BCD53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51.13</w:t>
                  </w:r>
                </w:p>
              </w:tc>
              <w:tc>
                <w:tcPr>
                  <w:tcW w:w="448" w:type="pct"/>
                  <w:vAlign w:val="center"/>
                </w:tcPr>
                <w:p w14:paraId="7E84288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77D9390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42212B7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7CC76B19">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6AAA1A7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r w14:paraId="3D5B9D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5" w:type="pct"/>
                  <w:vMerge w:val="continue"/>
                  <w:tcBorders>
                    <w:left w:val="nil"/>
                  </w:tcBorders>
                  <w:shd w:val="clear" w:color="auto" w:fill="auto"/>
                  <w:vAlign w:val="center"/>
                </w:tcPr>
                <w:p w14:paraId="38D87BD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p>
              </w:tc>
              <w:tc>
                <w:tcPr>
                  <w:tcW w:w="632" w:type="pct"/>
                  <w:shd w:val="clear" w:color="auto" w:fill="auto"/>
                  <w:vAlign w:val="center"/>
                </w:tcPr>
                <w:p w14:paraId="2D2B61D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北面厂界</w:t>
                  </w:r>
                </w:p>
              </w:tc>
              <w:tc>
                <w:tcPr>
                  <w:tcW w:w="448" w:type="pct"/>
                  <w:shd w:val="clear" w:color="auto" w:fill="auto"/>
                  <w:vAlign w:val="center"/>
                </w:tcPr>
                <w:p w14:paraId="5602F08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47.06</w:t>
                  </w:r>
                </w:p>
              </w:tc>
              <w:tc>
                <w:tcPr>
                  <w:tcW w:w="448" w:type="pct"/>
                  <w:vAlign w:val="center"/>
                </w:tcPr>
                <w:p w14:paraId="6A4878DE">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49.1</w:t>
                  </w:r>
                </w:p>
              </w:tc>
              <w:tc>
                <w:tcPr>
                  <w:tcW w:w="449" w:type="pct"/>
                  <w:vAlign w:val="center"/>
                </w:tcPr>
                <w:p w14:paraId="68EF574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42.6</w:t>
                  </w:r>
                </w:p>
              </w:tc>
              <w:tc>
                <w:tcPr>
                  <w:tcW w:w="448" w:type="pct"/>
                  <w:vAlign w:val="center"/>
                </w:tcPr>
                <w:p w14:paraId="7C1ECEEB">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51.21</w:t>
                  </w:r>
                </w:p>
              </w:tc>
              <w:tc>
                <w:tcPr>
                  <w:tcW w:w="448" w:type="pct"/>
                  <w:vAlign w:val="center"/>
                </w:tcPr>
                <w:p w14:paraId="52EF60F2">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default"/>
                      <w:strike w:val="0"/>
                      <w:dstrike w:val="0"/>
                      <w:color w:val="000000" w:themeColor="text1"/>
                      <w:sz w:val="21"/>
                      <w:szCs w:val="21"/>
                      <w:u w:val="none"/>
                      <w:vertAlign w:val="baseline"/>
                      <w:lang w:val="en-US" w:eastAsia="zh-CN"/>
                      <w14:textFill>
                        <w14:solidFill>
                          <w14:schemeClr w14:val="tx1"/>
                        </w14:solidFill>
                      </w14:textFill>
                    </w:rPr>
                  </w:pPr>
                </w:p>
              </w:tc>
              <w:tc>
                <w:tcPr>
                  <w:tcW w:w="448" w:type="pct"/>
                  <w:vAlign w:val="center"/>
                </w:tcPr>
                <w:p w14:paraId="4F76E043">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60</w:t>
                  </w:r>
                </w:p>
              </w:tc>
              <w:tc>
                <w:tcPr>
                  <w:tcW w:w="449" w:type="pct"/>
                  <w:vAlign w:val="center"/>
                </w:tcPr>
                <w:p w14:paraId="14110B55">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50</w:t>
                  </w:r>
                </w:p>
              </w:tc>
              <w:tc>
                <w:tcPr>
                  <w:tcW w:w="448" w:type="pct"/>
                  <w:vAlign w:val="center"/>
                </w:tcPr>
                <w:p w14:paraId="5FF95258">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c>
                <w:tcPr>
                  <w:tcW w:w="447" w:type="pct"/>
                  <w:tcBorders>
                    <w:right w:val="nil"/>
                  </w:tcBorders>
                  <w:vAlign w:val="center"/>
                </w:tcPr>
                <w:p w14:paraId="2EB381AD">
                  <w:pPr>
                    <w:keepNext w:val="0"/>
                    <w:keepLines w:val="0"/>
                    <w:pageBreakBefore w:val="0"/>
                    <w:widowControl w:val="0"/>
                    <w:tabs>
                      <w:tab w:val="left" w:pos="480"/>
                    </w:tabs>
                    <w:kinsoku/>
                    <w:wordWrap/>
                    <w:overflowPunct/>
                    <w:topLinePunct w:val="0"/>
                    <w:autoSpaceDE/>
                    <w:autoSpaceDN/>
                    <w:bidi w:val="0"/>
                    <w:adjustRightInd w:val="0"/>
                    <w:snapToGrid w:val="0"/>
                    <w:spacing w:line="240" w:lineRule="auto"/>
                    <w:ind w:firstLine="0" w:firstLineChars="0"/>
                    <w:jc w:val="center"/>
                    <w:textAlignment w:val="auto"/>
                    <w:rPr>
                      <w:rFonts w:hint="eastAsia"/>
                      <w:strike w:val="0"/>
                      <w:dstrike w:val="0"/>
                      <w:color w:val="000000" w:themeColor="text1"/>
                      <w:sz w:val="21"/>
                      <w:szCs w:val="21"/>
                      <w:u w:val="none"/>
                      <w:vertAlign w:val="baseline"/>
                      <w:lang w:val="en-US" w:eastAsia="zh-CN"/>
                      <w14:textFill>
                        <w14:solidFill>
                          <w14:schemeClr w14:val="tx1"/>
                        </w14:solidFill>
                      </w14:textFill>
                    </w:rPr>
                  </w:pPr>
                  <w:r>
                    <w:rPr>
                      <w:rFonts w:hint="eastAsia"/>
                      <w:strike w:val="0"/>
                      <w:dstrike w:val="0"/>
                      <w:color w:val="000000" w:themeColor="text1"/>
                      <w:sz w:val="21"/>
                      <w:szCs w:val="21"/>
                      <w:u w:val="none"/>
                      <w:vertAlign w:val="baseline"/>
                      <w:lang w:val="en-US" w:eastAsia="zh-CN"/>
                      <w14:textFill>
                        <w14:solidFill>
                          <w14:schemeClr w14:val="tx1"/>
                        </w14:solidFill>
                      </w14:textFill>
                    </w:rPr>
                    <w:t>达标</w:t>
                  </w:r>
                </w:p>
              </w:tc>
            </w:tr>
          </w:tbl>
          <w:p w14:paraId="34D1F2E9">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预测结果表明：</w:t>
            </w:r>
            <w:r>
              <w:rPr>
                <w:rFonts w:hint="eastAsia"/>
                <w:color w:val="000000" w:themeColor="text1"/>
                <w:sz w:val="24"/>
                <w:highlight w:val="none"/>
                <w14:textFill>
                  <w14:solidFill>
                    <w14:schemeClr w14:val="tx1"/>
                  </w14:solidFill>
                </w14:textFill>
              </w:rPr>
              <w:t>升压站</w:t>
            </w:r>
            <w:r>
              <w:rPr>
                <w:rFonts w:hint="eastAsia"/>
                <w:color w:val="000000" w:themeColor="text1"/>
                <w:sz w:val="24"/>
                <w:highlight w:val="none"/>
                <w:lang w:eastAsia="zh-CN"/>
                <w14:textFill>
                  <w14:solidFill>
                    <w14:schemeClr w14:val="tx1"/>
                  </w14:solidFill>
                </w14:textFill>
              </w:rPr>
              <w:t>扩建后，厂</w:t>
            </w:r>
            <w:r>
              <w:rPr>
                <w:color w:val="000000" w:themeColor="text1"/>
                <w:sz w:val="24"/>
                <w:highlight w:val="none"/>
                <w14:textFill>
                  <w14:solidFill>
                    <w14:schemeClr w14:val="tx1"/>
                  </w14:solidFill>
                </w14:textFill>
              </w:rPr>
              <w:t>界噪声排放满足《工业企业厂界环境噪声排放标准》（GB12348-2008）2类标准要求。</w:t>
            </w:r>
          </w:p>
          <w:p w14:paraId="547755BD">
            <w:pPr>
              <w:spacing w:line="360" w:lineRule="auto"/>
              <w:rPr>
                <w:rFonts w:hint="eastAsia"/>
                <w:sz w:val="24"/>
                <w:lang w:val="en-US" w:eastAsia="zh-CN"/>
              </w:rPr>
            </w:pPr>
            <w:r>
              <w:rPr>
                <w:rFonts w:hint="eastAsia"/>
                <w:sz w:val="24"/>
                <w:lang w:val="en-US" w:eastAsia="zh-CN"/>
              </w:rPr>
              <w:drawing>
                <wp:inline distT="0" distB="0" distL="114300" distR="114300">
                  <wp:extent cx="5290185" cy="1276350"/>
                  <wp:effectExtent l="0" t="0" r="5715" b="0"/>
                  <wp:docPr id="81" name="图片 81" descr="171177490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711774907790"/>
                          <pic:cNvPicPr>
                            <a:picLocks noChangeAspect="1"/>
                          </pic:cNvPicPr>
                        </pic:nvPicPr>
                        <pic:blipFill>
                          <a:blip r:embed="rId54"/>
                          <a:stretch>
                            <a:fillRect/>
                          </a:stretch>
                        </pic:blipFill>
                        <pic:spPr>
                          <a:xfrm>
                            <a:off x="0" y="0"/>
                            <a:ext cx="5290185" cy="1276350"/>
                          </a:xfrm>
                          <a:prstGeom prst="rect">
                            <a:avLst/>
                          </a:prstGeom>
                        </pic:spPr>
                      </pic:pic>
                    </a:graphicData>
                  </a:graphic>
                </wp:inline>
              </w:drawing>
            </w:r>
          </w:p>
          <w:p w14:paraId="55E22249">
            <w:pPr>
              <w:spacing w:line="360" w:lineRule="auto"/>
              <w:rPr>
                <w:rFonts w:hint="eastAsia"/>
                <w:sz w:val="24"/>
                <w:lang w:val="en-US" w:eastAsia="zh-CN"/>
              </w:rPr>
            </w:pPr>
            <w:r>
              <w:rPr>
                <w:rFonts w:hint="eastAsia"/>
                <w:sz w:val="24"/>
                <w:lang w:val="en-US" w:eastAsia="zh-CN"/>
              </w:rPr>
              <w:drawing>
                <wp:inline distT="0" distB="0" distL="114300" distR="114300">
                  <wp:extent cx="5293995" cy="1266190"/>
                  <wp:effectExtent l="0" t="0" r="1905" b="10160"/>
                  <wp:docPr id="82" name="图片 82" descr="171177492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1711774928023"/>
                          <pic:cNvPicPr>
                            <a:picLocks noChangeAspect="1"/>
                          </pic:cNvPicPr>
                        </pic:nvPicPr>
                        <pic:blipFill>
                          <a:blip r:embed="rId55"/>
                          <a:stretch>
                            <a:fillRect/>
                          </a:stretch>
                        </pic:blipFill>
                        <pic:spPr>
                          <a:xfrm>
                            <a:off x="0" y="0"/>
                            <a:ext cx="5293995" cy="1266190"/>
                          </a:xfrm>
                          <a:prstGeom prst="rect">
                            <a:avLst/>
                          </a:prstGeom>
                        </pic:spPr>
                      </pic:pic>
                    </a:graphicData>
                  </a:graphic>
                </wp:inline>
              </w:drawing>
            </w:r>
          </w:p>
          <w:p w14:paraId="24AEB1C9">
            <w:pPr>
              <w:spacing w:line="360" w:lineRule="auto"/>
              <w:rPr>
                <w:rFonts w:hint="eastAsia"/>
                <w:sz w:val="24"/>
                <w:lang w:val="en-US" w:eastAsia="zh-CN"/>
              </w:rPr>
            </w:pPr>
            <w:r>
              <w:rPr>
                <w:rFonts w:hint="eastAsia"/>
                <w:sz w:val="24"/>
                <w:lang w:val="en-US" w:eastAsia="zh-CN"/>
              </w:rPr>
              <w:drawing>
                <wp:inline distT="0" distB="0" distL="114300" distR="114300">
                  <wp:extent cx="5292090" cy="3506470"/>
                  <wp:effectExtent l="0" t="0" r="3810" b="17780"/>
                  <wp:docPr id="80" name="图片 80" descr="171177452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711774529499"/>
                          <pic:cNvPicPr>
                            <a:picLocks noChangeAspect="1"/>
                          </pic:cNvPicPr>
                        </pic:nvPicPr>
                        <pic:blipFill>
                          <a:blip r:embed="rId56"/>
                          <a:stretch>
                            <a:fillRect/>
                          </a:stretch>
                        </pic:blipFill>
                        <pic:spPr>
                          <a:xfrm>
                            <a:off x="0" y="0"/>
                            <a:ext cx="5292090" cy="3506470"/>
                          </a:xfrm>
                          <a:prstGeom prst="rect">
                            <a:avLst/>
                          </a:prstGeom>
                        </pic:spPr>
                      </pic:pic>
                    </a:graphicData>
                  </a:graphic>
                </wp:inline>
              </w:drawing>
            </w:r>
          </w:p>
          <w:p w14:paraId="661045A3">
            <w:pPr>
              <w:pStyle w:val="61"/>
              <w:ind w:left="0" w:leftChars="0" w:firstLine="0" w:firstLineChars="0"/>
              <w:jc w:val="center"/>
              <w:rPr>
                <w:rFonts w:hint="eastAsia" w:hAnsi="宋体" w:cs="Times New Roman"/>
                <w:color w:val="auto"/>
                <w:spacing w:val="0"/>
                <w:kern w:val="2"/>
                <w:szCs w:val="20"/>
              </w:rPr>
            </w:pPr>
            <w:r>
              <w:rPr>
                <w:rFonts w:hint="eastAsia" w:hAnsi="宋体" w:cs="Times New Roman"/>
                <w:b/>
                <w:bCs/>
                <w:color w:val="auto"/>
                <w:spacing w:val="0"/>
                <w:kern w:val="2"/>
                <w:szCs w:val="20"/>
                <w:lang w:val="en-US" w:eastAsia="zh-CN"/>
              </w:rPr>
              <w:t>图4-7  升压站等声值线图</w:t>
            </w:r>
          </w:p>
          <w:p w14:paraId="1826CBCD">
            <w:pPr>
              <w:spacing w:line="360" w:lineRule="auto"/>
              <w:ind w:firstLine="480" w:firstLineChars="200"/>
              <w:rPr>
                <w:sz w:val="24"/>
              </w:rPr>
            </w:pPr>
            <w:r>
              <w:rPr>
                <w:rFonts w:hint="eastAsia"/>
                <w:sz w:val="24"/>
                <w:lang w:val="en-US" w:eastAsia="zh-CN"/>
              </w:rPr>
              <w:t>升压站</w:t>
            </w:r>
            <w:r>
              <w:rPr>
                <w:sz w:val="24"/>
              </w:rPr>
              <w:t>最近敏感点为</w:t>
            </w:r>
            <w:r>
              <w:rPr>
                <w:rFonts w:hint="eastAsia"/>
                <w:sz w:val="24"/>
                <w:lang w:val="en-US" w:eastAsia="zh-CN"/>
              </w:rPr>
              <w:t>西南</w:t>
            </w:r>
            <w:r>
              <w:rPr>
                <w:sz w:val="24"/>
              </w:rPr>
              <w:t>侧</w:t>
            </w:r>
            <w:r>
              <w:rPr>
                <w:rFonts w:hint="eastAsia"/>
                <w:sz w:val="24"/>
                <w:lang w:val="en-US" w:eastAsia="zh-CN"/>
              </w:rPr>
              <w:t>385</w:t>
            </w:r>
            <w:r>
              <w:rPr>
                <w:sz w:val="24"/>
              </w:rPr>
              <w:t>m</w:t>
            </w:r>
            <w:r>
              <w:rPr>
                <w:rFonts w:hint="eastAsia"/>
                <w:sz w:val="24"/>
              </w:rPr>
              <w:t>的</w:t>
            </w:r>
            <w:r>
              <w:rPr>
                <w:rFonts w:hint="eastAsia"/>
                <w:sz w:val="24"/>
                <w:lang w:val="en-US" w:eastAsia="zh-CN"/>
              </w:rPr>
              <w:t>坪里</w:t>
            </w:r>
            <w:r>
              <w:rPr>
                <w:sz w:val="24"/>
              </w:rPr>
              <w:t>居民点</w:t>
            </w:r>
            <w:r>
              <w:rPr>
                <w:rFonts w:hint="eastAsia"/>
                <w:sz w:val="24"/>
                <w:lang w:eastAsia="zh-CN"/>
              </w:rPr>
              <w:t>，</w:t>
            </w:r>
            <w:r>
              <w:rPr>
                <w:rFonts w:hint="eastAsia"/>
                <w:sz w:val="24"/>
                <w:lang w:val="en-US" w:eastAsia="zh-CN"/>
              </w:rPr>
              <w:t>经距离衰减后，昼夜噪声均远小于</w:t>
            </w:r>
            <w:r>
              <w:rPr>
                <w:sz w:val="24"/>
              </w:rPr>
              <w:t>《声环境质量标准》（GB3096-2008）中2类要求，</w:t>
            </w:r>
            <w:r>
              <w:rPr>
                <w:rFonts w:hint="eastAsia"/>
                <w:sz w:val="24"/>
                <w:lang w:val="en-US" w:eastAsia="zh-CN"/>
              </w:rPr>
              <w:t>因此升压站</w:t>
            </w:r>
            <w:r>
              <w:rPr>
                <w:sz w:val="24"/>
              </w:rPr>
              <w:t>实施对周围敏感目标的声环境影响较小。</w:t>
            </w:r>
          </w:p>
          <w:p w14:paraId="688683ED">
            <w:pPr>
              <w:spacing w:line="360" w:lineRule="auto"/>
              <w:jc w:val="left"/>
              <w:rPr>
                <w:b/>
                <w:bCs/>
                <w:sz w:val="28"/>
                <w:szCs w:val="28"/>
              </w:rPr>
            </w:pPr>
            <w:r>
              <w:rPr>
                <w:rFonts w:hint="eastAsia"/>
                <w:b/>
                <w:bCs/>
                <w:sz w:val="24"/>
              </w:rPr>
              <w:t>4.</w:t>
            </w:r>
            <w:r>
              <w:rPr>
                <w:b/>
                <w:bCs/>
                <w:sz w:val="24"/>
              </w:rPr>
              <w:t>11</w:t>
            </w:r>
            <w:r>
              <w:rPr>
                <w:rFonts w:hint="eastAsia"/>
                <w:b/>
                <w:bCs/>
                <w:sz w:val="24"/>
              </w:rPr>
              <w:t>固废环境影响分析</w:t>
            </w:r>
          </w:p>
          <w:p w14:paraId="7EB0324A">
            <w:pPr>
              <w:spacing w:line="360" w:lineRule="auto"/>
              <w:ind w:firstLine="480" w:firstLineChars="200"/>
              <w:rPr>
                <w:sz w:val="24"/>
              </w:rPr>
            </w:pPr>
            <w:r>
              <w:rPr>
                <w:sz w:val="24"/>
              </w:rPr>
              <w:t>营运期产生的固体废物主要为风电场职工生活垃圾、废旧蓄电池、</w:t>
            </w:r>
            <w:r>
              <w:rPr>
                <w:rFonts w:hint="eastAsia"/>
                <w:sz w:val="24"/>
              </w:rPr>
              <w:t>废油</w:t>
            </w:r>
            <w:r>
              <w:rPr>
                <w:sz w:val="24"/>
              </w:rPr>
              <w:t>等。</w:t>
            </w:r>
          </w:p>
          <w:p w14:paraId="244089D6">
            <w:pPr>
              <w:spacing w:line="360" w:lineRule="auto"/>
              <w:ind w:firstLine="480" w:firstLineChars="200"/>
              <w:rPr>
                <w:sz w:val="24"/>
              </w:rPr>
            </w:pPr>
            <w:r>
              <w:rPr>
                <w:sz w:val="24"/>
              </w:rPr>
              <w:t>（1）生活垃圾</w:t>
            </w:r>
          </w:p>
          <w:p w14:paraId="459A567B">
            <w:pPr>
              <w:spacing w:line="360" w:lineRule="auto"/>
              <w:ind w:firstLine="480" w:firstLineChars="200"/>
              <w:rPr>
                <w:sz w:val="24"/>
              </w:rPr>
            </w:pPr>
            <w:r>
              <w:rPr>
                <w:sz w:val="24"/>
              </w:rPr>
              <w:t>营运期风电场劳动定员为</w:t>
            </w:r>
            <w:r>
              <w:rPr>
                <w:rFonts w:hint="eastAsia"/>
                <w:sz w:val="24"/>
              </w:rPr>
              <w:t>10</w:t>
            </w:r>
            <w:r>
              <w:rPr>
                <w:sz w:val="24"/>
              </w:rPr>
              <w:t>人，生活垃圾日产生量按</w:t>
            </w:r>
            <w:r>
              <w:rPr>
                <w:rFonts w:hint="eastAsia"/>
                <w:sz w:val="24"/>
              </w:rPr>
              <w:t>0.5</w:t>
            </w:r>
            <w:r>
              <w:rPr>
                <w:sz w:val="24"/>
              </w:rPr>
              <w:t>kg/d计，则风电场职工生活垃圾产生量为</w:t>
            </w:r>
            <w:r>
              <w:rPr>
                <w:rFonts w:hint="eastAsia"/>
                <w:sz w:val="24"/>
              </w:rPr>
              <w:t>5</w:t>
            </w:r>
            <w:r>
              <w:rPr>
                <w:sz w:val="24"/>
              </w:rPr>
              <w:t>kg/d。</w:t>
            </w:r>
          </w:p>
          <w:p w14:paraId="0C31E0F5">
            <w:pPr>
              <w:spacing w:line="360" w:lineRule="auto"/>
              <w:ind w:firstLine="480" w:firstLineChars="200"/>
              <w:rPr>
                <w:sz w:val="24"/>
              </w:rPr>
            </w:pPr>
            <w:r>
              <w:rPr>
                <w:sz w:val="24"/>
              </w:rPr>
              <w:t>（2）废旧蓄电池</w:t>
            </w:r>
          </w:p>
          <w:p w14:paraId="6F236A2F">
            <w:pPr>
              <w:spacing w:line="360" w:lineRule="auto"/>
              <w:ind w:firstLine="480" w:firstLineChars="200"/>
              <w:rPr>
                <w:sz w:val="24"/>
              </w:rPr>
            </w:pPr>
            <w:r>
              <w:rPr>
                <w:rFonts w:hint="eastAsia"/>
                <w:sz w:val="24"/>
              </w:rPr>
              <w:t>本</w:t>
            </w:r>
            <w:r>
              <w:rPr>
                <w:sz w:val="24"/>
              </w:rPr>
              <w:t>项目</w:t>
            </w:r>
            <w:r>
              <w:rPr>
                <w:rFonts w:hint="eastAsia"/>
                <w:sz w:val="24"/>
              </w:rPr>
              <w:t>升压站</w:t>
            </w:r>
            <w:r>
              <w:rPr>
                <w:sz w:val="24"/>
              </w:rPr>
              <w:t>的蓄电池免维护，使用寿命约</w:t>
            </w:r>
            <w:r>
              <w:rPr>
                <w:sz w:val="24"/>
                <w:u w:val="none"/>
              </w:rPr>
              <w:t>8年</w:t>
            </w:r>
            <w:r>
              <w:rPr>
                <w:sz w:val="24"/>
              </w:rPr>
              <w:t>，更换后暂存于危废暂存间内，</w:t>
            </w:r>
            <w:r>
              <w:rPr>
                <w:rFonts w:hint="eastAsia"/>
                <w:sz w:val="24"/>
              </w:rPr>
              <w:t>由厂家回收</w:t>
            </w:r>
            <w:r>
              <w:rPr>
                <w:sz w:val="24"/>
              </w:rPr>
              <w:t>处置。</w:t>
            </w:r>
          </w:p>
          <w:p w14:paraId="5AEBF8AA">
            <w:pPr>
              <w:spacing w:line="360" w:lineRule="auto"/>
              <w:ind w:firstLine="480" w:firstLineChars="200"/>
              <w:rPr>
                <w:sz w:val="24"/>
              </w:rPr>
            </w:pPr>
            <w:r>
              <w:rPr>
                <w:sz w:val="24"/>
              </w:rPr>
              <w:t>根据《国家危险废物名录》（20</w:t>
            </w:r>
            <w:r>
              <w:rPr>
                <w:rFonts w:hint="eastAsia"/>
                <w:sz w:val="24"/>
              </w:rPr>
              <w:t>21</w:t>
            </w:r>
            <w:r>
              <w:rPr>
                <w:sz w:val="24"/>
              </w:rPr>
              <w:t>年），风力发电机组产生的废旧蓄电池属于HW49其他废物类危险废物</w:t>
            </w:r>
            <w:r>
              <w:rPr>
                <w:rFonts w:hint="eastAsia"/>
                <w:sz w:val="24"/>
              </w:rPr>
              <w:t>，废物代码为900-044-49，危险特性为毒性。</w:t>
            </w:r>
          </w:p>
          <w:p w14:paraId="2D44EE92">
            <w:pPr>
              <w:spacing w:line="360" w:lineRule="auto"/>
              <w:ind w:firstLine="480" w:firstLineChars="200"/>
              <w:rPr>
                <w:sz w:val="24"/>
              </w:rPr>
            </w:pPr>
            <w:r>
              <w:rPr>
                <w:sz w:val="24"/>
              </w:rPr>
              <w:t>（3）废油</w:t>
            </w:r>
          </w:p>
          <w:p w14:paraId="4B5CFD3D">
            <w:pPr>
              <w:spacing w:line="360" w:lineRule="auto"/>
              <w:ind w:firstLine="480" w:firstLineChars="200"/>
              <w:rPr>
                <w:rFonts w:hint="eastAsia" w:eastAsia="宋体"/>
                <w:color w:val="FF0000"/>
                <w:sz w:val="24"/>
                <w:szCs w:val="32"/>
                <w:u w:val="none"/>
                <w:lang w:eastAsia="zh-CN"/>
              </w:rPr>
            </w:pPr>
            <w:r>
              <w:rPr>
                <w:color w:val="FF0000"/>
                <w:sz w:val="24"/>
              </w:rPr>
              <w:t>风电机组产生的废油主要包括废润滑油、废变压器油。</w:t>
            </w:r>
            <w:r>
              <w:rPr>
                <w:color w:val="FF0000"/>
                <w:sz w:val="24"/>
                <w:shd w:val="clear" w:color="auto" w:fill="FFFFFF"/>
              </w:rPr>
              <w:t>风力发电机故障检修时，产生极少量废油，主要为风力发电机润滑油。风力发电机润滑油循环使用，检修过程中仅进行少量的补加工作，废润滑油的产生量约为</w:t>
            </w:r>
            <w:r>
              <w:rPr>
                <w:color w:val="FF0000"/>
                <w:sz w:val="24"/>
              </w:rPr>
              <w:t>5kg/a·台，属于危险废物，</w:t>
            </w:r>
            <w:r>
              <w:rPr>
                <w:color w:val="FF0000"/>
                <w:kern w:val="0"/>
                <w:sz w:val="24"/>
              </w:rPr>
              <w:t>交由具有相应资质的单位进行处置。</w:t>
            </w:r>
            <w:r>
              <w:rPr>
                <w:color w:val="FF0000"/>
                <w:sz w:val="24"/>
                <w:szCs w:val="32"/>
                <w:lang w:val="sq-AL"/>
              </w:rPr>
              <w:t>本项目主变压器为油浸式变压器，发生漏油事故时，主变会排放事故油。根据类似变压器的含油量，</w:t>
            </w:r>
            <w:r>
              <w:rPr>
                <w:color w:val="FF0000"/>
                <w:sz w:val="24"/>
                <w:szCs w:val="32"/>
                <w:u w:val="none"/>
                <w:lang w:val="sq-AL"/>
              </w:rPr>
              <w:t>本项目主变</w:t>
            </w:r>
            <w:r>
              <w:rPr>
                <w:rFonts w:hint="eastAsia"/>
                <w:color w:val="FF0000"/>
                <w:sz w:val="24"/>
                <w:szCs w:val="32"/>
                <w:u w:val="none"/>
                <w:lang w:val="sq-AL"/>
              </w:rPr>
              <w:t>油量约</w:t>
            </w:r>
            <w:r>
              <w:rPr>
                <w:color w:val="FF0000"/>
                <w:sz w:val="24"/>
                <w:szCs w:val="32"/>
                <w:u w:val="none"/>
                <w:lang w:val="sq-AL"/>
              </w:rPr>
              <w:t>25</w:t>
            </w:r>
            <w:r>
              <w:rPr>
                <w:rFonts w:hint="eastAsia"/>
                <w:color w:val="FF0000"/>
                <w:sz w:val="24"/>
                <w:szCs w:val="32"/>
                <w:u w:val="none"/>
                <w:lang w:val="sq-AL"/>
              </w:rPr>
              <w:t>t，本项目主变压器设置1个</w:t>
            </w:r>
            <w:r>
              <w:rPr>
                <w:color w:val="FF0000"/>
                <w:sz w:val="24"/>
                <w:szCs w:val="32"/>
                <w:u w:val="none"/>
                <w:lang w:val="sq-AL"/>
              </w:rPr>
              <w:t>30</w:t>
            </w:r>
            <w:r>
              <w:rPr>
                <w:rFonts w:hint="eastAsia"/>
                <w:color w:val="FF0000"/>
                <w:sz w:val="24"/>
                <w:szCs w:val="32"/>
                <w:u w:val="none"/>
                <w:lang w:val="sq-AL"/>
              </w:rPr>
              <w:t>m</w:t>
            </w:r>
            <w:r>
              <w:rPr>
                <w:color w:val="FF0000"/>
                <w:sz w:val="24"/>
                <w:szCs w:val="32"/>
                <w:u w:val="none"/>
                <w:vertAlign w:val="superscript"/>
                <w:lang w:val="sq-AL"/>
              </w:rPr>
              <w:t>3</w:t>
            </w:r>
            <w:r>
              <w:rPr>
                <w:rFonts w:hint="eastAsia"/>
                <w:color w:val="FF0000"/>
                <w:sz w:val="24"/>
                <w:szCs w:val="32"/>
                <w:u w:val="none"/>
                <w:lang w:val="sq-AL"/>
              </w:rPr>
              <w:t>应急事故池。本项目箱式变压器为油浸式，油量约1t，本项目共1</w:t>
            </w:r>
            <w:r>
              <w:rPr>
                <w:rFonts w:hint="eastAsia"/>
                <w:color w:val="FF0000"/>
                <w:sz w:val="24"/>
                <w:szCs w:val="32"/>
                <w:u w:val="none"/>
                <w:lang w:val="en-US" w:eastAsia="zh-CN"/>
              </w:rPr>
              <w:t>6</w:t>
            </w:r>
            <w:r>
              <w:rPr>
                <w:rFonts w:hint="eastAsia"/>
                <w:color w:val="FF0000"/>
                <w:sz w:val="24"/>
                <w:szCs w:val="32"/>
                <w:u w:val="none"/>
                <w:lang w:val="sq-AL"/>
              </w:rPr>
              <w:t>个箱式变压器，每个箱式变压器下方设置1个</w:t>
            </w:r>
            <w:r>
              <w:rPr>
                <w:color w:val="FF0000"/>
                <w:sz w:val="24"/>
                <w:szCs w:val="32"/>
                <w:u w:val="none"/>
                <w:lang w:val="sq-AL"/>
              </w:rPr>
              <w:t>1.5</w:t>
            </w:r>
            <w:r>
              <w:rPr>
                <w:rFonts w:hint="eastAsia"/>
                <w:color w:val="FF0000"/>
                <w:sz w:val="24"/>
                <w:szCs w:val="32"/>
                <w:u w:val="none"/>
                <w:lang w:val="sq-AL"/>
              </w:rPr>
              <w:t>m</w:t>
            </w:r>
            <w:r>
              <w:rPr>
                <w:color w:val="FF0000"/>
                <w:sz w:val="24"/>
                <w:szCs w:val="32"/>
                <w:u w:val="none"/>
                <w:vertAlign w:val="superscript"/>
                <w:lang w:val="sq-AL"/>
              </w:rPr>
              <w:t>3</w:t>
            </w:r>
            <w:r>
              <w:rPr>
                <w:rFonts w:hint="eastAsia"/>
                <w:color w:val="FF0000"/>
                <w:sz w:val="24"/>
                <w:szCs w:val="32"/>
                <w:u w:val="none"/>
                <w:lang w:val="sq-AL"/>
              </w:rPr>
              <w:t>的事故油池</w:t>
            </w:r>
            <w:r>
              <w:rPr>
                <w:rFonts w:hint="eastAsia"/>
                <w:color w:val="FF0000"/>
                <w:sz w:val="24"/>
                <w:szCs w:val="32"/>
                <w:u w:val="none"/>
                <w:lang w:val="sq-AL" w:eastAsia="zh-CN"/>
              </w:rPr>
              <w:t>。</w:t>
            </w:r>
          </w:p>
          <w:p w14:paraId="2D884B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szCs w:val="32"/>
              </w:rPr>
            </w:pPr>
            <w:r>
              <w:rPr>
                <w:sz w:val="24"/>
              </w:rPr>
              <w:t>根据《国家危险废物名录》（20</w:t>
            </w:r>
            <w:r>
              <w:rPr>
                <w:rFonts w:hint="eastAsia"/>
                <w:sz w:val="24"/>
              </w:rPr>
              <w:t>21</w:t>
            </w:r>
            <w:r>
              <w:rPr>
                <w:sz w:val="24"/>
              </w:rPr>
              <w:t>年），废润滑油、废变压器油属于HW08废矿物油与含油矿物类危险废物</w:t>
            </w:r>
            <w:r>
              <w:rPr>
                <w:rFonts w:hint="eastAsia"/>
                <w:sz w:val="24"/>
              </w:rPr>
              <w:t>，危险特性为毒性、易燃性</w:t>
            </w:r>
            <w:r>
              <w:rPr>
                <w:sz w:val="24"/>
              </w:rPr>
              <w:t>。</w:t>
            </w:r>
            <w:r>
              <w:rPr>
                <w:spacing w:val="-9"/>
                <w:sz w:val="24"/>
              </w:rPr>
              <w:t>危废暂存间</w:t>
            </w:r>
            <w:r>
              <w:rPr>
                <w:rFonts w:eastAsia="Times New Roman"/>
                <w:sz w:val="24"/>
              </w:rPr>
              <w:t>25m</w:t>
            </w:r>
            <w:r>
              <w:rPr>
                <w:rFonts w:eastAsia="Times New Roman"/>
                <w:position w:val="8"/>
                <w:sz w:val="15"/>
              </w:rPr>
              <w:t>2</w:t>
            </w:r>
            <w:r>
              <w:rPr>
                <w:sz w:val="24"/>
              </w:rPr>
              <w:t>，定期按规定程序</w:t>
            </w:r>
            <w:r>
              <w:rPr>
                <w:rFonts w:hint="eastAsia"/>
                <w:sz w:val="24"/>
              </w:rPr>
              <w:t>将暂存危废</w:t>
            </w:r>
            <w:r>
              <w:rPr>
                <w:sz w:val="24"/>
              </w:rPr>
              <w:t>转交有危险废物处置资质单位处置。</w:t>
            </w:r>
          </w:p>
          <w:p w14:paraId="5B00EC56">
            <w:pPr>
              <w:pStyle w:val="2"/>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sz w:val="24"/>
              </w:rPr>
            </w:pPr>
            <w:r>
              <w:rPr>
                <w:sz w:val="24"/>
              </w:rPr>
              <w:t>本项目固体废物产生情况见表</w:t>
            </w:r>
            <w:r>
              <w:rPr>
                <w:rFonts w:hint="eastAsia"/>
                <w:sz w:val="24"/>
              </w:rPr>
              <w:t>4</w:t>
            </w:r>
            <w:r>
              <w:rPr>
                <w:rFonts w:hint="eastAsia"/>
                <w:sz w:val="24"/>
                <w:lang w:val="en-US" w:eastAsia="zh-CN"/>
              </w:rPr>
              <w:t>-12</w:t>
            </w:r>
            <w:r>
              <w:rPr>
                <w:sz w:val="24"/>
              </w:rPr>
              <w:t>。</w:t>
            </w:r>
          </w:p>
          <w:p w14:paraId="63187FFA">
            <w:pPr>
              <w:spacing w:before="157" w:after="4"/>
              <w:jc w:val="center"/>
              <w:rPr>
                <w:b/>
                <w:bCs/>
                <w:szCs w:val="21"/>
              </w:rPr>
            </w:pPr>
            <w:r>
              <w:rPr>
                <w:b/>
                <w:bCs/>
                <w:szCs w:val="21"/>
              </w:rPr>
              <w:t>表</w:t>
            </w:r>
            <w:r>
              <w:rPr>
                <w:rFonts w:hint="eastAsia"/>
                <w:b/>
                <w:bCs/>
                <w:szCs w:val="21"/>
              </w:rPr>
              <w:t>4</w:t>
            </w:r>
            <w:r>
              <w:rPr>
                <w:rFonts w:hint="eastAsia"/>
                <w:b/>
                <w:bCs/>
                <w:szCs w:val="21"/>
                <w:lang w:val="en-US" w:eastAsia="zh-CN"/>
              </w:rPr>
              <w:t xml:space="preserve">-12  </w:t>
            </w:r>
            <w:r>
              <w:rPr>
                <w:b/>
                <w:bCs/>
                <w:szCs w:val="21"/>
              </w:rPr>
              <w:t>营运期</w:t>
            </w:r>
            <w:r>
              <w:rPr>
                <w:rFonts w:hint="eastAsia"/>
                <w:b/>
                <w:bCs/>
                <w:szCs w:val="21"/>
              </w:rPr>
              <w:t>危险</w:t>
            </w:r>
            <w:r>
              <w:rPr>
                <w:b/>
                <w:bCs/>
                <w:szCs w:val="21"/>
              </w:rPr>
              <w:t>废物产生情况</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3"/>
              <w:gridCol w:w="2101"/>
              <w:gridCol w:w="1144"/>
              <w:gridCol w:w="1074"/>
              <w:gridCol w:w="1074"/>
              <w:gridCol w:w="463"/>
              <w:gridCol w:w="2007"/>
            </w:tblGrid>
            <w:tr w14:paraId="4F54E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8" w:type="pct"/>
                  <w:tcBorders>
                    <w:top w:val="single" w:color="auto" w:sz="12" w:space="0"/>
                    <w:left w:val="nil"/>
                  </w:tcBorders>
                  <w:vAlign w:val="center"/>
                </w:tcPr>
                <w:p w14:paraId="39D33DB9">
                  <w:pPr>
                    <w:pStyle w:val="44"/>
                    <w:snapToGrid w:val="0"/>
                    <w:jc w:val="center"/>
                    <w:rPr>
                      <w:rFonts w:ascii="Times New Roman" w:hAnsi="Times New Roman" w:eastAsia="宋体" w:cs="Times New Roman"/>
                      <w:kern w:val="0"/>
                      <w:sz w:val="21"/>
                      <w:szCs w:val="24"/>
                      <w:lang w:val="en-US" w:eastAsia="zh-CN" w:bidi="ar-SA"/>
                    </w:rPr>
                  </w:pPr>
                  <w:r>
                    <w:rPr>
                      <w:sz w:val="21"/>
                    </w:rPr>
                    <w:t>序号</w:t>
                  </w:r>
                </w:p>
              </w:tc>
              <w:tc>
                <w:tcPr>
                  <w:tcW w:w="1261" w:type="pct"/>
                  <w:tcBorders>
                    <w:top w:val="single" w:color="auto" w:sz="12" w:space="0"/>
                  </w:tcBorders>
                  <w:vAlign w:val="center"/>
                </w:tcPr>
                <w:p w14:paraId="06A586E9">
                  <w:pPr>
                    <w:pStyle w:val="44"/>
                    <w:snapToGrid w:val="0"/>
                    <w:jc w:val="center"/>
                    <w:rPr>
                      <w:rFonts w:ascii="Times New Roman" w:hAnsi="Times New Roman" w:eastAsia="宋体" w:cs="Times New Roman"/>
                      <w:kern w:val="0"/>
                      <w:sz w:val="21"/>
                      <w:szCs w:val="24"/>
                      <w:lang w:val="en-US" w:eastAsia="zh-CN" w:bidi="ar-SA"/>
                    </w:rPr>
                  </w:pPr>
                  <w:r>
                    <w:rPr>
                      <w:sz w:val="21"/>
                    </w:rPr>
                    <w:t>名称</w:t>
                  </w:r>
                </w:p>
              </w:tc>
              <w:tc>
                <w:tcPr>
                  <w:tcW w:w="687" w:type="pct"/>
                  <w:tcBorders>
                    <w:top w:val="single" w:color="auto" w:sz="12" w:space="0"/>
                  </w:tcBorders>
                  <w:vAlign w:val="center"/>
                </w:tcPr>
                <w:p w14:paraId="3F1748EA">
                  <w:pPr>
                    <w:pStyle w:val="44"/>
                    <w:snapToGrid w:val="0"/>
                    <w:jc w:val="center"/>
                    <w:rPr>
                      <w:rFonts w:ascii="Times New Roman" w:hAnsi="Times New Roman" w:eastAsia="宋体" w:cs="Times New Roman"/>
                      <w:kern w:val="0"/>
                      <w:sz w:val="21"/>
                      <w:szCs w:val="24"/>
                      <w:lang w:val="en-US" w:eastAsia="zh-CN" w:bidi="ar-SA"/>
                    </w:rPr>
                  </w:pPr>
                  <w:r>
                    <w:rPr>
                      <w:sz w:val="21"/>
                    </w:rPr>
                    <w:t>危废类别</w:t>
                  </w:r>
                </w:p>
              </w:tc>
              <w:tc>
                <w:tcPr>
                  <w:tcW w:w="644" w:type="pct"/>
                  <w:tcBorders>
                    <w:top w:val="single" w:color="auto" w:sz="12" w:space="0"/>
                  </w:tcBorders>
                  <w:vAlign w:val="center"/>
                </w:tcPr>
                <w:p w14:paraId="421CF478">
                  <w:pPr>
                    <w:pStyle w:val="44"/>
                    <w:snapToGrid w:val="0"/>
                    <w:jc w:val="center"/>
                    <w:rPr>
                      <w:rFonts w:ascii="Times New Roman" w:hAnsi="Times New Roman" w:eastAsia="宋体" w:cs="Times New Roman"/>
                      <w:kern w:val="0"/>
                      <w:sz w:val="21"/>
                      <w:szCs w:val="24"/>
                      <w:lang w:val="en-US" w:eastAsia="zh-CN" w:bidi="ar-SA"/>
                    </w:rPr>
                  </w:pPr>
                  <w:r>
                    <w:rPr>
                      <w:sz w:val="21"/>
                    </w:rPr>
                    <w:t>废物代码</w:t>
                  </w:r>
                </w:p>
              </w:tc>
              <w:tc>
                <w:tcPr>
                  <w:tcW w:w="644" w:type="pct"/>
                  <w:tcBorders>
                    <w:top w:val="single" w:color="auto" w:sz="12" w:space="0"/>
                  </w:tcBorders>
                  <w:vAlign w:val="center"/>
                </w:tcPr>
                <w:p w14:paraId="36524711">
                  <w:pPr>
                    <w:pStyle w:val="44"/>
                    <w:snapToGrid w:val="0"/>
                    <w:jc w:val="center"/>
                    <w:rPr>
                      <w:rFonts w:ascii="Times New Roman" w:hAnsi="Times New Roman" w:eastAsia="宋体" w:cs="Times New Roman"/>
                      <w:kern w:val="0"/>
                      <w:sz w:val="21"/>
                      <w:szCs w:val="24"/>
                      <w:lang w:val="en-US" w:eastAsia="zh-CN" w:bidi="ar-SA"/>
                    </w:rPr>
                  </w:pPr>
                  <w:r>
                    <w:rPr>
                      <w:sz w:val="21"/>
                    </w:rPr>
                    <w:t>产生量</w:t>
                  </w:r>
                </w:p>
              </w:tc>
              <w:tc>
                <w:tcPr>
                  <w:tcW w:w="278" w:type="pct"/>
                  <w:tcBorders>
                    <w:top w:val="single" w:color="auto" w:sz="12" w:space="0"/>
                  </w:tcBorders>
                  <w:vAlign w:val="center"/>
                </w:tcPr>
                <w:p w14:paraId="63BAACFF">
                  <w:pPr>
                    <w:pStyle w:val="44"/>
                    <w:snapToGrid w:val="0"/>
                    <w:jc w:val="center"/>
                    <w:rPr>
                      <w:rFonts w:ascii="Times New Roman" w:hAnsi="Times New Roman" w:eastAsia="宋体" w:cs="Times New Roman"/>
                      <w:kern w:val="0"/>
                      <w:sz w:val="21"/>
                      <w:szCs w:val="24"/>
                      <w:lang w:val="en-US" w:eastAsia="zh-CN" w:bidi="ar-SA"/>
                    </w:rPr>
                  </w:pPr>
                  <w:r>
                    <w:rPr>
                      <w:sz w:val="21"/>
                    </w:rPr>
                    <w:t>性状</w:t>
                  </w:r>
                </w:p>
              </w:tc>
              <w:tc>
                <w:tcPr>
                  <w:tcW w:w="1205" w:type="pct"/>
                  <w:tcBorders>
                    <w:top w:val="single" w:color="auto" w:sz="12" w:space="0"/>
                    <w:right w:val="nil"/>
                  </w:tcBorders>
                  <w:vAlign w:val="center"/>
                </w:tcPr>
                <w:p w14:paraId="6053997D">
                  <w:pPr>
                    <w:pStyle w:val="44"/>
                    <w:snapToGrid w:val="0"/>
                    <w:jc w:val="center"/>
                    <w:rPr>
                      <w:rFonts w:ascii="Times New Roman" w:hAnsi="Times New Roman" w:eastAsia="宋体" w:cs="Times New Roman"/>
                      <w:kern w:val="0"/>
                      <w:sz w:val="21"/>
                      <w:szCs w:val="24"/>
                      <w:lang w:val="en-US" w:eastAsia="zh-CN" w:bidi="ar-SA"/>
                    </w:rPr>
                  </w:pPr>
                  <w:r>
                    <w:rPr>
                      <w:sz w:val="21"/>
                    </w:rPr>
                    <w:t>处置方式</w:t>
                  </w:r>
                </w:p>
              </w:tc>
            </w:tr>
            <w:tr w14:paraId="01B10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278" w:type="pct"/>
                  <w:tcBorders>
                    <w:left w:val="nil"/>
                  </w:tcBorders>
                  <w:vAlign w:val="center"/>
                </w:tcPr>
                <w:p w14:paraId="726BBCF1">
                  <w:pPr>
                    <w:pStyle w:val="44"/>
                    <w:snapToGrid w:val="0"/>
                    <w:jc w:val="center"/>
                    <w:rPr>
                      <w:sz w:val="21"/>
                    </w:rPr>
                  </w:pPr>
                  <w:r>
                    <w:rPr>
                      <w:w w:val="99"/>
                      <w:sz w:val="21"/>
                    </w:rPr>
                    <w:t>1</w:t>
                  </w:r>
                </w:p>
              </w:tc>
              <w:tc>
                <w:tcPr>
                  <w:tcW w:w="1261" w:type="pct"/>
                  <w:vAlign w:val="center"/>
                </w:tcPr>
                <w:p w14:paraId="37B2E0C2">
                  <w:pPr>
                    <w:pStyle w:val="44"/>
                    <w:snapToGrid w:val="0"/>
                    <w:jc w:val="center"/>
                    <w:rPr>
                      <w:sz w:val="21"/>
                    </w:rPr>
                  </w:pPr>
                  <w:r>
                    <w:rPr>
                      <w:sz w:val="21"/>
                    </w:rPr>
                    <w:t>废蓄电池</w:t>
                  </w:r>
                </w:p>
              </w:tc>
              <w:tc>
                <w:tcPr>
                  <w:tcW w:w="687" w:type="pct"/>
                  <w:vAlign w:val="center"/>
                </w:tcPr>
                <w:p w14:paraId="35BADA39">
                  <w:pPr>
                    <w:pStyle w:val="44"/>
                    <w:snapToGrid w:val="0"/>
                    <w:jc w:val="center"/>
                    <w:rPr>
                      <w:sz w:val="21"/>
                    </w:rPr>
                  </w:pPr>
                  <w:r>
                    <w:rPr>
                      <w:sz w:val="21"/>
                    </w:rPr>
                    <w:t>HW49</w:t>
                  </w:r>
                </w:p>
              </w:tc>
              <w:tc>
                <w:tcPr>
                  <w:tcW w:w="644" w:type="pct"/>
                  <w:vAlign w:val="center"/>
                </w:tcPr>
                <w:p w14:paraId="1F10F66E">
                  <w:pPr>
                    <w:pStyle w:val="44"/>
                    <w:snapToGrid w:val="0"/>
                    <w:jc w:val="center"/>
                    <w:rPr>
                      <w:sz w:val="21"/>
                    </w:rPr>
                  </w:pPr>
                  <w:r>
                    <w:rPr>
                      <w:sz w:val="21"/>
                    </w:rPr>
                    <w:t>900-044-49</w:t>
                  </w:r>
                </w:p>
              </w:tc>
              <w:tc>
                <w:tcPr>
                  <w:tcW w:w="644" w:type="pct"/>
                  <w:vAlign w:val="center"/>
                </w:tcPr>
                <w:p w14:paraId="5F397664">
                  <w:pPr>
                    <w:pStyle w:val="44"/>
                    <w:snapToGrid w:val="0"/>
                    <w:jc w:val="center"/>
                    <w:rPr>
                      <w:sz w:val="21"/>
                    </w:rPr>
                  </w:pPr>
                  <w:r>
                    <w:rPr>
                      <w:rFonts w:eastAsia="Times New Roman"/>
                      <w:sz w:val="21"/>
                    </w:rPr>
                    <w:t>8</w:t>
                  </w:r>
                  <w:r>
                    <w:rPr>
                      <w:sz w:val="21"/>
                    </w:rPr>
                    <w:t>年更换</w:t>
                  </w:r>
                </w:p>
              </w:tc>
              <w:tc>
                <w:tcPr>
                  <w:tcW w:w="278" w:type="pct"/>
                  <w:vAlign w:val="center"/>
                </w:tcPr>
                <w:p w14:paraId="4D1D5600">
                  <w:pPr>
                    <w:pStyle w:val="44"/>
                    <w:snapToGrid w:val="0"/>
                    <w:jc w:val="center"/>
                    <w:rPr>
                      <w:sz w:val="21"/>
                    </w:rPr>
                  </w:pPr>
                  <w:r>
                    <w:rPr>
                      <w:sz w:val="21"/>
                    </w:rPr>
                    <w:t>固体</w:t>
                  </w:r>
                </w:p>
              </w:tc>
              <w:tc>
                <w:tcPr>
                  <w:tcW w:w="1205" w:type="pct"/>
                  <w:tcBorders>
                    <w:right w:val="nil"/>
                  </w:tcBorders>
                  <w:vAlign w:val="center"/>
                </w:tcPr>
                <w:p w14:paraId="7914434E">
                  <w:pPr>
                    <w:pStyle w:val="44"/>
                    <w:snapToGrid w:val="0"/>
                    <w:jc w:val="center"/>
                    <w:rPr>
                      <w:sz w:val="21"/>
                    </w:rPr>
                  </w:pPr>
                  <w:r>
                    <w:rPr>
                      <w:sz w:val="21"/>
                    </w:rPr>
                    <w:t>由厂家回收处置</w:t>
                  </w:r>
                </w:p>
              </w:tc>
            </w:tr>
            <w:tr w14:paraId="1F713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8" w:type="pct"/>
                  <w:tcBorders>
                    <w:left w:val="nil"/>
                  </w:tcBorders>
                  <w:vAlign w:val="center"/>
                </w:tcPr>
                <w:p w14:paraId="5312FDC9">
                  <w:pPr>
                    <w:pStyle w:val="44"/>
                    <w:snapToGrid w:val="0"/>
                    <w:jc w:val="center"/>
                    <w:rPr>
                      <w:sz w:val="21"/>
                    </w:rPr>
                  </w:pPr>
                  <w:r>
                    <w:rPr>
                      <w:w w:val="99"/>
                      <w:sz w:val="21"/>
                    </w:rPr>
                    <w:t>2</w:t>
                  </w:r>
                </w:p>
              </w:tc>
              <w:tc>
                <w:tcPr>
                  <w:tcW w:w="1261" w:type="pct"/>
                  <w:vAlign w:val="center"/>
                </w:tcPr>
                <w:p w14:paraId="5EB43F11">
                  <w:pPr>
                    <w:pStyle w:val="44"/>
                    <w:snapToGrid w:val="0"/>
                    <w:jc w:val="center"/>
                    <w:rPr>
                      <w:sz w:val="21"/>
                    </w:rPr>
                  </w:pPr>
                  <w:r>
                    <w:rPr>
                      <w:rFonts w:hint="eastAsia"/>
                      <w:sz w:val="21"/>
                    </w:rPr>
                    <w:t>废变压器油</w:t>
                  </w:r>
                </w:p>
              </w:tc>
              <w:tc>
                <w:tcPr>
                  <w:tcW w:w="687" w:type="pct"/>
                  <w:vAlign w:val="center"/>
                </w:tcPr>
                <w:p w14:paraId="7BCF3CD9">
                  <w:pPr>
                    <w:pStyle w:val="44"/>
                    <w:snapToGrid w:val="0"/>
                    <w:jc w:val="center"/>
                    <w:rPr>
                      <w:sz w:val="21"/>
                    </w:rPr>
                  </w:pPr>
                  <w:r>
                    <w:rPr>
                      <w:sz w:val="21"/>
                    </w:rPr>
                    <w:t>HW</w:t>
                  </w:r>
                  <w:r>
                    <w:rPr>
                      <w:rFonts w:hint="eastAsia"/>
                      <w:sz w:val="21"/>
                    </w:rPr>
                    <w:t>08</w:t>
                  </w:r>
                </w:p>
              </w:tc>
              <w:tc>
                <w:tcPr>
                  <w:tcW w:w="644" w:type="pct"/>
                  <w:vAlign w:val="center"/>
                </w:tcPr>
                <w:p w14:paraId="2DBC4D46">
                  <w:pPr>
                    <w:pStyle w:val="44"/>
                    <w:snapToGrid w:val="0"/>
                    <w:jc w:val="center"/>
                    <w:rPr>
                      <w:sz w:val="21"/>
                    </w:rPr>
                  </w:pPr>
                  <w:r>
                    <w:rPr>
                      <w:sz w:val="21"/>
                    </w:rPr>
                    <w:t>900-</w:t>
                  </w:r>
                  <w:r>
                    <w:rPr>
                      <w:rFonts w:hint="eastAsia"/>
                      <w:sz w:val="21"/>
                    </w:rPr>
                    <w:t>220</w:t>
                  </w:r>
                  <w:r>
                    <w:rPr>
                      <w:sz w:val="21"/>
                    </w:rPr>
                    <w:t>-</w:t>
                  </w:r>
                  <w:r>
                    <w:rPr>
                      <w:rFonts w:hint="eastAsia"/>
                      <w:sz w:val="21"/>
                    </w:rPr>
                    <w:t>08</w:t>
                  </w:r>
                </w:p>
              </w:tc>
              <w:tc>
                <w:tcPr>
                  <w:tcW w:w="644" w:type="pct"/>
                  <w:vAlign w:val="center"/>
                </w:tcPr>
                <w:p w14:paraId="0859125E">
                  <w:pPr>
                    <w:pStyle w:val="44"/>
                    <w:snapToGrid w:val="0"/>
                    <w:jc w:val="center"/>
                    <w:rPr>
                      <w:sz w:val="21"/>
                    </w:rPr>
                  </w:pPr>
                  <w:r>
                    <w:rPr>
                      <w:rFonts w:hint="eastAsia"/>
                      <w:sz w:val="21"/>
                    </w:rPr>
                    <w:t>15</w:t>
                  </w:r>
                  <w:r>
                    <w:rPr>
                      <w:szCs w:val="21"/>
                    </w:rPr>
                    <w:t>m</w:t>
                  </w:r>
                  <w:r>
                    <w:rPr>
                      <w:szCs w:val="21"/>
                      <w:vertAlign w:val="superscript"/>
                    </w:rPr>
                    <w:t>3</w:t>
                  </w:r>
                  <w:r>
                    <w:rPr>
                      <w:szCs w:val="21"/>
                    </w:rPr>
                    <w:t>/次</w:t>
                  </w:r>
                </w:p>
              </w:tc>
              <w:tc>
                <w:tcPr>
                  <w:tcW w:w="278" w:type="pct"/>
                  <w:vAlign w:val="center"/>
                </w:tcPr>
                <w:p w14:paraId="249E8EA2">
                  <w:pPr>
                    <w:pStyle w:val="44"/>
                    <w:snapToGrid w:val="0"/>
                    <w:jc w:val="center"/>
                    <w:rPr>
                      <w:sz w:val="21"/>
                    </w:rPr>
                  </w:pPr>
                  <w:r>
                    <w:rPr>
                      <w:sz w:val="21"/>
                    </w:rPr>
                    <w:t>液态</w:t>
                  </w:r>
                </w:p>
              </w:tc>
              <w:tc>
                <w:tcPr>
                  <w:tcW w:w="1205" w:type="pct"/>
                  <w:tcBorders>
                    <w:right w:val="nil"/>
                  </w:tcBorders>
                  <w:vAlign w:val="center"/>
                </w:tcPr>
                <w:p w14:paraId="0027EFF6">
                  <w:pPr>
                    <w:pStyle w:val="44"/>
                    <w:snapToGrid w:val="0"/>
                    <w:jc w:val="center"/>
                    <w:rPr>
                      <w:sz w:val="21"/>
                    </w:rPr>
                  </w:pPr>
                  <w:r>
                    <w:rPr>
                      <w:sz w:val="21"/>
                    </w:rPr>
                    <w:t>委托有资质单位处理</w:t>
                  </w:r>
                </w:p>
              </w:tc>
            </w:tr>
            <w:tr w14:paraId="13C24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8" w:type="pct"/>
                  <w:tcBorders>
                    <w:left w:val="nil"/>
                    <w:bottom w:val="single" w:color="auto" w:sz="12" w:space="0"/>
                  </w:tcBorders>
                  <w:vAlign w:val="center"/>
                </w:tcPr>
                <w:p w14:paraId="54ED2128">
                  <w:pPr>
                    <w:pStyle w:val="44"/>
                    <w:snapToGrid w:val="0"/>
                    <w:jc w:val="center"/>
                    <w:rPr>
                      <w:sz w:val="21"/>
                    </w:rPr>
                  </w:pPr>
                  <w:r>
                    <w:rPr>
                      <w:rFonts w:hint="eastAsia"/>
                      <w:w w:val="99"/>
                      <w:sz w:val="21"/>
                    </w:rPr>
                    <w:t>3</w:t>
                  </w:r>
                </w:p>
              </w:tc>
              <w:tc>
                <w:tcPr>
                  <w:tcW w:w="1261" w:type="pct"/>
                  <w:tcBorders>
                    <w:bottom w:val="single" w:color="auto" w:sz="12" w:space="0"/>
                  </w:tcBorders>
                  <w:vAlign w:val="center"/>
                </w:tcPr>
                <w:p w14:paraId="663DFB65">
                  <w:pPr>
                    <w:pStyle w:val="44"/>
                    <w:snapToGrid w:val="0"/>
                    <w:jc w:val="center"/>
                    <w:rPr>
                      <w:rFonts w:eastAsia="Times New Roman"/>
                      <w:sz w:val="21"/>
                    </w:rPr>
                  </w:pPr>
                  <w:r>
                    <w:rPr>
                      <w:sz w:val="21"/>
                    </w:rPr>
                    <w:t>废润滑油</w:t>
                  </w:r>
                </w:p>
              </w:tc>
              <w:tc>
                <w:tcPr>
                  <w:tcW w:w="687" w:type="pct"/>
                  <w:tcBorders>
                    <w:bottom w:val="single" w:color="auto" w:sz="12" w:space="0"/>
                  </w:tcBorders>
                  <w:vAlign w:val="center"/>
                </w:tcPr>
                <w:p w14:paraId="6D449308">
                  <w:pPr>
                    <w:pStyle w:val="44"/>
                    <w:snapToGrid w:val="0"/>
                    <w:jc w:val="center"/>
                    <w:rPr>
                      <w:sz w:val="21"/>
                    </w:rPr>
                  </w:pPr>
                  <w:r>
                    <w:rPr>
                      <w:sz w:val="21"/>
                    </w:rPr>
                    <w:t>HW08</w:t>
                  </w:r>
                </w:p>
              </w:tc>
              <w:tc>
                <w:tcPr>
                  <w:tcW w:w="644" w:type="pct"/>
                  <w:tcBorders>
                    <w:bottom w:val="single" w:color="auto" w:sz="12" w:space="0"/>
                  </w:tcBorders>
                  <w:vAlign w:val="center"/>
                </w:tcPr>
                <w:p w14:paraId="1C56EBF9">
                  <w:pPr>
                    <w:pStyle w:val="44"/>
                    <w:snapToGrid w:val="0"/>
                    <w:jc w:val="center"/>
                    <w:rPr>
                      <w:sz w:val="21"/>
                    </w:rPr>
                  </w:pPr>
                  <w:r>
                    <w:rPr>
                      <w:sz w:val="21"/>
                    </w:rPr>
                    <w:t>900-214-08</w:t>
                  </w:r>
                </w:p>
              </w:tc>
              <w:tc>
                <w:tcPr>
                  <w:tcW w:w="644" w:type="pct"/>
                  <w:tcBorders>
                    <w:bottom w:val="single" w:color="auto" w:sz="12" w:space="0"/>
                  </w:tcBorders>
                  <w:vAlign w:val="center"/>
                </w:tcPr>
                <w:p w14:paraId="5EF06A21">
                  <w:pPr>
                    <w:pStyle w:val="44"/>
                    <w:snapToGrid w:val="0"/>
                    <w:jc w:val="center"/>
                    <w:rPr>
                      <w:sz w:val="21"/>
                    </w:rPr>
                  </w:pPr>
                  <w:r>
                    <w:rPr>
                      <w:sz w:val="21"/>
                    </w:rPr>
                    <w:t>0.5t/a</w:t>
                  </w:r>
                </w:p>
              </w:tc>
              <w:tc>
                <w:tcPr>
                  <w:tcW w:w="278" w:type="pct"/>
                  <w:tcBorders>
                    <w:bottom w:val="single" w:color="auto" w:sz="12" w:space="0"/>
                  </w:tcBorders>
                  <w:vAlign w:val="center"/>
                </w:tcPr>
                <w:p w14:paraId="7E6A6383">
                  <w:pPr>
                    <w:pStyle w:val="44"/>
                    <w:snapToGrid w:val="0"/>
                    <w:jc w:val="center"/>
                    <w:rPr>
                      <w:sz w:val="21"/>
                    </w:rPr>
                  </w:pPr>
                  <w:r>
                    <w:rPr>
                      <w:sz w:val="21"/>
                    </w:rPr>
                    <w:t>液态</w:t>
                  </w:r>
                </w:p>
              </w:tc>
              <w:tc>
                <w:tcPr>
                  <w:tcW w:w="1205" w:type="pct"/>
                  <w:tcBorders>
                    <w:bottom w:val="single" w:color="auto" w:sz="12" w:space="0"/>
                    <w:right w:val="nil"/>
                  </w:tcBorders>
                  <w:vAlign w:val="center"/>
                </w:tcPr>
                <w:p w14:paraId="2ABD4DC2">
                  <w:pPr>
                    <w:pStyle w:val="44"/>
                    <w:snapToGrid w:val="0"/>
                    <w:jc w:val="center"/>
                    <w:rPr>
                      <w:sz w:val="21"/>
                    </w:rPr>
                  </w:pPr>
                  <w:r>
                    <w:rPr>
                      <w:sz w:val="21"/>
                    </w:rPr>
                    <w:t>委托有资质单位处理</w:t>
                  </w:r>
                </w:p>
              </w:tc>
            </w:tr>
          </w:tbl>
          <w:p w14:paraId="77DEE561">
            <w:pPr>
              <w:spacing w:line="360" w:lineRule="auto"/>
              <w:ind w:firstLine="480" w:firstLineChars="200"/>
              <w:jc w:val="left"/>
              <w:rPr>
                <w:rFonts w:hint="default" w:eastAsia="宋体"/>
                <w:color w:val="FF0000"/>
                <w:sz w:val="24"/>
                <w:lang w:val="en-US" w:eastAsia="zh-CN"/>
              </w:rPr>
            </w:pPr>
            <w:r>
              <w:rPr>
                <w:rFonts w:hint="eastAsia"/>
                <w:color w:val="FF0000"/>
                <w:sz w:val="24"/>
                <w:lang w:eastAsia="zh-CN"/>
              </w:rPr>
              <w:t>（</w:t>
            </w:r>
            <w:r>
              <w:rPr>
                <w:rFonts w:hint="eastAsia"/>
                <w:color w:val="FF0000"/>
                <w:sz w:val="24"/>
                <w:lang w:val="en-US" w:eastAsia="zh-CN"/>
              </w:rPr>
              <w:t>4</w:t>
            </w:r>
            <w:r>
              <w:rPr>
                <w:rFonts w:hint="eastAsia"/>
                <w:color w:val="FF0000"/>
                <w:sz w:val="24"/>
                <w:lang w:eastAsia="zh-CN"/>
              </w:rPr>
              <w:t>）</w:t>
            </w:r>
            <w:r>
              <w:rPr>
                <w:rFonts w:hint="eastAsia"/>
                <w:color w:val="FF0000"/>
                <w:sz w:val="24"/>
                <w:lang w:val="en-US" w:eastAsia="zh-CN"/>
              </w:rPr>
              <w:t>危废暂存间的建设要求以及危废的日常管理</w:t>
            </w:r>
          </w:p>
          <w:p w14:paraId="799809ED">
            <w:pPr>
              <w:pStyle w:val="62"/>
              <w:ind w:firstLine="480"/>
              <w:rPr>
                <w:rFonts w:hAnsi="宋体" w:cs="Times New Roman"/>
                <w:color w:val="FF0000"/>
                <w:highlight w:val="none"/>
                <w:u w:val="none"/>
              </w:rPr>
            </w:pPr>
            <w:r>
              <w:rPr>
                <w:rFonts w:hAnsi="宋体" w:cs="Times New Roman"/>
                <w:color w:val="FF0000"/>
                <w:highlight w:val="none"/>
                <w:u w:val="none"/>
              </w:rPr>
              <w:t>根据《危险废物贮存污染控制标准》（GB18597-20</w:t>
            </w:r>
            <w:r>
              <w:rPr>
                <w:rFonts w:hint="eastAsia" w:hAnsi="宋体" w:cs="Times New Roman"/>
                <w:color w:val="FF0000"/>
                <w:highlight w:val="none"/>
                <w:u w:val="none"/>
                <w:lang w:val="en-US" w:eastAsia="zh-CN"/>
              </w:rPr>
              <w:t>23</w:t>
            </w:r>
            <w:r>
              <w:rPr>
                <w:rFonts w:hAnsi="宋体" w:cs="Times New Roman"/>
                <w:color w:val="FF0000"/>
                <w:highlight w:val="none"/>
                <w:u w:val="none"/>
              </w:rPr>
              <w:t>）的相关要求，项目危废的收集、暂存、运输需满足以下：</w:t>
            </w:r>
          </w:p>
          <w:p w14:paraId="4D9C28D0">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1</w:t>
            </w:r>
            <w:r>
              <w:rPr>
                <w:rFonts w:hAnsi="宋体" w:cs="Times New Roman"/>
                <w:color w:val="FF0000"/>
                <w:highlight w:val="none"/>
                <w:u w:val="none"/>
              </w:rPr>
              <w:t>、危险废物的收集包装：</w:t>
            </w:r>
          </w:p>
          <w:p w14:paraId="4BBCAF77">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有符合要求的包装容器、收集人员的个人防护设备。</w:t>
            </w:r>
          </w:p>
          <w:p w14:paraId="446BDE0A">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危险废物的收集容器应在醒目位置贴有危险废物标签，在收集场所醒目的地方设置危险废物警告标识。</w:t>
            </w:r>
          </w:p>
          <w:p w14:paraId="44F4AD3B">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危险废物标签应标明以下信息：主要化学成分或危险废物名称、数量、物理形态、危险类别、安全措施以及危险废物产生单位名称、地址、联系人及电话。</w:t>
            </w:r>
          </w:p>
          <w:p w14:paraId="6CC30426">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2、</w:t>
            </w:r>
            <w:r>
              <w:rPr>
                <w:rFonts w:hAnsi="宋体" w:cs="Times New Roman"/>
                <w:color w:val="FF0000"/>
                <w:highlight w:val="none"/>
                <w:u w:val="none"/>
              </w:rPr>
              <w:t>危险废物的暂存要求：</w:t>
            </w:r>
          </w:p>
          <w:p w14:paraId="6A4A8CEF">
            <w:pPr>
              <w:pStyle w:val="62"/>
              <w:ind w:firstLine="480"/>
              <w:rPr>
                <w:rFonts w:hAnsi="宋体" w:cs="Times New Roman"/>
                <w:color w:val="FF0000"/>
                <w:highlight w:val="none"/>
                <w:u w:val="none"/>
              </w:rPr>
            </w:pPr>
            <w:r>
              <w:rPr>
                <w:rFonts w:hAnsi="宋体" w:cs="Times New Roman"/>
                <w:color w:val="FF0000"/>
                <w:highlight w:val="none"/>
                <w:u w:val="none"/>
              </w:rPr>
              <w:t>危险废物堆放场所应满足GB18597-20</w:t>
            </w:r>
            <w:r>
              <w:rPr>
                <w:rFonts w:hint="eastAsia" w:hAnsi="宋体" w:cs="Times New Roman"/>
                <w:color w:val="FF0000"/>
                <w:highlight w:val="none"/>
                <w:u w:val="none"/>
                <w:lang w:val="en-US" w:eastAsia="zh-CN"/>
              </w:rPr>
              <w:t>23</w:t>
            </w:r>
            <w:r>
              <w:rPr>
                <w:rFonts w:hAnsi="宋体" w:cs="Times New Roman"/>
                <w:color w:val="FF0000"/>
                <w:highlight w:val="none"/>
                <w:u w:val="none"/>
              </w:rPr>
              <w:t>《危险废物贮存污染控制标准》中的有关规定：</w:t>
            </w:r>
          </w:p>
          <w:p w14:paraId="6339A70A">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按GB15562.2《环境保护图形标识—固体废物贮存（处置）场》</w:t>
            </w:r>
            <w:r>
              <w:rPr>
                <w:rFonts w:hint="eastAsia" w:hAnsi="宋体" w:cs="Times New Roman"/>
                <w:color w:val="FF0000"/>
                <w:highlight w:val="none"/>
                <w:u w:val="none"/>
                <w:lang w:eastAsia="zh-CN"/>
              </w:rPr>
              <w:t>（</w:t>
            </w:r>
            <w:r>
              <w:rPr>
                <w:rFonts w:hint="eastAsia" w:hAnsi="宋体" w:cs="Times New Roman"/>
                <w:color w:val="FF0000"/>
                <w:highlight w:val="none"/>
                <w:u w:val="none"/>
                <w:lang w:val="en-US" w:eastAsia="zh-CN"/>
              </w:rPr>
              <w:t>2023年修改单</w:t>
            </w:r>
            <w:r>
              <w:rPr>
                <w:rFonts w:hint="eastAsia" w:hAnsi="宋体" w:cs="Times New Roman"/>
                <w:color w:val="FF0000"/>
                <w:highlight w:val="none"/>
                <w:u w:val="none"/>
                <w:lang w:eastAsia="zh-CN"/>
              </w:rPr>
              <w:t>）</w:t>
            </w:r>
            <w:r>
              <w:rPr>
                <w:rFonts w:hAnsi="宋体" w:cs="Times New Roman"/>
                <w:color w:val="FF0000"/>
                <w:highlight w:val="none"/>
                <w:u w:val="none"/>
              </w:rPr>
              <w:t>设置警示标志。</w:t>
            </w:r>
          </w:p>
          <w:p w14:paraId="16632FBF">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必须有耐腐蚀的硬化地面和基础防渗层，地面无裂隙；设施底部必须高于地下水最高水位。</w:t>
            </w:r>
          </w:p>
          <w:p w14:paraId="53459347">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要求有必要的防风、防雨、防晒措施。</w:t>
            </w:r>
          </w:p>
          <w:p w14:paraId="63953870">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④</w:t>
            </w:r>
            <w:r>
              <w:rPr>
                <w:rFonts w:hAnsi="宋体" w:cs="Times New Roman"/>
                <w:color w:val="FF0000"/>
                <w:highlight w:val="none"/>
                <w:u w:val="none"/>
              </w:rPr>
              <w:t>要有隔离设施或其它防护栅栏。</w:t>
            </w:r>
          </w:p>
          <w:p w14:paraId="15AA3130">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⑤</w:t>
            </w:r>
            <w:r>
              <w:rPr>
                <w:rFonts w:hAnsi="宋体" w:cs="Times New Roman"/>
                <w:color w:val="FF0000"/>
                <w:highlight w:val="none"/>
                <w:u w:val="none"/>
              </w:rPr>
              <w:t>配备通讯设备、照明设施、安全防护服装，设有报警装置和应急防护设施。</w:t>
            </w:r>
          </w:p>
          <w:p w14:paraId="5A2597AD">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⑥</w:t>
            </w:r>
            <w:r>
              <w:rPr>
                <w:rFonts w:hAnsi="宋体" w:cs="Times New Roman"/>
                <w:color w:val="FF0000"/>
                <w:highlight w:val="none"/>
                <w:u w:val="none"/>
              </w:rPr>
              <w:t>危险废物必须装入容器内，禁止将不相容的危险废物在同一容器内混装。无法装入常用容器的危险废物可用防漏胶袋等盛装。盛装危险废物的容器上必须粘贴符合危险废物不同类别的标签。</w:t>
            </w:r>
          </w:p>
          <w:p w14:paraId="3161DDF7">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⑦</w:t>
            </w:r>
            <w:r>
              <w:rPr>
                <w:rFonts w:hAnsi="宋体" w:cs="Times New Roman"/>
                <w:color w:val="FF0000"/>
                <w:highlight w:val="none"/>
                <w:u w:val="none"/>
              </w:rPr>
              <w:t>本项目单位应做好危险废物产生情况的记录，建立台账系统，记录上须注明危险废物的名称、来源、数量、特性和包装容器的类别，入库日期，存放库位，废物出库日期及接收单位名称。危险废物的记录和货单在危险废物回取后应继续保留3年。</w:t>
            </w:r>
          </w:p>
          <w:p w14:paraId="6D863859">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3、</w:t>
            </w:r>
            <w:r>
              <w:rPr>
                <w:rFonts w:hAnsi="宋体" w:cs="Times New Roman"/>
                <w:color w:val="FF0000"/>
                <w:highlight w:val="none"/>
                <w:u w:val="none"/>
              </w:rPr>
              <w:t>危险废物内部转运作业应满足如下要求：</w:t>
            </w:r>
          </w:p>
          <w:p w14:paraId="3D54A269">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危险废物内部转运应综合考虑</w:t>
            </w:r>
            <w:r>
              <w:rPr>
                <w:rFonts w:hint="eastAsia" w:hAnsi="宋体" w:cs="Times New Roman"/>
                <w:color w:val="FF0000"/>
                <w:highlight w:val="none"/>
                <w:u w:val="none"/>
              </w:rPr>
              <w:t>升压站</w:t>
            </w:r>
            <w:r>
              <w:rPr>
                <w:rFonts w:hAnsi="宋体" w:cs="Times New Roman"/>
                <w:color w:val="FF0000"/>
                <w:highlight w:val="none"/>
                <w:u w:val="none"/>
              </w:rPr>
              <w:t>的实际情况确定转运路线，尽量避开办公区和生活区。</w:t>
            </w:r>
          </w:p>
          <w:p w14:paraId="477CDC28">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危险废物内部转运作业应采用专用的工具，危险废物内部转运应填写《危险废物场内转运记录表》。</w:t>
            </w:r>
          </w:p>
          <w:p w14:paraId="7D70F70E">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危险废物内部转运结束后，应对转运路线进行检查和清理，确保无危险废物遗失在转运路线上，并对转运工具进行清洗。</w:t>
            </w:r>
          </w:p>
          <w:p w14:paraId="04339829">
            <w:pPr>
              <w:pStyle w:val="62"/>
              <w:ind w:firstLine="480"/>
              <w:rPr>
                <w:rFonts w:hAnsi="宋体" w:cs="Times New Roman"/>
                <w:color w:val="FF0000"/>
                <w:highlight w:val="none"/>
                <w:u w:val="none"/>
              </w:rPr>
            </w:pPr>
            <w:r>
              <w:rPr>
                <w:rFonts w:hint="eastAsia" w:hAnsi="宋体" w:cs="Times New Roman"/>
                <w:color w:val="FF0000"/>
                <w:highlight w:val="none"/>
                <w:u w:val="none"/>
                <w:lang w:val="en-US" w:eastAsia="zh-CN"/>
              </w:rPr>
              <w:t>4、</w:t>
            </w:r>
            <w:r>
              <w:rPr>
                <w:rFonts w:hAnsi="宋体" w:cs="Times New Roman"/>
                <w:color w:val="FF0000"/>
                <w:highlight w:val="none"/>
                <w:u w:val="none"/>
              </w:rPr>
              <w:t>危险废物的运输要求：</w:t>
            </w:r>
          </w:p>
          <w:p w14:paraId="4F9A1C5C">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①</w:t>
            </w:r>
            <w:r>
              <w:rPr>
                <w:rFonts w:hAnsi="宋体" w:cs="Times New Roman"/>
                <w:color w:val="FF0000"/>
                <w:highlight w:val="none"/>
                <w:u w:val="none"/>
              </w:rPr>
              <w:t>危险废物产生单位每转移一车同类危险废物，应当填写一份联单，每车有多类危险废物的，应当按每一类危险废物填写一份联单。</w:t>
            </w:r>
          </w:p>
          <w:p w14:paraId="003FD571">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②</w:t>
            </w:r>
            <w:r>
              <w:rPr>
                <w:rFonts w:hAnsi="宋体" w:cs="Times New Roman"/>
                <w:color w:val="FF0000"/>
                <w:highlight w:val="none"/>
                <w:u w:val="none"/>
              </w:rPr>
              <w:t>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14:paraId="2282FC94">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③</w:t>
            </w:r>
            <w:r>
              <w:rPr>
                <w:rFonts w:hAnsi="宋体" w:cs="Times New Roman"/>
                <w:color w:val="FF0000"/>
                <w:highlight w:val="none"/>
                <w:u w:val="none"/>
              </w:rPr>
              <w:t>危险废物接收单位应当按照联单填写的内容对危险废物核实验收，如实填写联单中接收单位栏目并加盖公章。</w:t>
            </w:r>
          </w:p>
          <w:p w14:paraId="21A0ADEB">
            <w:pPr>
              <w:pStyle w:val="62"/>
              <w:ind w:firstLine="480"/>
              <w:rPr>
                <w:rFonts w:hAnsi="宋体" w:cs="Times New Roman"/>
                <w:color w:val="FF0000"/>
                <w:highlight w:val="none"/>
                <w:u w:val="none"/>
              </w:rPr>
            </w:pPr>
            <w:r>
              <w:rPr>
                <w:rFonts w:hint="eastAsia" w:hAnsi="宋体" w:cs="Times New Roman"/>
                <w:color w:val="FF0000"/>
                <w:highlight w:val="none"/>
                <w:u w:val="none"/>
                <w:lang w:eastAsia="zh-CN"/>
              </w:rPr>
              <w:t>④</w:t>
            </w:r>
            <w:r>
              <w:rPr>
                <w:rFonts w:hAnsi="宋体" w:cs="Times New Roman"/>
                <w:color w:val="FF0000"/>
                <w:highlight w:val="none"/>
                <w:u w:val="none"/>
              </w:rPr>
              <w:t>接收单位应当将联单第一联、第二联副联自接受危险废物之日起十日内交付产生单位，联单第一联由产生单位自留存档，联单第二联副联由产生单位在二日内报送移出地环境保护行政主管部门；接收单位将联单第三联交付运输单位存档；将联单第四联自留存档；将联单第五联自接受危险废物之日起二日内报送接受地环境保护行政主管部门。</w:t>
            </w:r>
          </w:p>
          <w:p w14:paraId="1BBE461D">
            <w:pPr>
              <w:pStyle w:val="62"/>
              <w:ind w:firstLine="480"/>
              <w:rPr>
                <w:rFonts w:hAnsi="宋体" w:cs="Times New Roman"/>
                <w:color w:val="FF0000"/>
                <w:szCs w:val="24"/>
                <w:highlight w:val="none"/>
                <w:u w:val="none"/>
              </w:rPr>
            </w:pPr>
            <w:r>
              <w:rPr>
                <w:rFonts w:hint="eastAsia" w:hAnsi="宋体" w:cs="Times New Roman"/>
                <w:color w:val="FF0000"/>
                <w:highlight w:val="none"/>
                <w:u w:val="none"/>
                <w:lang w:eastAsia="zh-CN"/>
              </w:rPr>
              <w:t>⑤</w:t>
            </w:r>
            <w:r>
              <w:rPr>
                <w:rFonts w:hAnsi="宋体" w:cs="Times New Roman"/>
                <w:color w:val="FF0000"/>
                <w:highlight w:val="none"/>
                <w:u w:val="none"/>
              </w:rPr>
              <w:t>危险废物接收单位验收发现危险废物的名称、数量、特性、形态、包装方式与联</w:t>
            </w:r>
            <w:r>
              <w:rPr>
                <w:rFonts w:hAnsi="宋体" w:cs="Times New Roman"/>
                <w:color w:val="FF0000"/>
                <w:szCs w:val="24"/>
                <w:highlight w:val="none"/>
                <w:u w:val="none"/>
              </w:rPr>
              <w:t>单填写内容不符的，应当及时向接受地环境保护行政主管部门报告，并通知产生单位。</w:t>
            </w:r>
          </w:p>
          <w:p w14:paraId="73D7C90B">
            <w:pPr>
              <w:spacing w:line="360" w:lineRule="auto"/>
              <w:ind w:firstLine="480" w:firstLineChars="200"/>
              <w:jc w:val="left"/>
              <w:rPr>
                <w:b/>
                <w:bCs/>
                <w:sz w:val="24"/>
              </w:rPr>
            </w:pPr>
            <w:r>
              <w:rPr>
                <w:rFonts w:hint="eastAsia"/>
                <w:sz w:val="24"/>
              </w:rPr>
              <w:t>综上所述，本项目危险废物均得到妥善处置，不会对环境产生不利影响。</w:t>
            </w:r>
          </w:p>
          <w:p w14:paraId="18F44D1E">
            <w:pPr>
              <w:adjustRightInd w:val="0"/>
              <w:snapToGrid w:val="0"/>
              <w:spacing w:line="360" w:lineRule="auto"/>
              <w:outlineLvl w:val="1"/>
              <w:rPr>
                <w:b/>
                <w:bCs/>
                <w:sz w:val="24"/>
              </w:rPr>
            </w:pPr>
            <w:r>
              <w:rPr>
                <w:b/>
                <w:bCs/>
                <w:sz w:val="24"/>
              </w:rPr>
              <w:t>4.</w:t>
            </w:r>
            <w:r>
              <w:rPr>
                <w:rFonts w:hint="eastAsia"/>
                <w:b/>
                <w:bCs/>
                <w:sz w:val="24"/>
              </w:rPr>
              <w:t>1</w:t>
            </w:r>
            <w:r>
              <w:rPr>
                <w:b/>
                <w:bCs/>
                <w:sz w:val="24"/>
              </w:rPr>
              <w:t>2</w:t>
            </w:r>
            <w:r>
              <w:rPr>
                <w:rFonts w:hint="eastAsia"/>
                <w:b/>
                <w:bCs/>
                <w:sz w:val="24"/>
              </w:rPr>
              <w:t>运营期环境风险分析</w:t>
            </w:r>
          </w:p>
          <w:p w14:paraId="34678863">
            <w:pPr>
              <w:pStyle w:val="62"/>
              <w:ind w:firstLine="480"/>
              <w:rPr>
                <w:rFonts w:hAnsi="宋体" w:cs="Times New Roman"/>
              </w:rPr>
            </w:pPr>
            <w:r>
              <w:rPr>
                <w:rFonts w:hAnsi="宋体" w:cs="Times New Roman"/>
              </w:rPr>
              <w:t>运营期环境风险主要为升压站中变压器发生油料</w:t>
            </w:r>
            <w:r>
              <w:rPr>
                <w:rFonts w:hint="eastAsia" w:hAnsi="宋体" w:cs="Times New Roman"/>
              </w:rPr>
              <w:t>泄漏</w:t>
            </w:r>
            <w:r>
              <w:rPr>
                <w:rFonts w:hAnsi="宋体" w:cs="Times New Roman"/>
              </w:rPr>
              <w:t>产生的环境风险</w:t>
            </w:r>
            <w:r>
              <w:rPr>
                <w:rFonts w:hint="eastAsia" w:hAnsi="宋体" w:cs="Times New Roman"/>
              </w:rPr>
              <w:t>。</w:t>
            </w:r>
          </w:p>
          <w:p w14:paraId="6D21E66E">
            <w:pPr>
              <w:pStyle w:val="60"/>
              <w:adjustRightInd/>
              <w:snapToGrid/>
              <w:ind w:firstLine="480"/>
              <w:rPr>
                <w:rFonts w:cs="Times New Roman"/>
              </w:rPr>
            </w:pPr>
            <w:r>
              <w:rPr>
                <w:rFonts w:hint="eastAsia" w:cs="Times New Roman"/>
              </w:rPr>
              <w:t>（1）评价等级判定</w:t>
            </w:r>
          </w:p>
          <w:p w14:paraId="5D30E479">
            <w:pPr>
              <w:pStyle w:val="60"/>
              <w:adjustRightInd/>
              <w:snapToGrid/>
              <w:ind w:firstLine="480"/>
              <w:rPr>
                <w:rFonts w:cs="Times New Roman"/>
              </w:rPr>
            </w:pPr>
            <w:r>
              <w:rPr>
                <w:rFonts w:hint="eastAsia" w:cs="Times New Roman"/>
              </w:rPr>
              <w:t>本项目涉及的风险物质主要为</w:t>
            </w:r>
            <w:r>
              <w:rPr>
                <w:rFonts w:cs="Times New Roman"/>
              </w:rPr>
              <w:t>风机维修与</w:t>
            </w:r>
            <w:r>
              <w:rPr>
                <w:rFonts w:hint="eastAsia" w:cs="Times New Roman"/>
              </w:rPr>
              <w:t>运营期</w:t>
            </w:r>
            <w:r>
              <w:rPr>
                <w:rFonts w:cs="Times New Roman"/>
              </w:rPr>
              <w:t>润滑油、变压器油</w:t>
            </w:r>
            <w:r>
              <w:rPr>
                <w:rFonts w:hint="eastAsia" w:cs="Times New Roman"/>
              </w:rPr>
              <w:t>，风机润滑油量很少，主要为变压器油，根据本项目涉及资料，变压器油最大量约</w:t>
            </w:r>
            <w:r>
              <w:rPr>
                <w:rFonts w:cs="Times New Roman"/>
              </w:rPr>
              <w:t>25</w:t>
            </w:r>
            <w:r>
              <w:rPr>
                <w:rFonts w:hint="eastAsia" w:cs="Times New Roman"/>
              </w:rPr>
              <w:t>t，属于矿物油类物质，根据《建设项目环境风险评价技术导则》（</w:t>
            </w:r>
            <w:r>
              <w:rPr>
                <w:rFonts w:cs="Times New Roman"/>
              </w:rPr>
              <w:t>HJ169</w:t>
            </w:r>
            <w:r>
              <w:rPr>
                <w:rFonts w:hint="eastAsia" w:cs="Times New Roman"/>
                <w:lang w:val="en-US" w:eastAsia="zh-CN"/>
              </w:rPr>
              <w:t>-</w:t>
            </w:r>
            <w:r>
              <w:rPr>
                <w:rFonts w:cs="Times New Roman"/>
              </w:rPr>
              <w:t>2018</w:t>
            </w:r>
            <w:r>
              <w:rPr>
                <w:rFonts w:hint="eastAsia" w:cs="Times New Roman"/>
              </w:rPr>
              <w:t>）附录B中关于突发环境事件风险物质及临界量相关内容，矿物油类物质临界量为2500吨。因此危险物质数量与临界量的比值（Q）为</w:t>
            </w:r>
            <w:r>
              <w:rPr>
                <w:rFonts w:cs="Times New Roman"/>
              </w:rPr>
              <w:t>0.01</w:t>
            </w:r>
            <w:r>
              <w:rPr>
                <w:rFonts w:hint="eastAsia" w:cs="Times New Roman"/>
              </w:rPr>
              <w:t>，远小于1，因此环境风险潜势P为Ⅰ，根据《建设项目环境风险评价技术导则》（</w:t>
            </w:r>
            <w:r>
              <w:rPr>
                <w:rFonts w:cs="Times New Roman"/>
              </w:rPr>
              <w:t>HJ169</w:t>
            </w:r>
            <w:r>
              <w:rPr>
                <w:rFonts w:hint="eastAsia" w:cs="Times New Roman"/>
                <w:lang w:val="en-US" w:eastAsia="zh-CN"/>
              </w:rPr>
              <w:t>-</w:t>
            </w:r>
            <w:r>
              <w:rPr>
                <w:rFonts w:cs="Times New Roman"/>
              </w:rPr>
              <w:t>2018</w:t>
            </w:r>
            <w:r>
              <w:rPr>
                <w:rFonts w:hint="eastAsia" w:cs="Times New Roman"/>
              </w:rPr>
              <w:t>）表1评价等级判断方法，本项目环境风险评价等级为“简单分析”</w:t>
            </w:r>
          </w:p>
          <w:p w14:paraId="30C772CC">
            <w:pPr>
              <w:pStyle w:val="60"/>
              <w:adjustRightInd/>
              <w:snapToGrid/>
              <w:ind w:firstLine="480"/>
              <w:rPr>
                <w:rFonts w:cs="Times New Roman"/>
              </w:rPr>
            </w:pPr>
            <w:r>
              <w:rPr>
                <w:rFonts w:hint="eastAsia" w:cs="Times New Roman"/>
              </w:rPr>
              <w:t>（2）环境风险识别</w:t>
            </w:r>
          </w:p>
          <w:p w14:paraId="48A53BA6">
            <w:pPr>
              <w:pStyle w:val="60"/>
              <w:adjustRightInd/>
              <w:snapToGrid/>
              <w:ind w:firstLine="480"/>
              <w:rPr>
                <w:rFonts w:cs="Times New Roman"/>
              </w:rPr>
            </w:pPr>
            <w:r>
              <w:rPr>
                <w:rFonts w:cs="Times New Roman"/>
              </w:rPr>
              <w:t>升压站变压器为了绝缘和冷却的需要，其外壳内装有大量变压器油，只有在发生事故时才排放。变压器油是天然石油中经过蒸馏、精炼而获得的一种矿物油。变压器油一般是无色或淡黄色，运行中颜色会逐渐加深，相对密度0.895，凝点＜-45</w:t>
            </w:r>
            <w:r>
              <w:rPr>
                <w:rFonts w:hint="eastAsia" w:ascii="宋体" w:hAnsi="宋体"/>
              </w:rPr>
              <w:t>℃</w:t>
            </w:r>
            <w:r>
              <w:rPr>
                <w:rFonts w:cs="Times New Roman"/>
              </w:rPr>
              <w:t>，闪点不低于140</w:t>
            </w:r>
            <w:r>
              <w:rPr>
                <w:rFonts w:hint="eastAsia" w:ascii="宋体" w:hAnsi="宋体"/>
              </w:rPr>
              <w:t>℃</w:t>
            </w:r>
            <w:r>
              <w:rPr>
                <w:rFonts w:cs="Times New Roman"/>
              </w:rPr>
              <w:t>。它的主要成分是烷烃</w:t>
            </w:r>
            <w:r>
              <w:rPr>
                <w:rFonts w:hint="eastAsia" w:cs="Times New Roman"/>
              </w:rPr>
              <w:t>，</w:t>
            </w:r>
            <w:r>
              <w:rPr>
                <w:rFonts w:cs="Times New Roman"/>
              </w:rPr>
              <w:t>环烷族饱和烃，芳香族不饱和烃等化合物。</w:t>
            </w:r>
            <w:r>
              <w:rPr>
                <w:rFonts w:hint="eastAsia" w:cs="Times New Roman"/>
              </w:rPr>
              <w:t>发生泄漏进入环境可能对周围环境产生一定影响。</w:t>
            </w:r>
          </w:p>
          <w:p w14:paraId="02D2465B">
            <w:pPr>
              <w:pStyle w:val="60"/>
              <w:adjustRightInd/>
              <w:snapToGrid/>
              <w:ind w:firstLine="480"/>
              <w:rPr>
                <w:rFonts w:cs="Times New Roman"/>
              </w:rPr>
            </w:pPr>
            <w:r>
              <w:rPr>
                <w:rFonts w:hint="eastAsia" w:cs="Times New Roman"/>
              </w:rPr>
              <w:t>（3）环境风险分析</w:t>
            </w:r>
          </w:p>
          <w:p w14:paraId="073E84F5">
            <w:pPr>
              <w:pStyle w:val="60"/>
              <w:adjustRightInd/>
              <w:snapToGrid/>
              <w:ind w:firstLine="480"/>
              <w:rPr>
                <w:rFonts w:cs="Times New Roman"/>
              </w:rPr>
            </w:pPr>
            <w:r>
              <w:rPr>
                <w:rFonts w:hint="eastAsia" w:cs="Times New Roman"/>
                <w:lang w:val="en-US" w:eastAsia="zh-CN"/>
              </w:rPr>
              <w:t>1）</w:t>
            </w:r>
            <w:r>
              <w:rPr>
                <w:rFonts w:hint="eastAsia" w:cs="Times New Roman"/>
              </w:rPr>
              <w:t>地表水风险分析</w:t>
            </w:r>
          </w:p>
          <w:p w14:paraId="0FD49A59">
            <w:pPr>
              <w:pStyle w:val="60"/>
              <w:adjustRightInd/>
              <w:snapToGrid/>
              <w:ind w:firstLine="480"/>
              <w:rPr>
                <w:rFonts w:cs="Times New Roman"/>
              </w:rPr>
            </w:pPr>
            <w:r>
              <w:rPr>
                <w:rFonts w:hint="eastAsia" w:cs="Times New Roman"/>
              </w:rPr>
              <w:t>项目变压器油发生泄漏，若进入地表水体，引起地表水中石油类含量急剧上升，严重污染地表水水质，同时在地表水面形成油膜，阻隔水中的氧气对流，从而使地表水中的生态平衡产生破坏，影响地表水水生生物生存环境。</w:t>
            </w:r>
          </w:p>
          <w:p w14:paraId="07B31141">
            <w:pPr>
              <w:pStyle w:val="60"/>
              <w:numPr>
                <w:ilvl w:val="0"/>
                <w:numId w:val="0"/>
              </w:numPr>
              <w:adjustRightInd/>
              <w:snapToGrid/>
              <w:ind w:left="480" w:leftChars="0"/>
              <w:rPr>
                <w:rFonts w:cs="Times New Roman"/>
              </w:rPr>
            </w:pPr>
            <w:r>
              <w:rPr>
                <w:rFonts w:hint="eastAsia" w:cs="Times New Roman"/>
                <w:lang w:val="en-US" w:eastAsia="zh-CN"/>
              </w:rPr>
              <w:t>2）</w:t>
            </w:r>
            <w:r>
              <w:rPr>
                <w:rFonts w:hint="eastAsia" w:cs="Times New Roman"/>
              </w:rPr>
              <w:t>大气环境风险分析</w:t>
            </w:r>
          </w:p>
          <w:p w14:paraId="168E586E">
            <w:pPr>
              <w:pStyle w:val="60"/>
              <w:adjustRightInd/>
              <w:snapToGrid/>
              <w:ind w:firstLine="480"/>
              <w:rPr>
                <w:rFonts w:cs="Times New Roman"/>
              </w:rPr>
            </w:pPr>
            <w:r>
              <w:rPr>
                <w:rFonts w:hint="eastAsia" w:cs="Times New Roman"/>
              </w:rPr>
              <w:t>项目变压器油发生泄漏，由于变压器油主要为高脂肪油类，挥发性较差，发生泄漏对周围环境空气影响有限，但发生泄漏可能引发火灾，对周围环境空气和生态环境产生严重的次生污染。</w:t>
            </w:r>
          </w:p>
          <w:p w14:paraId="7001261F">
            <w:pPr>
              <w:pStyle w:val="60"/>
              <w:adjustRightInd/>
              <w:snapToGrid/>
              <w:ind w:firstLine="480"/>
              <w:rPr>
                <w:rFonts w:cs="Times New Roman"/>
              </w:rPr>
            </w:pPr>
            <w:r>
              <w:rPr>
                <w:rFonts w:hint="eastAsia" w:cs="Times New Roman"/>
                <w:lang w:val="en-US" w:eastAsia="zh-CN"/>
              </w:rPr>
              <w:t>3）</w:t>
            </w:r>
            <w:r>
              <w:rPr>
                <w:rFonts w:hint="eastAsia" w:cs="Times New Roman"/>
              </w:rPr>
              <w:t>地下水环境风险分析</w:t>
            </w:r>
          </w:p>
          <w:p w14:paraId="543378D3">
            <w:pPr>
              <w:pStyle w:val="61"/>
              <w:ind w:firstLine="480"/>
              <w:rPr>
                <w:rFonts w:cs="Times New Roman"/>
                <w:color w:val="auto"/>
                <w:spacing w:val="0"/>
                <w:kern w:val="2"/>
              </w:rPr>
            </w:pPr>
            <w:r>
              <w:rPr>
                <w:rFonts w:hint="eastAsia" w:cs="Times New Roman"/>
                <w:color w:val="auto"/>
                <w:spacing w:val="0"/>
                <w:kern w:val="2"/>
              </w:rPr>
              <w:t>项目变压器油发生泄露，若进入土壤渗漏，矿物油类进入地层包气带，随着大气降水下渗进入地下含水层，形成一个油污团扩散，对区域地下水环境造成污染。</w:t>
            </w:r>
            <w:r>
              <w:rPr>
                <w:rFonts w:cs="Times New Roman"/>
                <w:color w:val="auto"/>
                <w:spacing w:val="0"/>
                <w:kern w:val="2"/>
              </w:rPr>
              <w:t>石油烃及其组分通过土壤向地下水的迁移，会造成地下水环境中石油烃组分的不同程度检出，降低地下水的品质。</w:t>
            </w:r>
            <w:r>
              <w:rPr>
                <w:rFonts w:hint="eastAsia" w:cs="Times New Roman"/>
                <w:color w:val="auto"/>
                <w:spacing w:val="0"/>
                <w:kern w:val="2"/>
              </w:rPr>
              <w:t>若进入水井中，可能导致其水井饮用功能丧失。</w:t>
            </w:r>
          </w:p>
          <w:p w14:paraId="427213DC">
            <w:pPr>
              <w:pStyle w:val="60"/>
              <w:adjustRightInd/>
              <w:snapToGrid/>
              <w:ind w:firstLine="480"/>
              <w:rPr>
                <w:rFonts w:cs="Times New Roman"/>
              </w:rPr>
            </w:pPr>
            <w:r>
              <w:rPr>
                <w:rFonts w:hint="eastAsia" w:cs="Times New Roman"/>
                <w:lang w:val="en-US" w:eastAsia="zh-CN"/>
              </w:rPr>
              <w:t>4）</w:t>
            </w:r>
            <w:r>
              <w:rPr>
                <w:rFonts w:hint="eastAsia" w:cs="Times New Roman"/>
              </w:rPr>
              <w:t>火灾风险分析</w:t>
            </w:r>
          </w:p>
          <w:p w14:paraId="35BBA649">
            <w:pPr>
              <w:pStyle w:val="60"/>
              <w:ind w:firstLine="480"/>
              <w:rPr>
                <w:rFonts w:cs="Times New Roman"/>
              </w:rPr>
            </w:pPr>
            <w:r>
              <w:rPr>
                <w:rFonts w:cs="Times New Roman"/>
              </w:rPr>
              <w:t>升压站站区电气设备如变压器、开关柜等在超负荷运转和设备故障情况下有发生爆炸和火灾的可能。因升压站的运行设施、原材料、产品及污染物中均不涉及到易燃易爆、有毒有害物质，站区无重大危险源存在。电力行业由于具备完善的光纤通信、远程控制和防误操作系统，升压站和输电线路均作防雷和接地设计，发生事故的概率极小，在全国各行业中属于危险事故发生率较低的行业。</w:t>
            </w:r>
          </w:p>
          <w:p w14:paraId="41C413B0">
            <w:pPr>
              <w:pStyle w:val="62"/>
              <w:spacing w:line="240" w:lineRule="auto"/>
              <w:ind w:firstLine="0" w:firstLineChars="0"/>
              <w:jc w:val="center"/>
              <w:rPr>
                <w:rFonts w:hAnsi="宋体" w:cs="Times New Roman"/>
                <w:b/>
                <w:sz w:val="21"/>
                <w:szCs w:val="21"/>
              </w:rPr>
            </w:pPr>
            <w:r>
              <w:rPr>
                <w:rFonts w:hAnsi="宋体" w:cs="Times New Roman"/>
                <w:b/>
                <w:sz w:val="21"/>
                <w:szCs w:val="21"/>
              </w:rPr>
              <w:t>表</w:t>
            </w:r>
            <w:r>
              <w:rPr>
                <w:rFonts w:hint="eastAsia" w:hAnsi="宋体" w:cs="Times New Roman"/>
                <w:b/>
                <w:sz w:val="21"/>
                <w:szCs w:val="21"/>
              </w:rPr>
              <w:t>4</w:t>
            </w:r>
            <w:r>
              <w:rPr>
                <w:rFonts w:hint="eastAsia" w:hAnsi="宋体" w:cs="Times New Roman"/>
                <w:b/>
                <w:sz w:val="21"/>
                <w:szCs w:val="21"/>
                <w:lang w:val="en-US" w:eastAsia="zh-CN"/>
              </w:rPr>
              <w:t xml:space="preserve">-13  </w:t>
            </w:r>
            <w:r>
              <w:rPr>
                <w:rFonts w:hAnsi="宋体" w:cs="Times New Roman"/>
                <w:b/>
                <w:sz w:val="21"/>
                <w:szCs w:val="21"/>
              </w:rPr>
              <w:t>建设项目环境风险简单分析内容表</w:t>
            </w:r>
          </w:p>
          <w:tbl>
            <w:tblPr>
              <w:tblStyle w:val="32"/>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49"/>
              <w:gridCol w:w="1034"/>
              <w:gridCol w:w="1770"/>
              <w:gridCol w:w="902"/>
              <w:gridCol w:w="2154"/>
            </w:tblGrid>
            <w:tr w14:paraId="1A1C6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5FCACB58">
                  <w:pPr>
                    <w:adjustRightInd w:val="0"/>
                    <w:jc w:val="center"/>
                    <w:rPr>
                      <w:rFonts w:ascii="Times New Roman" w:hAnsi="Times New Roman" w:eastAsia="宋体" w:cs="Times New Roman"/>
                      <w:kern w:val="21"/>
                      <w:sz w:val="18"/>
                      <w:szCs w:val="18"/>
                      <w:lang w:val="en-US" w:eastAsia="zh-CN" w:bidi="ar-SA"/>
                    </w:rPr>
                  </w:pPr>
                  <w:r>
                    <w:rPr>
                      <w:rFonts w:hAnsi="宋体"/>
                      <w:sz w:val="18"/>
                      <w:szCs w:val="18"/>
                    </w:rPr>
                    <w:t>建设项目名称</w:t>
                  </w:r>
                </w:p>
              </w:tc>
              <w:tc>
                <w:tcPr>
                  <w:tcW w:w="3526" w:type="pct"/>
                  <w:gridSpan w:val="4"/>
                  <w:tcBorders>
                    <w:right w:val="nil"/>
                  </w:tcBorders>
                  <w:vAlign w:val="top"/>
                </w:tcPr>
                <w:p w14:paraId="2DB78F1E">
                  <w:pPr>
                    <w:adjustRightInd w:val="0"/>
                    <w:jc w:val="center"/>
                    <w:rPr>
                      <w:rFonts w:hint="eastAsia" w:ascii="Times New Roman" w:hAnsi="Times New Roman" w:eastAsia="宋体" w:cs="Times New Roman"/>
                      <w:kern w:val="21"/>
                      <w:sz w:val="18"/>
                      <w:szCs w:val="18"/>
                      <w:lang w:val="en-US" w:eastAsia="zh-CN" w:bidi="ar-SA"/>
                    </w:rPr>
                  </w:pPr>
                  <w:r>
                    <w:rPr>
                      <w:rFonts w:hint="eastAsia"/>
                      <w:kern w:val="21"/>
                      <w:sz w:val="18"/>
                      <w:szCs w:val="18"/>
                      <w:lang w:eastAsia="zh-CN"/>
                    </w:rPr>
                    <w:t>耒阳市导子东湖风电场项目</w:t>
                  </w:r>
                </w:p>
              </w:tc>
            </w:tr>
            <w:tr w14:paraId="14F6A4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7EA04A38">
                  <w:pPr>
                    <w:adjustRightInd w:val="0"/>
                    <w:jc w:val="center"/>
                    <w:rPr>
                      <w:kern w:val="21"/>
                      <w:sz w:val="18"/>
                      <w:szCs w:val="18"/>
                    </w:rPr>
                  </w:pPr>
                  <w:r>
                    <w:rPr>
                      <w:rFonts w:hAnsi="宋体"/>
                      <w:sz w:val="18"/>
                      <w:szCs w:val="18"/>
                    </w:rPr>
                    <w:t>建设地点</w:t>
                  </w:r>
                </w:p>
              </w:tc>
              <w:tc>
                <w:tcPr>
                  <w:tcW w:w="622" w:type="pct"/>
                  <w:vAlign w:val="top"/>
                </w:tcPr>
                <w:p w14:paraId="4AECBFE9">
                  <w:pPr>
                    <w:adjustRightInd w:val="0"/>
                    <w:jc w:val="center"/>
                    <w:rPr>
                      <w:kern w:val="21"/>
                      <w:sz w:val="18"/>
                      <w:szCs w:val="18"/>
                    </w:rPr>
                  </w:pPr>
                  <w:r>
                    <w:rPr>
                      <w:rFonts w:hAnsi="宋体"/>
                      <w:sz w:val="18"/>
                      <w:szCs w:val="18"/>
                    </w:rPr>
                    <w:t>湖南省</w:t>
                  </w:r>
                </w:p>
              </w:tc>
              <w:tc>
                <w:tcPr>
                  <w:tcW w:w="1065" w:type="pct"/>
                  <w:vAlign w:val="top"/>
                </w:tcPr>
                <w:p w14:paraId="0EBE69A5">
                  <w:pPr>
                    <w:adjustRightInd w:val="0"/>
                    <w:jc w:val="center"/>
                    <w:rPr>
                      <w:kern w:val="21"/>
                      <w:sz w:val="18"/>
                      <w:szCs w:val="18"/>
                    </w:rPr>
                  </w:pPr>
                  <w:r>
                    <w:rPr>
                      <w:rFonts w:hint="eastAsia"/>
                      <w:kern w:val="21"/>
                      <w:sz w:val="18"/>
                      <w:szCs w:val="18"/>
                    </w:rPr>
                    <w:t>衡阳市</w:t>
                  </w:r>
                </w:p>
              </w:tc>
              <w:tc>
                <w:tcPr>
                  <w:tcW w:w="1838" w:type="pct"/>
                  <w:gridSpan w:val="2"/>
                  <w:tcBorders>
                    <w:right w:val="nil"/>
                  </w:tcBorders>
                  <w:vAlign w:val="top"/>
                </w:tcPr>
                <w:p w14:paraId="006B0A6B">
                  <w:pPr>
                    <w:adjustRightInd w:val="0"/>
                    <w:jc w:val="center"/>
                    <w:rPr>
                      <w:kern w:val="21"/>
                      <w:sz w:val="18"/>
                      <w:szCs w:val="18"/>
                    </w:rPr>
                  </w:pPr>
                  <w:r>
                    <w:rPr>
                      <w:rFonts w:hint="eastAsia" w:hAnsi="宋体"/>
                      <w:sz w:val="18"/>
                      <w:szCs w:val="18"/>
                      <w:lang w:eastAsia="zh-CN"/>
                    </w:rPr>
                    <w:t>耒阳市</w:t>
                  </w:r>
                </w:p>
              </w:tc>
            </w:tr>
            <w:tr w14:paraId="2CC48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1BA9E452">
                  <w:pPr>
                    <w:adjustRightInd w:val="0"/>
                    <w:jc w:val="center"/>
                    <w:rPr>
                      <w:kern w:val="21"/>
                      <w:sz w:val="18"/>
                      <w:szCs w:val="18"/>
                    </w:rPr>
                  </w:pPr>
                  <w:r>
                    <w:rPr>
                      <w:sz w:val="18"/>
                      <w:szCs w:val="18"/>
                    </w:rPr>
                    <w:t>地理坐标</w:t>
                  </w:r>
                </w:p>
              </w:tc>
              <w:tc>
                <w:tcPr>
                  <w:tcW w:w="622" w:type="pct"/>
                  <w:vAlign w:val="top"/>
                </w:tcPr>
                <w:p w14:paraId="4E1E3132">
                  <w:pPr>
                    <w:adjustRightInd w:val="0"/>
                    <w:jc w:val="center"/>
                    <w:rPr>
                      <w:kern w:val="21"/>
                      <w:sz w:val="18"/>
                      <w:szCs w:val="18"/>
                    </w:rPr>
                  </w:pPr>
                  <w:r>
                    <w:rPr>
                      <w:sz w:val="18"/>
                      <w:szCs w:val="18"/>
                    </w:rPr>
                    <w:t>经度</w:t>
                  </w:r>
                </w:p>
              </w:tc>
              <w:tc>
                <w:tcPr>
                  <w:tcW w:w="1065" w:type="pct"/>
                  <w:vAlign w:val="top"/>
                </w:tcPr>
                <w:p w14:paraId="5F7920D2">
                  <w:pPr>
                    <w:adjustRightInd w:val="0"/>
                    <w:jc w:val="center"/>
                    <w:rPr>
                      <w:kern w:val="21"/>
                      <w:sz w:val="18"/>
                      <w:szCs w:val="18"/>
                    </w:rPr>
                  </w:pPr>
                  <w:r>
                    <w:rPr>
                      <w:kern w:val="0"/>
                      <w:sz w:val="18"/>
                      <w:szCs w:val="18"/>
                    </w:rPr>
                    <w:t>E11</w:t>
                  </w:r>
                  <w:r>
                    <w:rPr>
                      <w:rFonts w:hint="eastAsia"/>
                      <w:kern w:val="0"/>
                      <w:sz w:val="18"/>
                      <w:szCs w:val="18"/>
                      <w:lang w:val="en-US" w:eastAsia="zh-CN"/>
                    </w:rPr>
                    <w:t>3</w:t>
                  </w:r>
                  <w:r>
                    <w:rPr>
                      <w:kern w:val="0"/>
                      <w:sz w:val="18"/>
                      <w:szCs w:val="18"/>
                    </w:rPr>
                    <w:t>°</w:t>
                  </w:r>
                  <w:r>
                    <w:rPr>
                      <w:rFonts w:hint="eastAsia"/>
                      <w:kern w:val="0"/>
                      <w:sz w:val="18"/>
                      <w:szCs w:val="18"/>
                      <w:lang w:val="en-US" w:eastAsia="zh-CN"/>
                    </w:rPr>
                    <w:t>3</w:t>
                  </w:r>
                  <w:r>
                    <w:rPr>
                      <w:kern w:val="0"/>
                      <w:sz w:val="18"/>
                      <w:szCs w:val="18"/>
                    </w:rPr>
                    <w:t>′</w:t>
                  </w:r>
                  <w:r>
                    <w:rPr>
                      <w:rFonts w:hint="eastAsia"/>
                      <w:kern w:val="0"/>
                      <w:sz w:val="18"/>
                      <w:szCs w:val="18"/>
                      <w:lang w:val="en-US" w:eastAsia="zh-CN"/>
                    </w:rPr>
                    <w:t>47.64437</w:t>
                  </w:r>
                  <w:r>
                    <w:rPr>
                      <w:kern w:val="0"/>
                      <w:sz w:val="18"/>
                      <w:szCs w:val="18"/>
                    </w:rPr>
                    <w:t>″</w:t>
                  </w:r>
                </w:p>
              </w:tc>
              <w:tc>
                <w:tcPr>
                  <w:tcW w:w="542" w:type="pct"/>
                  <w:vAlign w:val="top"/>
                </w:tcPr>
                <w:p w14:paraId="251527CC">
                  <w:pPr>
                    <w:adjustRightInd w:val="0"/>
                    <w:jc w:val="center"/>
                    <w:rPr>
                      <w:kern w:val="21"/>
                      <w:sz w:val="18"/>
                      <w:szCs w:val="18"/>
                    </w:rPr>
                  </w:pPr>
                  <w:r>
                    <w:rPr>
                      <w:sz w:val="18"/>
                      <w:szCs w:val="18"/>
                    </w:rPr>
                    <w:t>纬度</w:t>
                  </w:r>
                </w:p>
              </w:tc>
              <w:tc>
                <w:tcPr>
                  <w:tcW w:w="1296" w:type="pct"/>
                  <w:tcBorders>
                    <w:right w:val="nil"/>
                  </w:tcBorders>
                  <w:vAlign w:val="top"/>
                </w:tcPr>
                <w:p w14:paraId="02C09707">
                  <w:pPr>
                    <w:adjustRightInd w:val="0"/>
                    <w:rPr>
                      <w:kern w:val="21"/>
                      <w:sz w:val="18"/>
                      <w:szCs w:val="18"/>
                    </w:rPr>
                  </w:pPr>
                  <w:r>
                    <w:rPr>
                      <w:kern w:val="0"/>
                      <w:sz w:val="18"/>
                      <w:szCs w:val="18"/>
                    </w:rPr>
                    <w:t>N</w:t>
                  </w:r>
                  <w:r>
                    <w:rPr>
                      <w:rFonts w:hint="eastAsia"/>
                      <w:lang w:val="en-US" w:eastAsia="zh-CN"/>
                    </w:rPr>
                    <w:t>26</w:t>
                  </w:r>
                  <w:r>
                    <w:rPr>
                      <w:kern w:val="0"/>
                      <w:sz w:val="18"/>
                      <w:szCs w:val="18"/>
                    </w:rPr>
                    <w:t>°</w:t>
                  </w:r>
                  <w:r>
                    <w:rPr>
                      <w:rFonts w:hint="eastAsia"/>
                      <w:kern w:val="0"/>
                      <w:sz w:val="18"/>
                      <w:szCs w:val="18"/>
                      <w:lang w:val="en-US" w:eastAsia="zh-CN"/>
                    </w:rPr>
                    <w:t>27</w:t>
                  </w:r>
                  <w:r>
                    <w:rPr>
                      <w:kern w:val="0"/>
                      <w:sz w:val="18"/>
                      <w:szCs w:val="18"/>
                    </w:rPr>
                    <w:t>′</w:t>
                  </w:r>
                  <w:r>
                    <w:rPr>
                      <w:rFonts w:hint="eastAsia"/>
                      <w:kern w:val="0"/>
                      <w:sz w:val="18"/>
                      <w:szCs w:val="18"/>
                      <w:lang w:val="en-US" w:eastAsia="zh-CN"/>
                    </w:rPr>
                    <w:t>57.00474</w:t>
                  </w:r>
                  <w:r>
                    <w:rPr>
                      <w:kern w:val="0"/>
                      <w:sz w:val="18"/>
                      <w:szCs w:val="18"/>
                    </w:rPr>
                    <w:t>″</w:t>
                  </w:r>
                </w:p>
              </w:tc>
            </w:tr>
            <w:tr w14:paraId="17B9A1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716610CF">
                  <w:pPr>
                    <w:adjustRightInd w:val="0"/>
                    <w:jc w:val="center"/>
                    <w:rPr>
                      <w:kern w:val="21"/>
                      <w:sz w:val="18"/>
                      <w:szCs w:val="18"/>
                    </w:rPr>
                  </w:pPr>
                  <w:r>
                    <w:rPr>
                      <w:rFonts w:hAnsi="宋体"/>
                      <w:sz w:val="18"/>
                      <w:szCs w:val="18"/>
                    </w:rPr>
                    <w:t>主要危险物质及分布</w:t>
                  </w:r>
                </w:p>
              </w:tc>
              <w:tc>
                <w:tcPr>
                  <w:tcW w:w="3526" w:type="pct"/>
                  <w:gridSpan w:val="4"/>
                  <w:tcBorders>
                    <w:right w:val="nil"/>
                  </w:tcBorders>
                  <w:vAlign w:val="top"/>
                </w:tcPr>
                <w:p w14:paraId="30C62576">
                  <w:pPr>
                    <w:adjustRightInd w:val="0"/>
                    <w:jc w:val="center"/>
                    <w:rPr>
                      <w:kern w:val="21"/>
                      <w:sz w:val="18"/>
                      <w:szCs w:val="18"/>
                    </w:rPr>
                  </w:pPr>
                  <w:r>
                    <w:rPr>
                      <w:rFonts w:hAnsi="宋体"/>
                      <w:sz w:val="18"/>
                      <w:szCs w:val="18"/>
                    </w:rPr>
                    <w:t>升压站内变压器油，最大量约</w:t>
                  </w:r>
                  <w:r>
                    <w:rPr>
                      <w:sz w:val="18"/>
                      <w:szCs w:val="18"/>
                    </w:rPr>
                    <w:t>25</w:t>
                  </w:r>
                  <w:r>
                    <w:rPr>
                      <w:rFonts w:hAnsi="宋体"/>
                      <w:sz w:val="18"/>
                      <w:szCs w:val="18"/>
                    </w:rPr>
                    <w:t>吨</w:t>
                  </w:r>
                </w:p>
              </w:tc>
            </w:tr>
            <w:tr w14:paraId="30D0C4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7BE7D934">
                  <w:pPr>
                    <w:adjustRightInd w:val="0"/>
                    <w:jc w:val="center"/>
                    <w:rPr>
                      <w:kern w:val="21"/>
                      <w:sz w:val="18"/>
                      <w:szCs w:val="18"/>
                    </w:rPr>
                  </w:pPr>
                  <w:r>
                    <w:rPr>
                      <w:rFonts w:hAnsi="宋体"/>
                      <w:sz w:val="18"/>
                      <w:szCs w:val="18"/>
                    </w:rPr>
                    <w:t>环境影响途径及危害后果（地表水、地下水、大气等）</w:t>
                  </w:r>
                </w:p>
              </w:tc>
              <w:tc>
                <w:tcPr>
                  <w:tcW w:w="3526" w:type="pct"/>
                  <w:gridSpan w:val="4"/>
                  <w:tcBorders>
                    <w:right w:val="nil"/>
                  </w:tcBorders>
                  <w:vAlign w:val="top"/>
                </w:tcPr>
                <w:p w14:paraId="243BF3D4">
                  <w:pPr>
                    <w:jc w:val="left"/>
                    <w:rPr>
                      <w:kern w:val="21"/>
                      <w:sz w:val="18"/>
                      <w:szCs w:val="18"/>
                    </w:rPr>
                  </w:pPr>
                  <w:r>
                    <w:rPr>
                      <w:rFonts w:ascii="宋体" w:hAnsi="宋体"/>
                      <w:sz w:val="18"/>
                      <w:szCs w:val="18"/>
                    </w:rPr>
                    <w:t>①</w:t>
                  </w:r>
                  <w:r>
                    <w:rPr>
                      <w:rFonts w:hAnsi="宋体"/>
                      <w:sz w:val="18"/>
                      <w:szCs w:val="18"/>
                    </w:rPr>
                    <w:t>项目变压器油发生</w:t>
                  </w:r>
                  <w:r>
                    <w:rPr>
                      <w:rFonts w:hint="eastAsia" w:hAnsi="宋体"/>
                      <w:sz w:val="18"/>
                      <w:szCs w:val="18"/>
                    </w:rPr>
                    <w:t>泄漏</w:t>
                  </w:r>
                  <w:r>
                    <w:rPr>
                      <w:rFonts w:hAnsi="宋体"/>
                      <w:sz w:val="18"/>
                      <w:szCs w:val="18"/>
                    </w:rPr>
                    <w:t>，若进入地表水体，引起地表水中石油类含量急剧上升</w:t>
                  </w:r>
                </w:p>
                <w:p w14:paraId="07EB3B68">
                  <w:pPr>
                    <w:jc w:val="left"/>
                    <w:rPr>
                      <w:sz w:val="18"/>
                      <w:szCs w:val="18"/>
                    </w:rPr>
                  </w:pPr>
                  <w:r>
                    <w:rPr>
                      <w:rFonts w:ascii="宋体" w:hAnsi="宋体"/>
                      <w:sz w:val="18"/>
                      <w:szCs w:val="18"/>
                    </w:rPr>
                    <w:t>②</w:t>
                  </w:r>
                  <w:r>
                    <w:rPr>
                      <w:rFonts w:hAnsi="宋体"/>
                      <w:sz w:val="18"/>
                      <w:szCs w:val="18"/>
                    </w:rPr>
                    <w:t>项目变压器油发生</w:t>
                  </w:r>
                  <w:r>
                    <w:rPr>
                      <w:rFonts w:hint="eastAsia" w:hAnsi="宋体"/>
                      <w:sz w:val="18"/>
                      <w:szCs w:val="18"/>
                    </w:rPr>
                    <w:t>泄漏</w:t>
                  </w:r>
                  <w:r>
                    <w:rPr>
                      <w:rFonts w:hAnsi="宋体"/>
                      <w:sz w:val="18"/>
                      <w:szCs w:val="18"/>
                    </w:rPr>
                    <w:t>，对环境空气影响有限</w:t>
                  </w:r>
                </w:p>
                <w:p w14:paraId="23BB55A2">
                  <w:pPr>
                    <w:adjustRightInd w:val="0"/>
                    <w:jc w:val="left"/>
                    <w:rPr>
                      <w:kern w:val="21"/>
                      <w:sz w:val="18"/>
                      <w:szCs w:val="18"/>
                    </w:rPr>
                  </w:pPr>
                  <w:r>
                    <w:rPr>
                      <w:rFonts w:ascii="宋体" w:hAnsi="宋体"/>
                      <w:sz w:val="18"/>
                      <w:szCs w:val="18"/>
                    </w:rPr>
                    <w:t>③</w:t>
                  </w:r>
                  <w:r>
                    <w:rPr>
                      <w:rFonts w:hAnsi="宋体"/>
                      <w:sz w:val="18"/>
                      <w:szCs w:val="18"/>
                    </w:rPr>
                    <w:t>项目变压器油发生</w:t>
                  </w:r>
                  <w:r>
                    <w:rPr>
                      <w:rFonts w:hint="eastAsia" w:hAnsi="宋体"/>
                      <w:sz w:val="18"/>
                      <w:szCs w:val="18"/>
                    </w:rPr>
                    <w:t>泄漏</w:t>
                  </w:r>
                  <w:r>
                    <w:rPr>
                      <w:rFonts w:hAnsi="宋体"/>
                      <w:sz w:val="18"/>
                      <w:szCs w:val="18"/>
                    </w:rPr>
                    <w:t>，若进入土壤渗漏，矿物油类进入地层包气带，随着大气降水下渗进入地下含水层，形成一个油污团从山顶向山下扩散，对区域地下水环境造成污染。</w:t>
                  </w:r>
                </w:p>
              </w:tc>
            </w:tr>
            <w:tr w14:paraId="36FF32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3" w:type="pct"/>
                  <w:tcBorders>
                    <w:left w:val="nil"/>
                  </w:tcBorders>
                  <w:vAlign w:val="top"/>
                </w:tcPr>
                <w:p w14:paraId="573DB4AC">
                  <w:pPr>
                    <w:adjustRightInd w:val="0"/>
                    <w:jc w:val="center"/>
                    <w:rPr>
                      <w:kern w:val="21"/>
                      <w:sz w:val="18"/>
                      <w:szCs w:val="18"/>
                    </w:rPr>
                  </w:pPr>
                  <w:r>
                    <w:rPr>
                      <w:rFonts w:hAnsi="宋体"/>
                      <w:sz w:val="18"/>
                      <w:szCs w:val="18"/>
                    </w:rPr>
                    <w:t>风险防范措施要求</w:t>
                  </w:r>
                </w:p>
              </w:tc>
              <w:tc>
                <w:tcPr>
                  <w:tcW w:w="3526" w:type="pct"/>
                  <w:gridSpan w:val="4"/>
                  <w:tcBorders>
                    <w:right w:val="nil"/>
                  </w:tcBorders>
                  <w:vAlign w:val="top"/>
                </w:tcPr>
                <w:p w14:paraId="4078C322">
                  <w:pPr>
                    <w:adjustRightInd w:val="0"/>
                    <w:jc w:val="left"/>
                    <w:rPr>
                      <w:kern w:val="21"/>
                      <w:sz w:val="18"/>
                      <w:szCs w:val="18"/>
                    </w:rPr>
                  </w:pPr>
                  <w:r>
                    <w:rPr>
                      <w:rFonts w:hAnsi="宋体"/>
                      <w:sz w:val="18"/>
                      <w:szCs w:val="18"/>
                    </w:rPr>
                    <w:t>在升压站外周的地形坡面下方建设</w:t>
                  </w:r>
                  <w:r>
                    <w:rPr>
                      <w:sz w:val="18"/>
                      <w:szCs w:val="18"/>
                      <w:u w:val="none"/>
                    </w:rPr>
                    <w:t>30m</w:t>
                  </w:r>
                  <w:r>
                    <w:rPr>
                      <w:sz w:val="18"/>
                      <w:szCs w:val="18"/>
                      <w:u w:val="none"/>
                      <w:vertAlign w:val="superscript"/>
                    </w:rPr>
                    <w:t>3</w:t>
                  </w:r>
                  <w:r>
                    <w:rPr>
                      <w:rFonts w:hAnsi="宋体"/>
                      <w:sz w:val="18"/>
                      <w:szCs w:val="18"/>
                    </w:rPr>
                    <w:t>事故应急集油池，变压器的下方建立半埋式事故集油池，并在主变压器四周设置排油沟槽，相关的管道、池壁和池底均进行水泥防渗处理，以免污染物下渗对周边区域地下水环境造成影响。</w:t>
                  </w:r>
                </w:p>
              </w:tc>
            </w:tr>
            <w:tr w14:paraId="1484CF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tcBorders>
                    <w:left w:val="nil"/>
                    <w:right w:val="nil"/>
                  </w:tcBorders>
                  <w:vAlign w:val="top"/>
                </w:tcPr>
                <w:p w14:paraId="28535717">
                  <w:pPr>
                    <w:adjustRightInd w:val="0"/>
                    <w:jc w:val="left"/>
                    <w:rPr>
                      <w:kern w:val="21"/>
                      <w:sz w:val="18"/>
                      <w:szCs w:val="18"/>
                    </w:rPr>
                  </w:pPr>
                  <w:r>
                    <w:rPr>
                      <w:rFonts w:hAnsi="宋体"/>
                      <w:sz w:val="18"/>
                      <w:szCs w:val="18"/>
                    </w:rPr>
                    <w:t>填表说明（列出项目相关信息及评价说明）</w:t>
                  </w:r>
                </w:p>
              </w:tc>
            </w:tr>
          </w:tbl>
          <w:p w14:paraId="6434B9D4">
            <w:pPr>
              <w:spacing w:line="360" w:lineRule="auto"/>
              <w:ind w:firstLine="480" w:firstLineChars="200"/>
              <w:rPr>
                <w:sz w:val="24"/>
              </w:rPr>
            </w:pPr>
          </w:p>
        </w:tc>
      </w:tr>
      <w:tr w14:paraId="375E57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14:paraId="69555B89">
            <w:pPr>
              <w:jc w:val="center"/>
              <w:rPr>
                <w:b/>
                <w:bCs/>
                <w:sz w:val="24"/>
              </w:rPr>
            </w:pPr>
            <w:r>
              <w:rPr>
                <w:rFonts w:hint="eastAsia"/>
                <w:b/>
                <w:bCs/>
                <w:sz w:val="24"/>
              </w:rPr>
              <w:t>选址选线环境合理性分析</w:t>
            </w:r>
          </w:p>
        </w:tc>
        <w:tc>
          <w:tcPr>
            <w:tcW w:w="8555" w:type="dxa"/>
          </w:tcPr>
          <w:p w14:paraId="6FF7CA5D">
            <w:pPr>
              <w:spacing w:line="360" w:lineRule="auto"/>
              <w:jc w:val="left"/>
              <w:rPr>
                <w:b/>
                <w:bCs/>
                <w:color w:val="FF0000"/>
                <w:sz w:val="24"/>
              </w:rPr>
            </w:pPr>
            <w:r>
              <w:rPr>
                <w:b/>
                <w:bCs/>
                <w:color w:val="FF0000"/>
                <w:sz w:val="24"/>
              </w:rPr>
              <w:t>4.13</w:t>
            </w:r>
            <w:r>
              <w:rPr>
                <w:rFonts w:hint="eastAsia"/>
                <w:b/>
                <w:bCs/>
                <w:color w:val="FF0000"/>
                <w:sz w:val="24"/>
              </w:rPr>
              <w:t>选址符合性分析</w:t>
            </w:r>
          </w:p>
          <w:p w14:paraId="068F0FA6">
            <w:pPr>
              <w:spacing w:line="360" w:lineRule="auto"/>
              <w:ind w:firstLine="504" w:firstLineChars="200"/>
              <w:rPr>
                <w:bCs/>
                <w:color w:val="FF0000"/>
                <w:spacing w:val="6"/>
                <w:sz w:val="24"/>
              </w:rPr>
            </w:pPr>
            <w:r>
              <w:rPr>
                <w:bCs/>
                <w:color w:val="FF0000"/>
                <w:spacing w:val="6"/>
                <w:sz w:val="24"/>
              </w:rPr>
              <w:t>本项目位于</w:t>
            </w:r>
            <w:r>
              <w:rPr>
                <w:rFonts w:hint="eastAsia"/>
                <w:bCs/>
                <w:color w:val="FF0000"/>
                <w:spacing w:val="6"/>
                <w:sz w:val="24"/>
                <w:lang w:eastAsia="zh-CN"/>
              </w:rPr>
              <w:t>湖南省衡阳市耒阳市导子镇、</w:t>
            </w:r>
            <w:r>
              <w:rPr>
                <w:rFonts w:hint="eastAsia"/>
                <w:bCs/>
                <w:color w:val="FF0000"/>
                <w:spacing w:val="6"/>
                <w:sz w:val="24"/>
                <w:lang w:val="en-US" w:eastAsia="zh-CN"/>
              </w:rPr>
              <w:t>东湖圩镇</w:t>
            </w:r>
            <w:r>
              <w:rPr>
                <w:bCs/>
                <w:color w:val="FF0000"/>
                <w:spacing w:val="6"/>
                <w:sz w:val="24"/>
              </w:rPr>
              <w:t>一带，场址范围在</w:t>
            </w:r>
            <w:r>
              <w:rPr>
                <w:rFonts w:hint="default"/>
                <w:bCs/>
                <w:color w:val="FF0000"/>
                <w:spacing w:val="6"/>
                <w:sz w:val="24"/>
              </w:rPr>
              <w:t>东经11</w:t>
            </w:r>
            <w:r>
              <w:rPr>
                <w:rFonts w:hint="default"/>
                <w:bCs/>
                <w:color w:val="FF0000"/>
                <w:spacing w:val="6"/>
                <w:sz w:val="24"/>
                <w:lang w:val="en-US" w:eastAsia="zh-CN"/>
              </w:rPr>
              <w:t>3°3′12″~东经113°9′27″</w:t>
            </w:r>
            <w:r>
              <w:rPr>
                <w:rFonts w:hint="default"/>
                <w:bCs/>
                <w:color w:val="FF0000"/>
                <w:spacing w:val="6"/>
                <w:sz w:val="24"/>
              </w:rPr>
              <w:t>，北纬</w:t>
            </w:r>
            <w:r>
              <w:rPr>
                <w:rFonts w:hint="default"/>
                <w:bCs/>
                <w:color w:val="FF0000"/>
                <w:spacing w:val="6"/>
                <w:sz w:val="24"/>
                <w:lang w:val="en-US" w:eastAsia="zh-CN"/>
              </w:rPr>
              <w:t>26°25′41″~北纬26°31′7″</w:t>
            </w:r>
            <w:r>
              <w:rPr>
                <w:bCs/>
                <w:color w:val="FF0000"/>
                <w:spacing w:val="6"/>
                <w:sz w:val="24"/>
              </w:rPr>
              <w:t>，海拔高程在</w:t>
            </w:r>
            <w:r>
              <w:rPr>
                <w:rFonts w:hint="eastAsia"/>
                <w:bCs/>
                <w:color w:val="FF0000"/>
                <w:spacing w:val="6"/>
                <w:sz w:val="24"/>
                <w:lang w:val="en-US" w:eastAsia="zh-CN"/>
              </w:rPr>
              <w:t>45</w:t>
            </w:r>
            <w:r>
              <w:rPr>
                <w:bCs/>
                <w:color w:val="FF0000"/>
                <w:spacing w:val="6"/>
                <w:sz w:val="24"/>
              </w:rPr>
              <w:t>0～</w:t>
            </w:r>
            <w:r>
              <w:rPr>
                <w:rFonts w:hint="eastAsia"/>
                <w:bCs/>
                <w:color w:val="FF0000"/>
                <w:spacing w:val="6"/>
                <w:sz w:val="24"/>
                <w:lang w:val="en-US" w:eastAsia="zh-CN"/>
              </w:rPr>
              <w:t>65</w:t>
            </w:r>
            <w:r>
              <w:rPr>
                <w:bCs/>
                <w:color w:val="FF0000"/>
                <w:spacing w:val="6"/>
                <w:sz w:val="24"/>
              </w:rPr>
              <w:t>0m之间。本风电场工程规模为</w:t>
            </w:r>
            <w:r>
              <w:rPr>
                <w:rFonts w:hint="eastAsia"/>
                <w:bCs/>
                <w:color w:val="FF0000"/>
                <w:spacing w:val="6"/>
                <w:sz w:val="24"/>
              </w:rPr>
              <w:t>中</w:t>
            </w:r>
            <w:r>
              <w:rPr>
                <w:bCs/>
                <w:color w:val="FF0000"/>
                <w:spacing w:val="6"/>
                <w:sz w:val="24"/>
              </w:rPr>
              <w:t>型。根据区域地质资料显示，场址区域地震基本烈度Ⅵ度，拟建场地处于稳定地块内</w:t>
            </w:r>
            <w:r>
              <w:rPr>
                <w:rFonts w:hint="eastAsia"/>
                <w:bCs/>
                <w:color w:val="FF0000"/>
                <w:spacing w:val="6"/>
                <w:sz w:val="24"/>
              </w:rPr>
              <w:t>，</w:t>
            </w:r>
            <w:r>
              <w:rPr>
                <w:color w:val="FF0000"/>
                <w:spacing w:val="-4"/>
                <w:sz w:val="24"/>
              </w:rPr>
              <w:t>地质条件</w:t>
            </w:r>
            <w:r>
              <w:rPr>
                <w:bCs/>
                <w:color w:val="FF0000"/>
                <w:spacing w:val="6"/>
                <w:sz w:val="24"/>
              </w:rPr>
              <w:t>稳定</w:t>
            </w:r>
            <w:r>
              <w:rPr>
                <w:rFonts w:hint="eastAsia"/>
                <w:bCs/>
                <w:color w:val="FF0000"/>
                <w:spacing w:val="6"/>
                <w:sz w:val="24"/>
              </w:rPr>
              <w:t>。</w:t>
            </w:r>
          </w:p>
          <w:p w14:paraId="105C08BE">
            <w:pPr>
              <w:spacing w:line="360" w:lineRule="auto"/>
              <w:ind w:firstLine="504" w:firstLineChars="200"/>
              <w:jc w:val="left"/>
              <w:rPr>
                <w:bCs/>
                <w:color w:val="FF0000"/>
                <w:spacing w:val="6"/>
                <w:sz w:val="24"/>
              </w:rPr>
            </w:pPr>
            <w:r>
              <w:rPr>
                <w:bCs/>
                <w:color w:val="FF0000"/>
                <w:spacing w:val="6"/>
                <w:sz w:val="24"/>
              </w:rPr>
              <w:t>根据《建设用地项目压覆矿产资源查询结果表》（湘压矿查[2022]657号）</w:t>
            </w:r>
            <w:r>
              <w:rPr>
                <w:rFonts w:hint="eastAsia"/>
                <w:bCs/>
                <w:color w:val="FF0000"/>
                <w:spacing w:val="6"/>
                <w:sz w:val="24"/>
                <w:lang w:eastAsia="zh-CN"/>
              </w:rPr>
              <w:t>，</w:t>
            </w:r>
            <w:r>
              <w:rPr>
                <w:bCs/>
                <w:color w:val="FF0000"/>
                <w:spacing w:val="6"/>
                <w:sz w:val="24"/>
              </w:rPr>
              <w:t>建设项目用地范围内没有已探明的具有工业价值的重要矿产资源，也没有设置探矿权和采矿权</w:t>
            </w:r>
            <w:r>
              <w:rPr>
                <w:rFonts w:hint="eastAsia"/>
                <w:bCs/>
                <w:color w:val="FF0000"/>
                <w:spacing w:val="6"/>
                <w:sz w:val="24"/>
              </w:rPr>
              <w:t>。</w:t>
            </w:r>
          </w:p>
          <w:p w14:paraId="0B87E816">
            <w:pPr>
              <w:spacing w:line="360" w:lineRule="auto"/>
              <w:ind w:firstLine="504" w:firstLineChars="200"/>
              <w:jc w:val="left"/>
              <w:rPr>
                <w:bCs/>
                <w:color w:val="FF0000"/>
                <w:spacing w:val="6"/>
                <w:sz w:val="24"/>
              </w:rPr>
            </w:pPr>
            <w:r>
              <w:rPr>
                <w:bCs/>
                <w:color w:val="FF0000"/>
                <w:spacing w:val="6"/>
                <w:sz w:val="24"/>
              </w:rPr>
              <w:t>工程区域属于属亚热带季风湿润气候，气候温和、四季分明、热量充足，雨水较多；</w:t>
            </w:r>
            <w:r>
              <w:rPr>
                <w:rFonts w:hint="eastAsia"/>
                <w:bCs/>
                <w:color w:val="FF0000"/>
                <w:spacing w:val="6"/>
                <w:sz w:val="24"/>
                <w:lang w:eastAsia="zh-CN"/>
              </w:rPr>
              <w:t>耒阳市导子东湖风电场项目</w:t>
            </w:r>
            <w:r>
              <w:rPr>
                <w:bCs/>
                <w:color w:val="FF0000"/>
                <w:spacing w:val="6"/>
                <w:sz w:val="24"/>
              </w:rPr>
              <w:t>实地测风资料统计表明</w:t>
            </w:r>
            <w:r>
              <w:rPr>
                <w:rFonts w:hint="eastAsia"/>
                <w:bCs/>
                <w:color w:val="FF0000"/>
                <w:spacing w:val="6"/>
                <w:sz w:val="24"/>
                <w:lang w:eastAsia="zh-CN"/>
              </w:rPr>
              <w:t>，</w:t>
            </w:r>
            <w:r>
              <w:rPr>
                <w:bCs/>
                <w:color w:val="FF0000"/>
                <w:spacing w:val="6"/>
                <w:sz w:val="24"/>
              </w:rPr>
              <w:t>风电场场址测风塔测风数据详实可靠，盛行风向较稳定，风能密度相对较集</w:t>
            </w:r>
            <w:r>
              <w:rPr>
                <w:color w:val="FF0000"/>
                <w:sz w:val="24"/>
              </w:rPr>
              <w:t>中，有效风能小时数较多，采用大容量低风速超长叶片风力发电机可以充分利用当地风能资源，风能资源具有一定的开发利用价值。</w:t>
            </w:r>
          </w:p>
          <w:p w14:paraId="24AC940E">
            <w:pPr>
              <w:spacing w:line="360" w:lineRule="auto"/>
              <w:ind w:firstLine="504" w:firstLineChars="200"/>
              <w:jc w:val="left"/>
              <w:rPr>
                <w:bCs/>
                <w:color w:val="FF0000"/>
                <w:spacing w:val="6"/>
                <w:sz w:val="24"/>
              </w:rPr>
            </w:pPr>
            <w:r>
              <w:rPr>
                <w:bCs/>
                <w:color w:val="FF0000"/>
                <w:spacing w:val="6"/>
                <w:sz w:val="24"/>
              </w:rPr>
              <w:t>项目占地不涉及自然保护区、风景名胜区、世界文化或自然遗产地、森林公园、地质公园、重要湿地、文物保护单位、饮用水源保护区等敏感区，不涉及候鸟保护区和候鸟迁徙路径。风电场场址区植被以</w:t>
            </w:r>
            <w:r>
              <w:rPr>
                <w:rFonts w:hint="eastAsia"/>
                <w:bCs/>
                <w:color w:val="FF0000"/>
                <w:spacing w:val="6"/>
                <w:sz w:val="24"/>
              </w:rPr>
              <w:t>油茶林、</w:t>
            </w:r>
            <w:r>
              <w:rPr>
                <w:bCs/>
                <w:color w:val="FF0000"/>
                <w:spacing w:val="6"/>
                <w:sz w:val="24"/>
              </w:rPr>
              <w:t>杉木林、马尾松林</w:t>
            </w:r>
            <w:r>
              <w:rPr>
                <w:rFonts w:hint="eastAsia"/>
                <w:bCs/>
                <w:color w:val="FF0000"/>
                <w:spacing w:val="6"/>
                <w:sz w:val="24"/>
              </w:rPr>
              <w:t>、木油桐</w:t>
            </w:r>
            <w:r>
              <w:rPr>
                <w:bCs/>
                <w:color w:val="FF0000"/>
                <w:spacing w:val="6"/>
                <w:sz w:val="24"/>
              </w:rPr>
              <w:t>林</w:t>
            </w:r>
            <w:r>
              <w:rPr>
                <w:rFonts w:hint="eastAsia"/>
                <w:bCs/>
                <w:color w:val="FF0000"/>
                <w:spacing w:val="6"/>
                <w:sz w:val="24"/>
              </w:rPr>
              <w:t>、</w:t>
            </w:r>
            <w:r>
              <w:rPr>
                <w:bCs/>
                <w:color w:val="FF0000"/>
                <w:spacing w:val="6"/>
                <w:sz w:val="24"/>
              </w:rPr>
              <w:t>灌丛为主</w:t>
            </w:r>
            <w:r>
              <w:rPr>
                <w:rFonts w:hint="eastAsia"/>
                <w:bCs/>
                <w:color w:val="FF0000"/>
                <w:spacing w:val="6"/>
                <w:sz w:val="24"/>
              </w:rPr>
              <w:t>。</w:t>
            </w:r>
          </w:p>
          <w:p w14:paraId="460DB6BE">
            <w:pPr>
              <w:spacing w:line="360" w:lineRule="auto"/>
              <w:ind w:firstLine="504" w:firstLineChars="200"/>
              <w:jc w:val="left"/>
              <w:rPr>
                <w:color w:val="FF0000"/>
                <w:spacing w:val="-4"/>
                <w:sz w:val="24"/>
              </w:rPr>
            </w:pPr>
            <w:r>
              <w:rPr>
                <w:bCs/>
                <w:color w:val="FF0000"/>
                <w:spacing w:val="6"/>
                <w:sz w:val="24"/>
              </w:rPr>
              <w:t>综合分析，</w:t>
            </w:r>
            <w:r>
              <w:rPr>
                <w:color w:val="FF0000"/>
                <w:spacing w:val="-4"/>
                <w:sz w:val="24"/>
              </w:rPr>
              <w:t>本风电场选址地质条件</w:t>
            </w:r>
            <w:r>
              <w:rPr>
                <w:bCs/>
                <w:color w:val="FF0000"/>
                <w:spacing w:val="6"/>
                <w:sz w:val="24"/>
              </w:rPr>
              <w:t>稳定</w:t>
            </w:r>
            <w:r>
              <w:rPr>
                <w:color w:val="FF0000"/>
                <w:spacing w:val="-4"/>
                <w:sz w:val="24"/>
              </w:rPr>
              <w:t>，未涉及环境敏感区，不存在环境制约因素，在切实做好施工开挖弃渣的挡护、施工迹地的生态恢复措施，</w:t>
            </w:r>
            <w:r>
              <w:rPr>
                <w:rFonts w:hint="eastAsia"/>
                <w:color w:val="FF0000"/>
                <w:spacing w:val="-4"/>
                <w:sz w:val="24"/>
              </w:rPr>
              <w:t>优化施工期及运行期噪声控制管理措施，</w:t>
            </w:r>
            <w:r>
              <w:rPr>
                <w:color w:val="FF0000"/>
                <w:spacing w:val="-4"/>
                <w:sz w:val="24"/>
              </w:rPr>
              <w:t>对环境的不利影响将得到有效控制，场址选择符合《风电场场址选择技术规定》中环境保护要求，工程选址可行。</w:t>
            </w:r>
          </w:p>
          <w:p w14:paraId="47B72509">
            <w:pPr>
              <w:spacing w:line="360" w:lineRule="auto"/>
              <w:jc w:val="left"/>
              <w:rPr>
                <w:b/>
                <w:color w:val="FF0000"/>
                <w:spacing w:val="-4"/>
                <w:sz w:val="24"/>
              </w:rPr>
            </w:pPr>
            <w:r>
              <w:rPr>
                <w:rFonts w:hint="eastAsia"/>
                <w:b/>
                <w:color w:val="FF0000"/>
                <w:spacing w:val="6"/>
                <w:sz w:val="24"/>
              </w:rPr>
              <w:t>4</w:t>
            </w:r>
            <w:r>
              <w:rPr>
                <w:b/>
                <w:color w:val="FF0000"/>
                <w:spacing w:val="6"/>
                <w:sz w:val="24"/>
              </w:rPr>
              <w:t>.14风机</w:t>
            </w:r>
            <w:r>
              <w:rPr>
                <w:rFonts w:hint="eastAsia"/>
                <w:b/>
                <w:color w:val="FF0000"/>
                <w:spacing w:val="6"/>
                <w:sz w:val="24"/>
              </w:rPr>
              <w:t>机位选址合理性</w:t>
            </w:r>
          </w:p>
          <w:p w14:paraId="27A3C245">
            <w:pPr>
              <w:spacing w:line="360" w:lineRule="auto"/>
              <w:ind w:firstLine="504" w:firstLineChars="200"/>
              <w:jc w:val="left"/>
              <w:rPr>
                <w:bCs/>
                <w:color w:val="FF0000"/>
                <w:spacing w:val="6"/>
                <w:sz w:val="24"/>
                <w:u w:val="none"/>
              </w:rPr>
            </w:pPr>
            <w:r>
              <w:rPr>
                <w:rFonts w:hint="eastAsia"/>
                <w:bCs/>
                <w:color w:val="FF0000"/>
                <w:spacing w:val="6"/>
                <w:sz w:val="24"/>
                <w:u w:val="none"/>
              </w:rPr>
              <w:t>本项目的风机位于高程在</w:t>
            </w:r>
            <w:r>
              <w:rPr>
                <w:rFonts w:hint="eastAsia"/>
                <w:bCs/>
                <w:color w:val="FF0000"/>
                <w:spacing w:val="6"/>
                <w:sz w:val="24"/>
                <w:u w:val="none"/>
                <w:lang w:val="en-US" w:eastAsia="zh-CN"/>
              </w:rPr>
              <w:t>45</w:t>
            </w:r>
            <w:r>
              <w:rPr>
                <w:rFonts w:hint="eastAsia"/>
                <w:bCs/>
                <w:color w:val="FF0000"/>
                <w:spacing w:val="6"/>
                <w:sz w:val="24"/>
                <w:u w:val="none"/>
              </w:rPr>
              <w:t>0</w:t>
            </w:r>
            <w:r>
              <w:rPr>
                <w:rFonts w:hint="eastAsia"/>
                <w:bCs/>
                <w:color w:val="FF0000"/>
                <w:spacing w:val="6"/>
                <w:sz w:val="24"/>
                <w:u w:val="none"/>
                <w:lang w:val="en-US" w:eastAsia="zh-CN"/>
              </w:rPr>
              <w:t>~65</w:t>
            </w:r>
            <w:r>
              <w:rPr>
                <w:rFonts w:hint="eastAsia"/>
                <w:bCs/>
                <w:color w:val="FF0000"/>
                <w:spacing w:val="6"/>
                <w:sz w:val="24"/>
                <w:u w:val="none"/>
              </w:rPr>
              <w:t>0m之间的山脊或山顶上，</w:t>
            </w:r>
            <w:r>
              <w:rPr>
                <w:rFonts w:hint="eastAsia"/>
                <w:bCs/>
                <w:color w:val="FF0000"/>
                <w:spacing w:val="6"/>
                <w:sz w:val="24"/>
                <w:u w:val="none"/>
                <w:lang w:val="en-US" w:eastAsia="zh-CN"/>
              </w:rPr>
              <w:t>居民大多分布在山脚或山坡处，无居民集中分布区。</w:t>
            </w:r>
            <w:r>
              <w:rPr>
                <w:rFonts w:hint="eastAsia"/>
                <w:bCs/>
                <w:color w:val="FF0000"/>
                <w:spacing w:val="6"/>
                <w:sz w:val="24"/>
                <w:u w:val="none"/>
              </w:rPr>
              <w:t>通过选址优化，本项目</w:t>
            </w:r>
            <w:r>
              <w:rPr>
                <w:bCs/>
                <w:color w:val="FF0000"/>
                <w:spacing w:val="6"/>
                <w:sz w:val="24"/>
                <w:u w:val="none"/>
              </w:rPr>
              <w:t>场址</w:t>
            </w:r>
            <w:r>
              <w:rPr>
                <w:rFonts w:hint="eastAsia"/>
                <w:bCs/>
                <w:color w:val="FF0000"/>
                <w:spacing w:val="6"/>
                <w:sz w:val="24"/>
                <w:u w:val="none"/>
              </w:rPr>
              <w:t>附近居民点数量控制在最少。</w:t>
            </w:r>
          </w:p>
          <w:p w14:paraId="27B6B8D8">
            <w:pPr>
              <w:spacing w:line="360" w:lineRule="auto"/>
              <w:jc w:val="left"/>
              <w:rPr>
                <w:b/>
                <w:color w:val="FF0000"/>
                <w:spacing w:val="6"/>
                <w:sz w:val="24"/>
              </w:rPr>
            </w:pPr>
            <w:r>
              <w:rPr>
                <w:rFonts w:hint="eastAsia"/>
                <w:b/>
                <w:color w:val="FF0000"/>
                <w:spacing w:val="6"/>
                <w:sz w:val="24"/>
              </w:rPr>
              <w:t>4</w:t>
            </w:r>
            <w:r>
              <w:rPr>
                <w:b/>
                <w:color w:val="FF0000"/>
                <w:spacing w:val="6"/>
                <w:sz w:val="24"/>
              </w:rPr>
              <w:t>.15</w:t>
            </w:r>
            <w:r>
              <w:rPr>
                <w:rFonts w:hint="eastAsia"/>
                <w:b/>
                <w:color w:val="FF0000"/>
                <w:spacing w:val="6"/>
                <w:sz w:val="24"/>
              </w:rPr>
              <w:t>升压站选址合理性</w:t>
            </w:r>
          </w:p>
          <w:p w14:paraId="35010A0F">
            <w:pPr>
              <w:spacing w:line="360" w:lineRule="auto"/>
              <w:ind w:firstLine="480" w:firstLineChars="200"/>
              <w:jc w:val="left"/>
              <w:rPr>
                <w:color w:val="FF0000"/>
                <w:spacing w:val="-4"/>
                <w:sz w:val="24"/>
              </w:rPr>
            </w:pPr>
            <w:r>
              <w:rPr>
                <w:rFonts w:hint="eastAsia" w:hAnsi="宋体"/>
                <w:color w:val="FF0000"/>
                <w:sz w:val="24"/>
                <w:szCs w:val="20"/>
              </w:rPr>
              <w:t>拟建升压站位于风电场中部。自然地形较缓，进场道路工程量小，竖向采用“平坡”式布置，土石方填挖量及挡土墙工程量较小，周边环境较为宽松，外部制约条件较少，灵活度较好。未截断天然排洪设施，无需做特殊防洪处理，截水沟工程量较小。</w:t>
            </w:r>
          </w:p>
          <w:p w14:paraId="6F103647">
            <w:pPr>
              <w:adjustRightInd w:val="0"/>
              <w:snapToGrid w:val="0"/>
              <w:spacing w:line="360" w:lineRule="auto"/>
              <w:outlineLvl w:val="1"/>
              <w:rPr>
                <w:b/>
                <w:bCs/>
                <w:color w:val="FF0000"/>
                <w:sz w:val="24"/>
              </w:rPr>
            </w:pPr>
            <w:r>
              <w:rPr>
                <w:b/>
                <w:bCs/>
                <w:color w:val="FF0000"/>
                <w:sz w:val="24"/>
              </w:rPr>
              <w:t>4.</w:t>
            </w:r>
            <w:r>
              <w:rPr>
                <w:rFonts w:hint="eastAsia"/>
                <w:b/>
                <w:bCs/>
                <w:color w:val="FF0000"/>
                <w:sz w:val="24"/>
              </w:rPr>
              <w:t>1</w:t>
            </w:r>
            <w:r>
              <w:rPr>
                <w:b/>
                <w:bCs/>
                <w:color w:val="FF0000"/>
                <w:sz w:val="24"/>
              </w:rPr>
              <w:t>4</w:t>
            </w:r>
            <w:r>
              <w:rPr>
                <w:rFonts w:hint="eastAsia"/>
                <w:b/>
                <w:bCs/>
                <w:color w:val="FF0000"/>
                <w:sz w:val="24"/>
              </w:rPr>
              <w:t>弃渣场选址合理性</w:t>
            </w:r>
          </w:p>
          <w:p w14:paraId="696F521D">
            <w:pPr>
              <w:adjustRightInd w:val="0"/>
              <w:snapToGrid w:val="0"/>
              <w:spacing w:line="360" w:lineRule="auto"/>
              <w:ind w:firstLine="504" w:firstLineChars="200"/>
              <w:jc w:val="left"/>
              <w:rPr>
                <w:bCs/>
                <w:color w:val="FF0000"/>
                <w:spacing w:val="6"/>
                <w:sz w:val="24"/>
                <w:highlight w:val="yellow"/>
              </w:rPr>
            </w:pPr>
            <w:r>
              <w:rPr>
                <w:bCs/>
                <w:color w:val="FF0000"/>
                <w:spacing w:val="6"/>
                <w:sz w:val="24"/>
              </w:rPr>
              <w:t>根据项目</w:t>
            </w:r>
            <w:r>
              <w:rPr>
                <w:rFonts w:hint="eastAsia"/>
                <w:bCs/>
                <w:color w:val="FF0000"/>
                <w:spacing w:val="6"/>
                <w:sz w:val="24"/>
                <w:lang w:val="en-US" w:eastAsia="zh-CN"/>
              </w:rPr>
              <w:t>水土保持报告书</w:t>
            </w:r>
            <w:r>
              <w:rPr>
                <w:bCs/>
                <w:color w:val="FF0000"/>
                <w:spacing w:val="6"/>
                <w:sz w:val="24"/>
              </w:rPr>
              <w:t>，本项目弃方量为</w:t>
            </w:r>
            <w:r>
              <w:rPr>
                <w:rFonts w:hint="eastAsia"/>
                <w:bCs/>
                <w:color w:val="FF0000"/>
                <w:spacing w:val="6"/>
                <w:sz w:val="24"/>
                <w:u w:val="none"/>
                <w:lang w:val="en-US" w:eastAsia="zh-CN"/>
              </w:rPr>
              <w:t>45.29</w:t>
            </w:r>
            <w:r>
              <w:rPr>
                <w:bCs/>
                <w:color w:val="FF0000"/>
                <w:spacing w:val="6"/>
                <w:sz w:val="24"/>
              </w:rPr>
              <w:t>万m³，主要来源于风机机组、道路工程。本项目弃渣场遵循“分散弃渣、安全稳定、便于运弃”原则。根据水土保持相关规范要求，结合现场实地踏勘，本项目共布设</w:t>
            </w:r>
            <w:r>
              <w:rPr>
                <w:rFonts w:hint="eastAsia"/>
                <w:bCs/>
                <w:color w:val="FF0000"/>
                <w:spacing w:val="6"/>
                <w:sz w:val="24"/>
                <w:lang w:val="en-US" w:eastAsia="zh-CN"/>
              </w:rPr>
              <w:t>9</w:t>
            </w:r>
            <w:r>
              <w:rPr>
                <w:bCs/>
                <w:color w:val="FF0000"/>
                <w:spacing w:val="6"/>
                <w:sz w:val="24"/>
              </w:rPr>
              <w:t>处弃渣场</w:t>
            </w:r>
            <w:r>
              <w:rPr>
                <w:rFonts w:hint="eastAsia"/>
                <w:bCs/>
                <w:color w:val="FF0000"/>
                <w:spacing w:val="6"/>
                <w:sz w:val="24"/>
              </w:rPr>
              <w:t>（见表2</w:t>
            </w:r>
            <w:r>
              <w:rPr>
                <w:rFonts w:hint="eastAsia"/>
                <w:bCs/>
                <w:color w:val="FF0000"/>
                <w:spacing w:val="6"/>
                <w:sz w:val="24"/>
                <w:lang w:val="en-US" w:eastAsia="zh-CN"/>
              </w:rPr>
              <w:t>-5</w:t>
            </w:r>
            <w:r>
              <w:rPr>
                <w:rFonts w:hint="eastAsia"/>
                <w:bCs/>
                <w:color w:val="FF0000"/>
                <w:spacing w:val="6"/>
                <w:sz w:val="24"/>
              </w:rPr>
              <w:t>）</w:t>
            </w:r>
            <w:r>
              <w:rPr>
                <w:bCs/>
                <w:color w:val="FF0000"/>
                <w:spacing w:val="6"/>
                <w:sz w:val="24"/>
              </w:rPr>
              <w:t>。</w:t>
            </w:r>
          </w:p>
          <w:p w14:paraId="7CCFD660">
            <w:pPr>
              <w:adjustRightInd w:val="0"/>
              <w:snapToGrid w:val="0"/>
              <w:spacing w:line="360" w:lineRule="auto"/>
              <w:ind w:firstLine="504" w:firstLineChars="200"/>
              <w:jc w:val="left"/>
              <w:rPr>
                <w:bCs/>
                <w:color w:val="FF0000"/>
                <w:spacing w:val="6"/>
                <w:sz w:val="24"/>
              </w:rPr>
            </w:pPr>
            <w:r>
              <w:rPr>
                <w:bCs/>
                <w:color w:val="FF0000"/>
                <w:spacing w:val="6"/>
                <w:sz w:val="24"/>
              </w:rPr>
              <w:t>在主体工程土石方平衡调配的基础上，根据弃渣场选址原则，尽可能将弃渣场布置在大开挖路段附近，从而缩短弃渣的运输距离，减少运渣施工便道的修建，减少运输过程中的散落。各弃渣场均紧邻场内交通道路，便于弃渣和防护材料的运输。弃渣场附近植被类型以灌草丛为主。选址避免了对农田的占用，弃渣堆放对农业及林业生态的影响较小，通过弃渣结束后恢复林地可得以补偿。各渣场下游侧无重要的基础设施、集中居民点和工业企业等，基本为利用荒沟、凹地和支毛沟的沟道型渣场，没有大的集雨区域和防洪排水量，符合《开发建设项目水土保持技术规范》中弃渣场选址的要求。</w:t>
            </w:r>
          </w:p>
          <w:p w14:paraId="0131BE5E">
            <w:pPr>
              <w:adjustRightInd w:val="0"/>
              <w:snapToGrid w:val="0"/>
              <w:spacing w:line="360" w:lineRule="auto"/>
              <w:ind w:firstLine="504" w:firstLineChars="200"/>
              <w:jc w:val="left"/>
              <w:rPr>
                <w:bCs/>
                <w:color w:val="FF0000"/>
                <w:spacing w:val="6"/>
                <w:sz w:val="24"/>
              </w:rPr>
            </w:pPr>
            <w:r>
              <w:rPr>
                <w:bCs/>
                <w:color w:val="FF0000"/>
                <w:spacing w:val="6"/>
                <w:sz w:val="24"/>
              </w:rPr>
              <w:t>由于弃渣场堆放的土石渣受降雨和地表径流的影响，极易造成水土流失，因此，弃渣时应严格按照“先拦后弃”的堆渣原则，以防渣料顺坡向下游滚落；弃渣时应采用自下而上分层填渣的方式，严禁自上而下倾倒的方式弃渣，并应严格控制弃渣场外侧边坡的坡度及平整度，尽可能减少水土流失的发生；堆渣完毕后及时对可绿化区域采取植物措施。</w:t>
            </w:r>
          </w:p>
          <w:p w14:paraId="4935FB27">
            <w:pPr>
              <w:pStyle w:val="62"/>
              <w:ind w:firstLine="504"/>
              <w:jc w:val="left"/>
              <w:rPr>
                <w:rFonts w:hAnsi="宋体" w:cs="Times New Roman"/>
                <w:color w:val="FF0000"/>
              </w:rPr>
            </w:pPr>
            <w:r>
              <w:rPr>
                <w:rFonts w:cs="Times New Roman"/>
                <w:bCs/>
                <w:color w:val="FF0000"/>
                <w:spacing w:val="6"/>
              </w:rPr>
              <w:t>综上所述，本工程弃渣场选址合理。</w:t>
            </w:r>
          </w:p>
          <w:p w14:paraId="6DA86F40">
            <w:pPr>
              <w:adjustRightInd w:val="0"/>
              <w:snapToGrid w:val="0"/>
              <w:spacing w:line="360" w:lineRule="auto"/>
              <w:outlineLvl w:val="1"/>
              <w:rPr>
                <w:b/>
                <w:bCs/>
                <w:color w:val="FF0000"/>
                <w:sz w:val="24"/>
              </w:rPr>
            </w:pPr>
            <w:r>
              <w:rPr>
                <w:b/>
                <w:bCs/>
                <w:color w:val="FF0000"/>
                <w:sz w:val="24"/>
              </w:rPr>
              <w:t>4.</w:t>
            </w:r>
            <w:r>
              <w:rPr>
                <w:rFonts w:hint="eastAsia"/>
                <w:b/>
                <w:bCs/>
                <w:color w:val="FF0000"/>
                <w:sz w:val="24"/>
              </w:rPr>
              <w:t>1</w:t>
            </w:r>
            <w:r>
              <w:rPr>
                <w:b/>
                <w:bCs/>
                <w:color w:val="FF0000"/>
                <w:sz w:val="24"/>
              </w:rPr>
              <w:t>5</w:t>
            </w:r>
            <w:r>
              <w:rPr>
                <w:rFonts w:hint="eastAsia"/>
                <w:b/>
                <w:bCs/>
                <w:color w:val="FF0000"/>
                <w:sz w:val="24"/>
              </w:rPr>
              <w:t>道路选址合理性分析</w:t>
            </w:r>
          </w:p>
          <w:p w14:paraId="5BE2A55A">
            <w:pPr>
              <w:pStyle w:val="62"/>
              <w:ind w:firstLine="480"/>
              <w:rPr>
                <w:rFonts w:hAnsi="宋体" w:cs="Times New Roman"/>
                <w:color w:val="FF0000"/>
              </w:rPr>
            </w:pPr>
            <w:r>
              <w:rPr>
                <w:rFonts w:hint="eastAsia" w:hAnsi="宋体" w:cs="Times New Roman"/>
                <w:color w:val="FF0000"/>
              </w:rPr>
              <w:t>本项目共计</w:t>
            </w:r>
            <w:r>
              <w:rPr>
                <w:rFonts w:hint="eastAsia" w:hAnsi="宋体" w:cs="Times New Roman"/>
                <w:color w:val="FF0000"/>
                <w:lang w:val="en-US" w:eastAsia="zh-CN"/>
              </w:rPr>
              <w:t>30.75</w:t>
            </w:r>
            <w:r>
              <w:rPr>
                <w:rFonts w:hint="eastAsia" w:hAnsi="宋体" w:cs="Times New Roman"/>
                <w:color w:val="FF0000"/>
              </w:rPr>
              <w:t>km，其中新建场内道路</w:t>
            </w:r>
            <w:r>
              <w:rPr>
                <w:rFonts w:hint="eastAsia" w:hAnsi="宋体" w:cs="Times New Roman"/>
                <w:color w:val="FF0000"/>
                <w:lang w:val="en-US" w:eastAsia="zh-CN"/>
              </w:rPr>
              <w:t>27.98</w:t>
            </w:r>
            <w:r>
              <w:rPr>
                <w:rFonts w:hint="eastAsia" w:hAnsi="宋体" w:cs="Times New Roman"/>
                <w:color w:val="FF0000"/>
              </w:rPr>
              <w:t>km</w:t>
            </w:r>
            <w:r>
              <w:rPr>
                <w:rFonts w:hint="eastAsia" w:hAnsi="宋体" w:cs="Times New Roman"/>
                <w:color w:val="FF0000"/>
                <w:lang w:eastAsia="zh-CN"/>
              </w:rPr>
              <w:t>（</w:t>
            </w:r>
            <w:r>
              <w:rPr>
                <w:rFonts w:hint="eastAsia" w:hAnsi="宋体" w:cs="Times New Roman"/>
                <w:color w:val="FF0000"/>
                <w:lang w:val="en-US" w:eastAsia="zh-CN"/>
              </w:rPr>
              <w:t>路面宽7.5m，路基宽8.5m，路面结构采用180mm厚泥结碎石层</w:t>
            </w:r>
            <w:r>
              <w:rPr>
                <w:rFonts w:hint="eastAsia" w:hAnsi="宋体" w:cs="Times New Roman"/>
                <w:color w:val="FF0000"/>
                <w:lang w:eastAsia="zh-CN"/>
              </w:rPr>
              <w:t>）</w:t>
            </w:r>
            <w:r>
              <w:rPr>
                <w:rFonts w:hint="eastAsia" w:hAnsi="宋体" w:cs="Times New Roman"/>
                <w:color w:val="FF0000"/>
              </w:rPr>
              <w:t>，改造道路2.77km</w:t>
            </w:r>
            <w:r>
              <w:rPr>
                <w:rFonts w:hint="eastAsia" w:hAnsi="宋体" w:cs="Times New Roman"/>
                <w:color w:val="FF0000"/>
                <w:lang w:eastAsia="zh-CN"/>
              </w:rPr>
              <w:t>（</w:t>
            </w:r>
            <w:r>
              <w:rPr>
                <w:rFonts w:hint="eastAsia" w:hAnsi="宋体" w:cs="Times New Roman"/>
                <w:color w:val="FF0000"/>
              </w:rPr>
              <w:t>现有村道和机耕道</w:t>
            </w:r>
            <w:r>
              <w:rPr>
                <w:rFonts w:hint="eastAsia" w:hAnsi="宋体" w:cs="Times New Roman"/>
                <w:color w:val="FF0000"/>
                <w:lang w:eastAsia="zh-CN"/>
              </w:rPr>
              <w:t>，</w:t>
            </w:r>
            <w:r>
              <w:rPr>
                <w:rFonts w:hint="eastAsia" w:hAnsi="宋体" w:cs="Times New Roman"/>
                <w:color w:val="FF0000"/>
                <w:lang w:val="en-US" w:eastAsia="zh-CN"/>
              </w:rPr>
              <w:t>加宽到8.5m</w:t>
            </w:r>
            <w:r>
              <w:rPr>
                <w:rFonts w:hint="eastAsia" w:hAnsi="宋体" w:cs="Times New Roman"/>
                <w:color w:val="FF0000"/>
                <w:lang w:eastAsia="zh-CN"/>
              </w:rPr>
              <w:t>）</w:t>
            </w:r>
            <w:r>
              <w:rPr>
                <w:rFonts w:hint="eastAsia" w:hAnsi="宋体" w:cs="Times New Roman"/>
                <w:color w:val="FF0000"/>
              </w:rPr>
              <w:t>，</w:t>
            </w:r>
            <w:r>
              <w:rPr>
                <w:rFonts w:hint="eastAsia" w:hAnsi="宋体" w:cs="Times New Roman"/>
                <w:color w:val="FF0000"/>
                <w:lang w:val="en-US" w:eastAsia="zh-CN"/>
              </w:rPr>
              <w:t>升压站</w:t>
            </w:r>
            <w:r>
              <w:rPr>
                <w:rFonts w:hint="eastAsia" w:hAnsi="宋体" w:cs="Times New Roman"/>
                <w:color w:val="FF0000"/>
              </w:rPr>
              <w:t>进站道路200m</w:t>
            </w:r>
            <w:r>
              <w:rPr>
                <w:rFonts w:hint="eastAsia" w:hAnsi="宋体" w:cs="Times New Roman"/>
                <w:color w:val="FF0000"/>
                <w:lang w:eastAsia="zh-CN"/>
              </w:rPr>
              <w:t>（</w:t>
            </w:r>
            <w:r>
              <w:rPr>
                <w:rFonts w:hint="eastAsia" w:hAnsi="宋体" w:cs="Times New Roman"/>
                <w:color w:val="FF0000"/>
                <w:lang w:val="en-US" w:eastAsia="zh-CN"/>
              </w:rPr>
              <w:t>路面宽7.5m，路基宽8.5m，公路型混凝土道路，包含在新建场内道路内</w:t>
            </w:r>
            <w:r>
              <w:rPr>
                <w:rFonts w:hint="eastAsia" w:hAnsi="宋体" w:cs="Times New Roman"/>
                <w:color w:val="FF0000"/>
                <w:lang w:eastAsia="zh-CN"/>
              </w:rPr>
              <w:t>）。</w:t>
            </w:r>
            <w:r>
              <w:rPr>
                <w:rFonts w:hint="eastAsia" w:hAnsi="宋体" w:cs="Times New Roman"/>
                <w:color w:val="FF0000"/>
                <w:lang w:val="en-US" w:eastAsia="zh-CN"/>
              </w:rPr>
              <w:t>其中</w:t>
            </w:r>
            <w:r>
              <w:rPr>
                <w:rFonts w:hint="eastAsia" w:hAnsi="宋体" w:cs="Times New Roman"/>
                <w:color w:val="FF0000"/>
              </w:rPr>
              <w:t>场内</w:t>
            </w:r>
            <w:r>
              <w:rPr>
                <w:rFonts w:hAnsi="宋体" w:cs="Times New Roman"/>
                <w:color w:val="FF0000"/>
              </w:rPr>
              <w:t>道路主要为接入各</w:t>
            </w:r>
            <w:r>
              <w:rPr>
                <w:rFonts w:hint="eastAsia" w:hAnsi="宋体" w:cs="Times New Roman"/>
                <w:color w:val="FF0000"/>
              </w:rPr>
              <w:t>风</w:t>
            </w:r>
            <w:r>
              <w:rPr>
                <w:rFonts w:hAnsi="宋体" w:cs="Times New Roman"/>
                <w:color w:val="FF0000"/>
              </w:rPr>
              <w:t>机位而修建的施工检修道路，主要分布在山体上，无明显保护敏感问题，道路选线避开</w:t>
            </w:r>
            <w:r>
              <w:rPr>
                <w:rFonts w:hint="eastAsia" w:hAnsi="宋体" w:cs="Times New Roman"/>
                <w:color w:val="FF0000"/>
              </w:rPr>
              <w:t>了</w:t>
            </w:r>
            <w:r>
              <w:rPr>
                <w:rFonts w:hAnsi="宋体" w:cs="Times New Roman"/>
                <w:color w:val="FF0000"/>
              </w:rPr>
              <w:t>耕地、远离居民</w:t>
            </w:r>
            <w:r>
              <w:rPr>
                <w:rFonts w:hint="eastAsia" w:hAnsi="宋体" w:cs="Times New Roman"/>
                <w:color w:val="FF0000"/>
              </w:rPr>
              <w:t>集中点。本工程场内道路所经过的山坡段地形较陡，因此应做好道路两旁的排水设施及挡墙护坡工程，防止山体滑坡等地质灾害。道路施工过程中，在必须破坏地表植被的区域，应减少重复线路，尽量沿山脊布线，尽量不设支路，避免沿山坡布线，对较陡的地方应绕缓坡走线，避开高挖高填区域，从而减少工程占地及施工期水土流失。</w:t>
            </w:r>
          </w:p>
          <w:p w14:paraId="5726C564">
            <w:pPr>
              <w:pStyle w:val="62"/>
              <w:ind w:firstLine="480"/>
              <w:rPr>
                <w:rFonts w:hAnsi="宋体" w:cs="Times New Roman"/>
                <w:color w:val="FF0000"/>
              </w:rPr>
            </w:pPr>
            <w:r>
              <w:rPr>
                <w:rFonts w:hAnsi="宋体" w:cs="Times New Roman"/>
                <w:color w:val="FF0000"/>
              </w:rPr>
              <w:t>根据现场踏勘，项目</w:t>
            </w:r>
            <w:r>
              <w:rPr>
                <w:rFonts w:hint="eastAsia" w:hAnsi="宋体" w:cs="Times New Roman"/>
                <w:color w:val="FF0000"/>
              </w:rPr>
              <w:t>初步设计</w:t>
            </w:r>
            <w:r>
              <w:rPr>
                <w:rFonts w:hAnsi="宋体" w:cs="Times New Roman"/>
                <w:color w:val="FF0000"/>
              </w:rPr>
              <w:t>规划的进场道路、场内道路可满足工程施工运输要求</w:t>
            </w:r>
            <w:r>
              <w:rPr>
                <w:rFonts w:hint="eastAsia" w:hAnsi="宋体" w:cs="Times New Roman"/>
                <w:color w:val="FF0000"/>
              </w:rPr>
              <w:t>，</w:t>
            </w:r>
            <w:r>
              <w:rPr>
                <w:rFonts w:hAnsi="宋体" w:cs="Times New Roman"/>
                <w:color w:val="FF0000"/>
              </w:rPr>
              <w:t>施工活动</w:t>
            </w:r>
            <w:r>
              <w:rPr>
                <w:rFonts w:hint="eastAsia" w:hAnsi="宋体" w:cs="Times New Roman"/>
                <w:color w:val="FF0000"/>
              </w:rPr>
              <w:t>通过</w:t>
            </w:r>
            <w:r>
              <w:rPr>
                <w:rFonts w:hAnsi="宋体" w:cs="Times New Roman"/>
                <w:color w:val="FF0000"/>
              </w:rPr>
              <w:t>严格控制在征地红线范围内，对地表及植被的扰动和损坏</w:t>
            </w:r>
            <w:r>
              <w:rPr>
                <w:rFonts w:hint="eastAsia" w:hAnsi="宋体" w:cs="Times New Roman"/>
                <w:color w:val="FF0000"/>
              </w:rPr>
              <w:t>较小，道路施工对环境影响较小，因此施工道路选线合理。</w:t>
            </w:r>
          </w:p>
          <w:p w14:paraId="1DD6CB54">
            <w:pPr>
              <w:adjustRightInd w:val="0"/>
              <w:snapToGrid w:val="0"/>
              <w:spacing w:line="360" w:lineRule="auto"/>
              <w:outlineLvl w:val="1"/>
              <w:rPr>
                <w:b/>
                <w:bCs/>
                <w:color w:val="FF0000"/>
                <w:sz w:val="24"/>
              </w:rPr>
            </w:pPr>
            <w:r>
              <w:rPr>
                <w:b/>
                <w:bCs/>
                <w:color w:val="FF0000"/>
                <w:sz w:val="24"/>
              </w:rPr>
              <w:t>4.16</w:t>
            </w:r>
            <w:r>
              <w:rPr>
                <w:rFonts w:hint="eastAsia"/>
                <w:b/>
                <w:bCs/>
                <w:color w:val="FF0000"/>
                <w:sz w:val="24"/>
              </w:rPr>
              <w:t>集电线路路径合理性分析</w:t>
            </w:r>
          </w:p>
          <w:p w14:paraId="1C3FBE14">
            <w:pPr>
              <w:pStyle w:val="62"/>
              <w:ind w:firstLine="480"/>
              <w:rPr>
                <w:rFonts w:hAnsi="宋体" w:cs="Times New Roman"/>
                <w:color w:val="FF0000"/>
              </w:rPr>
            </w:pPr>
            <w:r>
              <w:rPr>
                <w:rFonts w:hAnsi="宋体" w:cs="Times New Roman"/>
                <w:color w:val="FF0000"/>
              </w:rPr>
              <w:t>集电线路沿场内道路埋设，采用地埋式，集电线路征地范围内无明显保护敏感问题。地埋电缆基本上沿道路埋设，沿道路开挖，能够最大限度的减少对生态的破坏；在落实水保提出的植被恢复措施的情况下，水土流失将会得到控制。</w:t>
            </w:r>
          </w:p>
          <w:p w14:paraId="5B7B5985">
            <w:pPr>
              <w:pStyle w:val="62"/>
              <w:ind w:firstLine="480"/>
              <w:rPr>
                <w:rFonts w:hint="eastAsia" w:hAnsi="宋体" w:cs="Times New Roman"/>
                <w:color w:val="FF0000"/>
              </w:rPr>
            </w:pPr>
            <w:r>
              <w:rPr>
                <w:rFonts w:hint="eastAsia" w:hAnsi="宋体" w:cs="Times New Roman"/>
                <w:color w:val="FF0000"/>
              </w:rPr>
              <w:t>本项目风电场设</w:t>
            </w:r>
            <w:r>
              <w:rPr>
                <w:rFonts w:hAnsi="宋体" w:cs="Times New Roman"/>
                <w:color w:val="FF0000"/>
              </w:rPr>
              <w:t>3</w:t>
            </w:r>
            <w:r>
              <w:rPr>
                <w:rFonts w:hint="eastAsia" w:hAnsi="宋体" w:cs="Times New Roman"/>
                <w:color w:val="FF0000"/>
              </w:rPr>
              <w:t>回集电线路，线路总长度</w:t>
            </w:r>
            <w:r>
              <w:rPr>
                <w:rFonts w:hint="eastAsia" w:hAnsi="宋体" w:cs="Times New Roman"/>
                <w:color w:val="FF0000"/>
                <w:lang w:val="en-US" w:eastAsia="zh-CN"/>
              </w:rPr>
              <w:t>31.1</w:t>
            </w:r>
            <w:r>
              <w:rPr>
                <w:rFonts w:hAnsi="宋体" w:cs="Times New Roman"/>
                <w:color w:val="FF0000"/>
              </w:rPr>
              <w:t>km</w:t>
            </w:r>
            <w:r>
              <w:rPr>
                <w:rFonts w:hint="eastAsia" w:hAnsi="宋体" w:cs="Times New Roman"/>
                <w:color w:val="FF0000"/>
              </w:rPr>
              <w:t>，全部为电缆线路。</w:t>
            </w:r>
          </w:p>
          <w:p w14:paraId="5B3EFBAE">
            <w:pPr>
              <w:adjustRightInd w:val="0"/>
              <w:snapToGrid w:val="0"/>
              <w:spacing w:line="360" w:lineRule="auto"/>
              <w:outlineLvl w:val="1"/>
              <w:rPr>
                <w:b/>
                <w:bCs/>
                <w:color w:val="FF0000"/>
                <w:sz w:val="24"/>
              </w:rPr>
            </w:pPr>
            <w:r>
              <w:rPr>
                <w:b/>
                <w:bCs/>
                <w:color w:val="FF0000"/>
                <w:sz w:val="24"/>
              </w:rPr>
              <w:t>4.17</w:t>
            </w:r>
            <w:r>
              <w:rPr>
                <w:rFonts w:hint="eastAsia"/>
                <w:b/>
                <w:bCs/>
                <w:color w:val="FF0000"/>
                <w:sz w:val="24"/>
              </w:rPr>
              <w:t>施工</w:t>
            </w:r>
            <w:r>
              <w:rPr>
                <w:rFonts w:hint="eastAsia"/>
                <w:b/>
                <w:bCs/>
                <w:color w:val="FF0000"/>
                <w:sz w:val="24"/>
                <w:lang w:val="en-US" w:eastAsia="zh-CN"/>
              </w:rPr>
              <w:t>临建区</w:t>
            </w:r>
            <w:r>
              <w:rPr>
                <w:rFonts w:hint="eastAsia"/>
                <w:b/>
                <w:bCs/>
                <w:color w:val="FF0000"/>
                <w:sz w:val="24"/>
              </w:rPr>
              <w:t>选址合理性分析</w:t>
            </w:r>
          </w:p>
          <w:p w14:paraId="04F0E3F1">
            <w:pPr>
              <w:spacing w:line="360" w:lineRule="auto"/>
              <w:ind w:firstLine="504" w:firstLineChars="200"/>
              <w:rPr>
                <w:rFonts w:hAnsi="宋体"/>
                <w:color w:val="FF0000"/>
                <w:sz w:val="24"/>
                <w:szCs w:val="20"/>
              </w:rPr>
            </w:pPr>
            <w:r>
              <w:rPr>
                <w:color w:val="FF0000"/>
                <w:spacing w:val="6"/>
                <w:sz w:val="24"/>
              </w:rPr>
              <w:t>本项目</w:t>
            </w:r>
            <w:r>
              <w:rPr>
                <w:rFonts w:hint="eastAsia"/>
                <w:color w:val="FF0000"/>
                <w:spacing w:val="6"/>
                <w:sz w:val="24"/>
                <w:lang w:val="en-US" w:eastAsia="zh-CN"/>
              </w:rPr>
              <w:t>施工临建区占地面积0.4hm</w:t>
            </w:r>
            <w:r>
              <w:rPr>
                <w:rFonts w:hint="eastAsia"/>
                <w:color w:val="FF0000"/>
                <w:spacing w:val="6"/>
                <w:sz w:val="24"/>
                <w:vertAlign w:val="superscript"/>
                <w:lang w:val="en-US" w:eastAsia="zh-CN"/>
              </w:rPr>
              <w:t>2</w:t>
            </w:r>
            <w:r>
              <w:rPr>
                <w:rFonts w:hint="eastAsia"/>
                <w:color w:val="FF0000"/>
                <w:spacing w:val="6"/>
                <w:sz w:val="24"/>
                <w:lang w:val="en-US" w:eastAsia="zh-CN"/>
              </w:rPr>
              <w:t>，包括施工生活和管理区、砂石料堆场、综合仓库等，其中施工生活和管理区位于升压站附近，占地面积1000m</w:t>
            </w:r>
            <w:r>
              <w:rPr>
                <w:rFonts w:hint="eastAsia"/>
                <w:color w:val="FF0000"/>
                <w:spacing w:val="6"/>
                <w:sz w:val="24"/>
                <w:vertAlign w:val="superscript"/>
                <w:lang w:val="en-US" w:eastAsia="zh-CN"/>
              </w:rPr>
              <w:t>2</w:t>
            </w:r>
            <w:r>
              <w:rPr>
                <w:rFonts w:hint="eastAsia"/>
                <w:color w:val="FF0000"/>
                <w:spacing w:val="6"/>
                <w:sz w:val="24"/>
                <w:lang w:val="en-US" w:eastAsia="zh-CN"/>
              </w:rPr>
              <w:t>，施工材料堆放区位于各风机安装平台，占地面积3000m</w:t>
            </w:r>
            <w:r>
              <w:rPr>
                <w:rFonts w:hint="eastAsia"/>
                <w:color w:val="FF0000"/>
                <w:spacing w:val="6"/>
                <w:sz w:val="24"/>
                <w:vertAlign w:val="superscript"/>
                <w:lang w:val="en-US" w:eastAsia="zh-CN"/>
              </w:rPr>
              <w:t>2</w:t>
            </w:r>
            <w:r>
              <w:rPr>
                <w:bCs/>
                <w:color w:val="FF0000"/>
                <w:spacing w:val="6"/>
                <w:sz w:val="24"/>
              </w:rPr>
              <w:t>。场地地质灾害危险性小；</w:t>
            </w:r>
            <w:r>
              <w:rPr>
                <w:color w:val="FF0000"/>
                <w:kern w:val="0"/>
                <w:sz w:val="24"/>
              </w:rPr>
              <w:t>施工生活</w:t>
            </w:r>
            <w:r>
              <w:rPr>
                <w:rFonts w:hint="eastAsia"/>
                <w:color w:val="FF0000"/>
                <w:kern w:val="0"/>
                <w:sz w:val="24"/>
                <w:lang w:val="en-US" w:eastAsia="zh-CN"/>
              </w:rPr>
              <w:t>和管理区</w:t>
            </w:r>
            <w:r>
              <w:rPr>
                <w:color w:val="FF0000"/>
                <w:kern w:val="0"/>
                <w:sz w:val="24"/>
              </w:rPr>
              <w:t>区所处位置地势平坦，占地为临时占地，占地类型主要是灌</w:t>
            </w:r>
            <w:r>
              <w:rPr>
                <w:rFonts w:hint="eastAsia"/>
                <w:color w:val="FF0000"/>
                <w:kern w:val="0"/>
                <w:sz w:val="24"/>
                <w:lang w:val="en-US" w:eastAsia="zh-CN"/>
              </w:rPr>
              <w:t>草地</w:t>
            </w:r>
            <w:r>
              <w:rPr>
                <w:color w:val="FF0000"/>
                <w:kern w:val="0"/>
                <w:sz w:val="24"/>
              </w:rPr>
              <w:t>。施工生产区周边设置排水沟、挡墙及护坡工程，可有效减少水土流失。因此，</w:t>
            </w:r>
            <w:r>
              <w:rPr>
                <w:bCs/>
                <w:color w:val="FF0000"/>
                <w:kern w:val="0"/>
                <w:sz w:val="24"/>
              </w:rPr>
              <w:t>施工</w:t>
            </w:r>
            <w:r>
              <w:rPr>
                <w:rFonts w:hint="eastAsia"/>
                <w:bCs/>
                <w:color w:val="FF0000"/>
                <w:kern w:val="0"/>
                <w:sz w:val="24"/>
              </w:rPr>
              <w:t>生产区</w:t>
            </w:r>
            <w:r>
              <w:rPr>
                <w:bCs/>
                <w:color w:val="FF0000"/>
                <w:kern w:val="0"/>
                <w:sz w:val="24"/>
              </w:rPr>
              <w:t>选址合理</w:t>
            </w:r>
            <w:r>
              <w:rPr>
                <w:rFonts w:hAnsi="宋体"/>
                <w:color w:val="FF0000"/>
                <w:sz w:val="24"/>
                <w:szCs w:val="20"/>
              </w:rPr>
              <w:t>。</w:t>
            </w:r>
          </w:p>
          <w:p w14:paraId="23AA9C94">
            <w:pPr>
              <w:bidi w:val="0"/>
            </w:pPr>
          </w:p>
          <w:p w14:paraId="7BE736E8">
            <w:pPr>
              <w:bidi w:val="0"/>
            </w:pPr>
          </w:p>
          <w:p w14:paraId="28F6332D">
            <w:pPr>
              <w:bidi w:val="0"/>
            </w:pPr>
          </w:p>
          <w:p w14:paraId="635AF9BB">
            <w:pPr>
              <w:bidi w:val="0"/>
            </w:pPr>
          </w:p>
          <w:p w14:paraId="4EEB8EE5">
            <w:pPr>
              <w:bidi w:val="0"/>
            </w:pPr>
          </w:p>
          <w:p w14:paraId="576A2EB6">
            <w:pPr>
              <w:bidi w:val="0"/>
            </w:pPr>
          </w:p>
          <w:p w14:paraId="7DC86AC8">
            <w:pPr>
              <w:bidi w:val="0"/>
            </w:pPr>
          </w:p>
          <w:p w14:paraId="69D3DD9C">
            <w:pPr>
              <w:bidi w:val="0"/>
            </w:pPr>
          </w:p>
        </w:tc>
      </w:tr>
    </w:tbl>
    <w:p w14:paraId="504F8BC7">
      <w:pPr>
        <w:pStyle w:val="3"/>
        <w:numPr>
          <w:ilvl w:val="0"/>
          <w:numId w:val="0"/>
        </w:numPr>
      </w:pPr>
      <w:r>
        <w:rPr>
          <w:rFonts w:hint="eastAsia"/>
          <w:sz w:val="24"/>
          <w:szCs w:val="32"/>
        </w:rPr>
        <w:br w:type="page"/>
      </w:r>
      <w:bookmarkStart w:id="303" w:name="_Toc4794"/>
      <w:bookmarkStart w:id="304" w:name="_Toc27032"/>
      <w:r>
        <w:rPr>
          <w:rFonts w:hint="eastAsia"/>
        </w:rPr>
        <w:t>五、</w:t>
      </w:r>
      <w:bookmarkEnd w:id="303"/>
      <w:r>
        <w:rPr>
          <w:rFonts w:hint="eastAsia"/>
        </w:rPr>
        <w:t>主要生态环境保护措施</w:t>
      </w:r>
      <w:bookmarkEnd w:id="304"/>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8706"/>
      </w:tblGrid>
      <w:tr w14:paraId="7EB3E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dxa"/>
            <w:vAlign w:val="center"/>
          </w:tcPr>
          <w:p w14:paraId="0A427104">
            <w:pPr>
              <w:jc w:val="center"/>
              <w:rPr>
                <w:b/>
                <w:bCs/>
                <w:sz w:val="24"/>
              </w:rPr>
            </w:pPr>
            <w:r>
              <w:rPr>
                <w:rFonts w:hint="eastAsia"/>
                <w:b/>
                <w:bCs/>
                <w:sz w:val="24"/>
              </w:rPr>
              <w:t>施工期生态环境保护措施</w:t>
            </w:r>
          </w:p>
        </w:tc>
        <w:tc>
          <w:tcPr>
            <w:tcW w:w="8346" w:type="dxa"/>
            <w:vAlign w:val="center"/>
          </w:tcPr>
          <w:p w14:paraId="07B8E542">
            <w:pPr>
              <w:adjustRightInd w:val="0"/>
              <w:snapToGrid w:val="0"/>
              <w:spacing w:line="360" w:lineRule="auto"/>
              <w:jc w:val="left"/>
              <w:rPr>
                <w:b/>
                <w:bCs/>
                <w:sz w:val="24"/>
              </w:rPr>
            </w:pPr>
            <w:r>
              <w:rPr>
                <w:rFonts w:hint="eastAsia"/>
                <w:b/>
                <w:bCs/>
                <w:sz w:val="24"/>
              </w:rPr>
              <w:t>5.1生态保护措施</w:t>
            </w:r>
          </w:p>
          <w:p w14:paraId="74AB4F3F">
            <w:pPr>
              <w:adjustRightInd w:val="0"/>
              <w:snapToGrid w:val="0"/>
              <w:spacing w:line="360" w:lineRule="auto"/>
              <w:jc w:val="left"/>
              <w:rPr>
                <w:b/>
                <w:bCs/>
                <w:sz w:val="24"/>
              </w:rPr>
            </w:pPr>
            <w:r>
              <w:rPr>
                <w:rFonts w:hint="eastAsia"/>
                <w:b/>
                <w:bCs/>
                <w:sz w:val="24"/>
              </w:rPr>
              <w:t>5.1.1工程占地生态保护措施</w:t>
            </w:r>
          </w:p>
          <w:p w14:paraId="2E5938D4">
            <w:pPr>
              <w:pStyle w:val="62"/>
              <w:ind w:firstLine="480"/>
              <w:jc w:val="left"/>
              <w:rPr>
                <w:rFonts w:hAnsi="宋体" w:cs="Times New Roman"/>
              </w:rPr>
            </w:pPr>
            <w:r>
              <w:rPr>
                <w:rFonts w:hAnsi="宋体" w:cs="Times New Roman"/>
              </w:rPr>
              <w:t>（1）永久占地生态影响减缓措施</w:t>
            </w:r>
          </w:p>
          <w:p w14:paraId="1C4E268E">
            <w:pPr>
              <w:pStyle w:val="62"/>
              <w:ind w:firstLine="480"/>
              <w:jc w:val="left"/>
              <w:rPr>
                <w:rFonts w:hAnsi="宋体" w:cs="Times New Roman"/>
              </w:rPr>
            </w:pPr>
            <w:r>
              <w:rPr>
                <w:rFonts w:hint="eastAsia" w:hAnsi="宋体" w:cs="Times New Roman"/>
              </w:rPr>
              <w:t>项目</w:t>
            </w:r>
            <w:r>
              <w:rPr>
                <w:rFonts w:hAnsi="宋体" w:cs="Times New Roman"/>
              </w:rPr>
              <w:t>风机基础、箱变基础、升压站等永久占地严格根据施工规范施工，避免因增加施工占地进一步造成对周边地表植被破坏；尽量利用植被条件较差的区域，在借土填筑路基时，做好填挖平衡，开挖产生的弃土主要就近回填道路；同时严格按照设计要求控制各种施工场地用地面积，防止滥用土地，以减少对植被的破坏。</w:t>
            </w:r>
          </w:p>
          <w:p w14:paraId="3171D6A7">
            <w:pPr>
              <w:pStyle w:val="62"/>
              <w:ind w:firstLine="480"/>
              <w:jc w:val="left"/>
              <w:rPr>
                <w:rFonts w:hAnsi="宋体" w:cs="Times New Roman"/>
              </w:rPr>
            </w:pPr>
            <w:r>
              <w:rPr>
                <w:rFonts w:hAnsi="宋体" w:cs="Times New Roman"/>
              </w:rPr>
              <w:t>（2）临时占地生态保护措施</w:t>
            </w:r>
          </w:p>
          <w:p w14:paraId="1711C1E2">
            <w:pPr>
              <w:pStyle w:val="62"/>
              <w:ind w:firstLine="480"/>
              <w:jc w:val="left"/>
              <w:rPr>
                <w:rFonts w:hAnsi="宋体" w:cs="Times New Roman"/>
              </w:rPr>
            </w:pPr>
            <w:r>
              <w:rPr>
                <w:rFonts w:hAnsi="宋体" w:cs="Times New Roman"/>
              </w:rPr>
              <w:t>①项目风机安装场地、施工道路等临时占地施工时也应严格按照施工规范进行，不得扩大临时占地施工区域，避免进一步扩大对周边区域地表植被的破坏。就近利用洼地、道路内弯堆积废方并做好挡墙等水土保持设施，如就近没有挖方可以利用，也可选择植被比较稀疏、运输又较为方便的山坡、低丘等地，采取集中取土的措施，把修路造地和平整土地较好地结合起来。</w:t>
            </w:r>
          </w:p>
          <w:p w14:paraId="0AD8281D">
            <w:pPr>
              <w:pStyle w:val="62"/>
              <w:ind w:firstLine="480"/>
              <w:jc w:val="left"/>
              <w:rPr>
                <w:rFonts w:hAnsi="宋体" w:cs="Times New Roman"/>
                <w:color w:val="FF0000"/>
              </w:rPr>
            </w:pPr>
            <w:r>
              <w:rPr>
                <w:rFonts w:hAnsi="宋体" w:cs="Times New Roman"/>
                <w:color w:val="FF0000"/>
              </w:rPr>
              <w:t>②</w:t>
            </w:r>
            <w:r>
              <w:rPr>
                <w:rFonts w:hint="default" w:hAnsi="宋体" w:cs="Times New Roman"/>
                <w:color w:val="FF0000"/>
                <w:lang w:val="en-US" w:eastAsia="zh-CN"/>
              </w:rPr>
              <w:t>施工临建区利用升压站及风机安装场地，不新增占地</w:t>
            </w:r>
            <w:r>
              <w:rPr>
                <w:rFonts w:hAnsi="宋体" w:cs="Times New Roman"/>
                <w:color w:val="FF0000"/>
              </w:rPr>
              <w:t>。</w:t>
            </w:r>
          </w:p>
          <w:p w14:paraId="7CF4CE37">
            <w:pPr>
              <w:pStyle w:val="62"/>
              <w:ind w:firstLine="480"/>
              <w:jc w:val="left"/>
              <w:rPr>
                <w:rFonts w:hAnsi="宋体" w:cs="Times New Roman"/>
              </w:rPr>
            </w:pPr>
            <w:r>
              <w:rPr>
                <w:rFonts w:hAnsi="宋体" w:cs="Times New Roman"/>
              </w:rPr>
              <w:t>③施工道路生态保护措施</w:t>
            </w:r>
          </w:p>
          <w:p w14:paraId="7BF34E62">
            <w:pPr>
              <w:pStyle w:val="62"/>
              <w:ind w:firstLine="480"/>
              <w:jc w:val="left"/>
              <w:rPr>
                <w:rFonts w:hAnsi="宋体" w:cs="Times New Roman"/>
              </w:rPr>
            </w:pPr>
            <w:r>
              <w:rPr>
                <w:rFonts w:hAnsi="宋体" w:cs="Times New Roman"/>
              </w:rPr>
              <w:t>a合理规划设计施工道路，采取半挖变填方式减少占地和弃土</w:t>
            </w:r>
            <w:r>
              <w:rPr>
                <w:rFonts w:hint="eastAsia" w:hAnsi="宋体" w:cs="Times New Roman"/>
              </w:rPr>
              <w:t>量</w:t>
            </w:r>
            <w:r>
              <w:rPr>
                <w:rFonts w:hAnsi="宋体" w:cs="Times New Roman"/>
              </w:rPr>
              <w:t>，减少新增临时占地；线路穿越林地时，尽量选择在森林的边缘穿过，以避免形成新的隔离带，山体易滑坡的地方，施工后及时种植一些根系发达的物种或者建好防护坡，以防止因为施工道路的修建造成新的水土流失。</w:t>
            </w:r>
          </w:p>
          <w:p w14:paraId="18E8D384">
            <w:pPr>
              <w:pStyle w:val="62"/>
              <w:ind w:firstLine="480"/>
              <w:jc w:val="left"/>
              <w:rPr>
                <w:rFonts w:hAnsi="宋体" w:cs="Times New Roman"/>
              </w:rPr>
            </w:pPr>
            <w:r>
              <w:rPr>
                <w:rFonts w:hAnsi="宋体" w:cs="Times New Roman"/>
              </w:rPr>
              <w:t>b新建施工道路应在保证满足施工运输的前提下，进一步缩减施工道路宽度，减少临时占地；施工道路设置为泥结碎石路面，以便于施工结束后施工道路临时占地的清理整治和植被恢复。</w:t>
            </w:r>
          </w:p>
          <w:p w14:paraId="30EA03C1">
            <w:pPr>
              <w:pStyle w:val="62"/>
              <w:ind w:firstLine="480"/>
              <w:jc w:val="left"/>
              <w:rPr>
                <w:rFonts w:hAnsi="宋体" w:cs="Times New Roman"/>
              </w:rPr>
            </w:pPr>
            <w:r>
              <w:rPr>
                <w:rFonts w:hAnsi="宋体" w:cs="Times New Roman"/>
              </w:rPr>
              <w:t>④弃渣场生态保护措施</w:t>
            </w:r>
          </w:p>
          <w:p w14:paraId="4A084928">
            <w:pPr>
              <w:pStyle w:val="62"/>
              <w:ind w:firstLine="480"/>
              <w:jc w:val="left"/>
              <w:rPr>
                <w:rFonts w:hAnsi="宋体" w:cs="Times New Roman"/>
              </w:rPr>
            </w:pPr>
            <w:r>
              <w:rPr>
                <w:rFonts w:hAnsi="宋体" w:cs="Times New Roman"/>
              </w:rPr>
              <w:t>应预先对弃渣场表土进行剥离，并集中在场内不影响施工的角落堆放，表面采用地表剥离的植被进行覆盖，坡脚采用装土编织袋或石块进行拦挡防护。弃渣场设置必要的防护设施和排水设施，防止水土流失，做到先挡后弃。</w:t>
            </w:r>
          </w:p>
          <w:p w14:paraId="2F43A259">
            <w:pPr>
              <w:pStyle w:val="62"/>
              <w:ind w:firstLine="480"/>
              <w:jc w:val="left"/>
              <w:rPr>
                <w:rFonts w:hAnsi="宋体" w:cs="Times New Roman"/>
              </w:rPr>
            </w:pPr>
            <w:r>
              <w:rPr>
                <w:rFonts w:hint="eastAsia" w:hAnsi="宋体" w:cs="Times New Roman"/>
              </w:rPr>
              <w:t>以上临时占地区域在施工结束后均应做好植被恢复工作，在占用过程中造成相邻区域地表植被破坏的应立即进行植被恢复，对挖土造成水土流失风险的应立即进行防护防止水土流失。</w:t>
            </w:r>
          </w:p>
          <w:p w14:paraId="03B23431">
            <w:pPr>
              <w:pStyle w:val="62"/>
              <w:ind w:firstLine="480"/>
              <w:jc w:val="left"/>
              <w:rPr>
                <w:rFonts w:hAnsi="宋体" w:cs="Times New Roman"/>
                <w:u w:val="none"/>
              </w:rPr>
            </w:pPr>
            <w:r>
              <w:rPr>
                <w:rFonts w:hAnsi="宋体" w:cs="Times New Roman"/>
                <w:u w:val="none"/>
              </w:rPr>
              <w:t>（3）表土生态保护措施</w:t>
            </w:r>
          </w:p>
          <w:p w14:paraId="5196CA7D">
            <w:pPr>
              <w:pStyle w:val="62"/>
              <w:ind w:firstLine="480"/>
              <w:jc w:val="left"/>
              <w:rPr>
                <w:rFonts w:hAnsi="宋体" w:cs="Times New Roman"/>
                <w:u w:val="none"/>
              </w:rPr>
            </w:pPr>
            <w:r>
              <w:rPr>
                <w:rFonts w:hAnsi="宋体" w:cs="Times New Roman"/>
                <w:u w:val="none"/>
              </w:rPr>
              <w:t>为保护有限的表土资源，施工前对风机安装场地、施工道路等临时占地表层土进行剥离，用于后期植被恢复覆土，根据项目区实际情况，</w:t>
            </w:r>
            <w:r>
              <w:rPr>
                <w:rFonts w:hint="eastAsia"/>
                <w:u w:val="none"/>
              </w:rPr>
              <w:t>表土最薄约</w:t>
            </w:r>
            <w:r>
              <w:rPr>
                <w:spacing w:val="-91"/>
                <w:u w:val="none"/>
              </w:rPr>
              <w:t xml:space="preserve"> </w:t>
            </w:r>
            <w:r>
              <w:rPr>
                <w:rFonts w:cs="Times New Roman"/>
                <w:u w:val="none"/>
              </w:rPr>
              <w:t>0.1m</w:t>
            </w:r>
            <w:r>
              <w:rPr>
                <w:rFonts w:hint="eastAsia"/>
                <w:u w:val="none"/>
              </w:rPr>
              <w:t>（山</w:t>
            </w:r>
            <w:r>
              <w:rPr>
                <w:u w:val="none"/>
              </w:rPr>
              <w:t xml:space="preserve"> </w:t>
            </w:r>
            <w:r>
              <w:rPr>
                <w:rFonts w:hint="eastAsia"/>
                <w:u w:val="none"/>
              </w:rPr>
              <w:t>顶、山脊），最厚约</w:t>
            </w:r>
            <w:r>
              <w:rPr>
                <w:rFonts w:cs="Times New Roman"/>
                <w:u w:val="none"/>
              </w:rPr>
              <w:t>0.2m</w:t>
            </w:r>
            <w:r>
              <w:rPr>
                <w:rFonts w:hint="eastAsia"/>
                <w:u w:val="none"/>
              </w:rPr>
              <w:t>（平缓区域）</w:t>
            </w:r>
            <w:r>
              <w:rPr>
                <w:rFonts w:hAnsi="宋体" w:cs="Times New Roman"/>
                <w:u w:val="none"/>
              </w:rPr>
              <w:t>，剥离的表层土集中堆置区内地势较平缓的空地。各项工程施工前或开挖前，先剥离表层土，应设置表土临时堆场，临时堆土堆高小于3m，堆放边坡不超过1:1。</w:t>
            </w:r>
          </w:p>
          <w:p w14:paraId="6B8D315A">
            <w:pPr>
              <w:adjustRightInd w:val="0"/>
              <w:snapToGrid w:val="0"/>
              <w:spacing w:line="360" w:lineRule="auto"/>
              <w:jc w:val="left"/>
              <w:rPr>
                <w:b/>
                <w:bCs/>
                <w:sz w:val="24"/>
              </w:rPr>
            </w:pPr>
            <w:r>
              <w:rPr>
                <w:rFonts w:hint="eastAsia"/>
                <w:b/>
                <w:bCs/>
                <w:sz w:val="24"/>
              </w:rPr>
              <w:t>5.1.2陆生植物生态影响的避让与减缓措施</w:t>
            </w:r>
          </w:p>
          <w:p w14:paraId="1D6A0130">
            <w:pPr>
              <w:pStyle w:val="62"/>
              <w:ind w:firstLine="480"/>
              <w:jc w:val="left"/>
              <w:rPr>
                <w:rFonts w:cs="Times New Roman"/>
              </w:rPr>
            </w:pPr>
            <w:bookmarkStart w:id="305" w:name="_Toc448490654"/>
            <w:r>
              <w:rPr>
                <w:rFonts w:hint="eastAsia" w:cs="Times New Roman"/>
              </w:rPr>
              <w:t>（1）</w:t>
            </w:r>
            <w:r>
              <w:rPr>
                <w:rFonts w:cs="Times New Roman"/>
              </w:rPr>
              <w:t>优化风电机</w:t>
            </w:r>
            <w:r>
              <w:rPr>
                <w:rFonts w:hint="eastAsia" w:cs="Times New Roman"/>
              </w:rPr>
              <w:t>位</w:t>
            </w:r>
            <w:r>
              <w:rPr>
                <w:rFonts w:cs="Times New Roman"/>
              </w:rPr>
              <w:t>布置，风机基础平台应尽量利用山头的自然地势和环境，杜绝对山头进行大面积平整，避开植被发育、地形险要区域，尽量选择在山势较为平缓的山脊建设。</w:t>
            </w:r>
          </w:p>
          <w:p w14:paraId="31FFF5D4">
            <w:pPr>
              <w:pStyle w:val="62"/>
              <w:ind w:firstLine="480"/>
              <w:jc w:val="left"/>
              <w:rPr>
                <w:rFonts w:hint="default" w:cs="Times New Roman"/>
                <w:color w:val="FF0000"/>
                <w:lang w:val="en-US"/>
              </w:rPr>
            </w:pPr>
            <w:r>
              <w:rPr>
                <w:rFonts w:hint="eastAsia" w:cs="Times New Roman"/>
                <w:color w:val="FF0000"/>
              </w:rPr>
              <w:t>（2）</w:t>
            </w:r>
            <w:r>
              <w:rPr>
                <w:rFonts w:hint="default" w:hAnsi="宋体" w:cs="Times New Roman"/>
                <w:color w:val="FF0000"/>
                <w:lang w:val="en-US" w:eastAsia="zh-CN"/>
              </w:rPr>
              <w:t>施工临建区利用升压站及风机安装场地，</w:t>
            </w:r>
            <w:r>
              <w:rPr>
                <w:rFonts w:hint="eastAsia" w:hAnsi="宋体" w:cs="Times New Roman"/>
                <w:color w:val="FF0000"/>
                <w:lang w:val="en-US" w:eastAsia="zh-CN"/>
              </w:rPr>
              <w:t>尽量</w:t>
            </w:r>
            <w:r>
              <w:rPr>
                <w:rFonts w:hint="default" w:hAnsi="宋体" w:cs="Times New Roman"/>
                <w:color w:val="FF0000"/>
                <w:lang w:val="en-US" w:eastAsia="zh-CN"/>
              </w:rPr>
              <w:t>不新增占地</w:t>
            </w:r>
            <w:r>
              <w:rPr>
                <w:rFonts w:hint="eastAsia" w:hAnsi="宋体" w:cs="Times New Roman"/>
                <w:color w:val="FF0000"/>
                <w:lang w:val="en-US" w:eastAsia="zh-CN"/>
              </w:rPr>
              <w:t>，减小对植被的影响。</w:t>
            </w:r>
          </w:p>
          <w:p w14:paraId="4B39A0A5">
            <w:pPr>
              <w:pStyle w:val="62"/>
              <w:ind w:firstLine="480"/>
              <w:jc w:val="left"/>
              <w:rPr>
                <w:rFonts w:cs="Times New Roman"/>
              </w:rPr>
            </w:pPr>
            <w:r>
              <w:rPr>
                <w:rFonts w:hint="eastAsia" w:cs="Times New Roman"/>
              </w:rPr>
              <w:t>（3）保存原始地表表层土</w:t>
            </w:r>
            <w:r>
              <w:rPr>
                <w:rFonts w:cs="Times New Roman"/>
              </w:rPr>
              <w:t>，用于今后的</w:t>
            </w:r>
            <w:r>
              <w:rPr>
                <w:rFonts w:hint="eastAsia" w:cs="Times New Roman"/>
              </w:rPr>
              <w:t>地表回填，</w:t>
            </w:r>
            <w:r>
              <w:rPr>
                <w:rFonts w:cs="Times New Roman"/>
              </w:rPr>
              <w:t>以恢复土壤</w:t>
            </w:r>
            <w:r>
              <w:rPr>
                <w:rFonts w:hint="eastAsia" w:cs="Times New Roman"/>
              </w:rPr>
              <w:t>原有</w:t>
            </w:r>
            <w:r>
              <w:rPr>
                <w:rFonts w:cs="Times New Roman"/>
              </w:rPr>
              <w:t>理化性质。临时表土堆存场应采取设土袋挡护、拍实、表层覆盖草垫或苫盖纤维布等覆盖物，进行临时防护。</w:t>
            </w:r>
          </w:p>
          <w:p w14:paraId="396C643F">
            <w:pPr>
              <w:pStyle w:val="62"/>
              <w:ind w:firstLine="480"/>
              <w:jc w:val="left"/>
              <w:rPr>
                <w:rFonts w:cs="Times New Roman"/>
              </w:rPr>
            </w:pPr>
            <w:r>
              <w:rPr>
                <w:rFonts w:hint="eastAsia" w:cs="Times New Roman"/>
              </w:rPr>
              <w:t>（4）</w:t>
            </w:r>
            <w:r>
              <w:rPr>
                <w:rFonts w:cs="Times New Roman"/>
              </w:rPr>
              <w:t>对于</w:t>
            </w:r>
            <w:r>
              <w:rPr>
                <w:rFonts w:hint="eastAsia" w:cs="Times New Roman"/>
              </w:rPr>
              <w:t>必</w:t>
            </w:r>
            <w:r>
              <w:rPr>
                <w:rFonts w:cs="Times New Roman"/>
              </w:rPr>
              <w:t>需要在坡度大于15°的地区放置风机的区域，施工时应及时在坡脚处设置草袋挡土墙挡护或坡面种植草本植物等防护措施加以防护，以减少水土流失现象发生。严控高挖深填，余方沿线倾倒，减轻弃渣等对植物及其生长环境的影响。</w:t>
            </w:r>
          </w:p>
          <w:p w14:paraId="5EB7EAB3">
            <w:pPr>
              <w:pStyle w:val="62"/>
              <w:ind w:firstLine="480"/>
              <w:jc w:val="left"/>
              <w:rPr>
                <w:rFonts w:cs="Times New Roman"/>
              </w:rPr>
            </w:pPr>
            <w:r>
              <w:rPr>
                <w:rFonts w:hint="eastAsia" w:cs="Times New Roman"/>
              </w:rPr>
              <w:t>（5）</w:t>
            </w:r>
            <w:r>
              <w:rPr>
                <w:rFonts w:cs="Times New Roman"/>
              </w:rPr>
              <w:t>施工结束后，应及时对临时占地进行植被恢复。工程临时占地区植被恢复尽量选用乔-灌-草相结合的方式进行绿化，绿化树种选择应在“适地适树”的原则下，尽量以当地的优良乡土树种为主，适当引进新的优良树种、草种，保证绿化栽植的成活率。</w:t>
            </w:r>
          </w:p>
          <w:p w14:paraId="0EB54FE0">
            <w:pPr>
              <w:pStyle w:val="62"/>
              <w:ind w:firstLine="480"/>
              <w:jc w:val="left"/>
              <w:rPr>
                <w:rFonts w:cs="Times New Roman"/>
              </w:rPr>
            </w:pPr>
            <w:r>
              <w:rPr>
                <w:rFonts w:hint="eastAsia" w:cs="Times New Roman"/>
              </w:rPr>
              <w:t>（6）</w:t>
            </w:r>
            <w:r>
              <w:rPr>
                <w:rFonts w:cs="Times New Roman"/>
              </w:rPr>
              <w:t>运输粉末</w:t>
            </w:r>
            <w:r>
              <w:rPr>
                <w:rFonts w:hint="eastAsia" w:cs="Times New Roman"/>
              </w:rPr>
              <w:t>状</w:t>
            </w:r>
            <w:r>
              <w:rPr>
                <w:rFonts w:cs="Times New Roman"/>
              </w:rPr>
              <w:t>散料的车辆应用防尘篷布遮盖严实，避免其散落对周围植物产生的不利影响。</w:t>
            </w:r>
          </w:p>
          <w:p w14:paraId="1569840F">
            <w:pPr>
              <w:pStyle w:val="62"/>
              <w:ind w:firstLine="480"/>
              <w:jc w:val="left"/>
              <w:rPr>
                <w:rFonts w:cs="Times New Roman"/>
              </w:rPr>
            </w:pPr>
            <w:r>
              <w:rPr>
                <w:rFonts w:hint="eastAsia" w:cs="Times New Roman"/>
              </w:rPr>
              <w:t>（7）</w:t>
            </w:r>
            <w:r>
              <w:rPr>
                <w:rFonts w:cs="Times New Roman"/>
              </w:rPr>
              <w:t>严格划定并圈禁施工范围，严禁对施工场地以外的林木滥砍滥伐、剪枝去顶等。</w:t>
            </w:r>
          </w:p>
          <w:p w14:paraId="5104ADF8">
            <w:pPr>
              <w:pStyle w:val="62"/>
              <w:ind w:firstLine="480"/>
              <w:jc w:val="left"/>
              <w:rPr>
                <w:rFonts w:cs="Times New Roman"/>
              </w:rPr>
            </w:pPr>
            <w:r>
              <w:rPr>
                <w:rFonts w:hint="eastAsia" w:cs="Times New Roman"/>
              </w:rPr>
              <w:t>（8）</w:t>
            </w:r>
            <w:r>
              <w:rPr>
                <w:rFonts w:cs="Times New Roman"/>
              </w:rPr>
              <w:t>严格按照水土保持方案规划的弃渣和表土堆放地点，禁止在弃渣在规划弃渣点以外位置随意堆放。</w:t>
            </w:r>
          </w:p>
          <w:p w14:paraId="744E4A91">
            <w:pPr>
              <w:pStyle w:val="62"/>
              <w:ind w:firstLine="480"/>
              <w:jc w:val="left"/>
              <w:rPr>
                <w:rFonts w:cs="Times New Roman"/>
              </w:rPr>
            </w:pPr>
            <w:r>
              <w:rPr>
                <w:rFonts w:hint="eastAsia" w:cs="Times New Roman"/>
              </w:rPr>
              <w:t>（9）</w:t>
            </w:r>
            <w:r>
              <w:rPr>
                <w:rFonts w:cs="Times New Roman"/>
              </w:rPr>
              <w:t>采用先进的长件运输车辆，减少弯道开挖量。</w:t>
            </w:r>
          </w:p>
          <w:p w14:paraId="6E724F29">
            <w:pPr>
              <w:pStyle w:val="62"/>
              <w:ind w:firstLine="480"/>
              <w:jc w:val="left"/>
              <w:rPr>
                <w:rFonts w:cs="Times New Roman"/>
              </w:rPr>
            </w:pPr>
            <w:r>
              <w:rPr>
                <w:rFonts w:hint="eastAsia" w:cs="Times New Roman"/>
              </w:rPr>
              <w:t>（1</w:t>
            </w:r>
            <w:r>
              <w:rPr>
                <w:rFonts w:cs="Times New Roman"/>
              </w:rPr>
              <w:t>0</w:t>
            </w:r>
            <w:r>
              <w:rPr>
                <w:rFonts w:hint="eastAsia" w:cs="Times New Roman"/>
              </w:rPr>
              <w:t>）</w:t>
            </w:r>
            <w:r>
              <w:rPr>
                <w:rFonts w:cs="Times New Roman"/>
              </w:rPr>
              <w:t>施工期应避免在雨季施工，</w:t>
            </w:r>
            <w:r>
              <w:rPr>
                <w:rFonts w:hint="eastAsia" w:cs="Times New Roman"/>
              </w:rPr>
              <w:t>以避免产生严重的水土流失现象</w:t>
            </w:r>
            <w:r>
              <w:rPr>
                <w:rFonts w:cs="Times New Roman"/>
              </w:rPr>
              <w:t>。</w:t>
            </w:r>
          </w:p>
          <w:p w14:paraId="629B7D59">
            <w:pPr>
              <w:pStyle w:val="62"/>
              <w:ind w:firstLine="480"/>
              <w:jc w:val="left"/>
              <w:rPr>
                <w:rFonts w:cs="Times New Roman"/>
              </w:rPr>
            </w:pPr>
            <w:r>
              <w:rPr>
                <w:rFonts w:hint="eastAsia" w:cs="Times New Roman"/>
              </w:rPr>
              <w:t>（1</w:t>
            </w:r>
            <w:r>
              <w:rPr>
                <w:rFonts w:cs="Times New Roman"/>
              </w:rPr>
              <w:t>1</w:t>
            </w:r>
            <w:r>
              <w:rPr>
                <w:rFonts w:hint="eastAsia" w:cs="Times New Roman"/>
              </w:rPr>
              <w:t>）</w:t>
            </w:r>
            <w:r>
              <w:rPr>
                <w:rFonts w:cs="Times New Roman"/>
              </w:rPr>
              <w:t>对扰动、覆盖区植物进行前期勘察，若发现珍稀植物、较大树移栽保护，尤其是占地区内阔叶树种，发现后采取移栽作为后期绿化树种，节约绿化成本及保护当地生态。</w:t>
            </w:r>
          </w:p>
          <w:bookmarkEnd w:id="305"/>
          <w:p w14:paraId="0B2F3A4D">
            <w:pPr>
              <w:adjustRightInd w:val="0"/>
              <w:snapToGrid w:val="0"/>
              <w:spacing w:line="360" w:lineRule="auto"/>
              <w:jc w:val="left"/>
              <w:rPr>
                <w:b/>
                <w:bCs/>
                <w:sz w:val="24"/>
              </w:rPr>
            </w:pPr>
            <w:r>
              <w:rPr>
                <w:rFonts w:hint="eastAsia"/>
                <w:b/>
                <w:bCs/>
                <w:sz w:val="24"/>
              </w:rPr>
              <w:t>5.1.3野生动物生态影响的避让与减缓措施</w:t>
            </w:r>
          </w:p>
          <w:p w14:paraId="75D5D118">
            <w:pPr>
              <w:pStyle w:val="62"/>
              <w:ind w:firstLine="480"/>
              <w:jc w:val="left"/>
              <w:rPr>
                <w:rFonts w:hAnsi="宋体" w:cs="Times New Roman"/>
              </w:rPr>
            </w:pPr>
            <w:r>
              <w:rPr>
                <w:rFonts w:hAnsi="宋体" w:cs="Times New Roman"/>
              </w:rPr>
              <w:t>（1）通过开会、发放宣传册、在施工场所树立宣传牌等方法，提高施工人员的保护意识，严禁捕猎野生动物。组织施工人员学习《中华人民共和国野生动物保护法》，严禁施工人员捕猎野生动物，特别是国家重点保护动物和湖南省重点保护动物。</w:t>
            </w:r>
          </w:p>
          <w:p w14:paraId="5B874ECF">
            <w:pPr>
              <w:pStyle w:val="62"/>
              <w:ind w:firstLine="480"/>
              <w:jc w:val="left"/>
              <w:rPr>
                <w:rFonts w:hAnsi="宋体" w:cs="Times New Roman"/>
                <w:color w:val="FF0000"/>
              </w:rPr>
            </w:pPr>
            <w:r>
              <w:rPr>
                <w:rFonts w:hAnsi="宋体" w:cs="Times New Roman"/>
                <w:color w:val="FF0000"/>
              </w:rPr>
              <w:t>（2）夜间灯光容易吸引鸟类撞击。施工期</w:t>
            </w:r>
            <w:r>
              <w:rPr>
                <w:rFonts w:hint="eastAsia" w:hAnsi="宋体" w:cs="Times New Roman"/>
                <w:color w:val="FF0000"/>
              </w:rPr>
              <w:t>如</w:t>
            </w:r>
            <w:r>
              <w:rPr>
                <w:rFonts w:hAnsi="宋体" w:cs="Times New Roman"/>
                <w:color w:val="FF0000"/>
              </w:rPr>
              <w:t>在迁徙强度大的季节</w:t>
            </w:r>
            <w:r>
              <w:rPr>
                <w:rFonts w:hint="eastAsia" w:hAnsi="宋体" w:cs="Times New Roman"/>
                <w:color w:val="FF0000"/>
              </w:rPr>
              <w:t>（</w:t>
            </w:r>
            <w:r>
              <w:rPr>
                <w:rFonts w:hAnsi="宋体" w:cs="Times New Roman"/>
                <w:color w:val="FF0000"/>
              </w:rPr>
              <w:t>春秋两季</w:t>
            </w:r>
            <w:r>
              <w:rPr>
                <w:rFonts w:hint="eastAsia" w:hAnsi="宋体" w:cs="Times New Roman"/>
                <w:color w:val="FF0000"/>
              </w:rPr>
              <w:t>），</w:t>
            </w:r>
            <w:r>
              <w:rPr>
                <w:rFonts w:hAnsi="宋体" w:cs="Times New Roman"/>
                <w:color w:val="FF0000"/>
              </w:rPr>
              <w:t>要严格控制光源使用量，对光源进行遮蔽，减少对外界的漏光量，并派专人进行夜间巡视。尤其是在有大雾、暴雨或强风的夜晚，应该停止施工。在鸟类非迁徙季节竖立和组装风电机。</w:t>
            </w:r>
          </w:p>
          <w:p w14:paraId="0E8BA2AC">
            <w:pPr>
              <w:pStyle w:val="62"/>
              <w:ind w:firstLine="480"/>
              <w:jc w:val="left"/>
              <w:rPr>
                <w:rFonts w:cs="Times New Roman"/>
              </w:rPr>
            </w:pPr>
            <w:r>
              <w:rPr>
                <w:rFonts w:hAnsi="宋体" w:cs="Times New Roman"/>
              </w:rPr>
              <w:t>（3）运营期在迁徙强度大的季节，如春秋两季，如果碰到有大雾、暴雨或大</w:t>
            </w:r>
            <w:r>
              <w:rPr>
                <w:rFonts w:cs="Times New Roman"/>
              </w:rPr>
              <w:t>风的夜晚，风电场室外的照明尽量最小化，不要使用钠蒸汽灯，禁止长时间开启明亮的照明设备。建议使用声控灯，给需要照明的设备加装必要的遮光设施，防止灯光外泄。</w:t>
            </w:r>
          </w:p>
          <w:p w14:paraId="712A4B27">
            <w:pPr>
              <w:pStyle w:val="62"/>
              <w:ind w:firstLine="480"/>
              <w:jc w:val="left"/>
              <w:rPr>
                <w:rFonts w:cs="Times New Roman"/>
              </w:rPr>
            </w:pPr>
            <w:r>
              <w:rPr>
                <w:rFonts w:cs="Times New Roman"/>
              </w:rPr>
              <w:t>（4）对没有达到会影响飞机飞行高度的风机机身上一律不准设光源。根据风机的具体高度和所处的位置以及航空部门评估后的结果，认为确实需要安装防撞灯的，应考虑安装白色闪光灯，不要安装红色的闪光灯，而且要安装尽可能少的灯，亮度也尽可能小，闪烁次数也尽可能小。</w:t>
            </w:r>
          </w:p>
          <w:p w14:paraId="2F7123DD">
            <w:pPr>
              <w:pStyle w:val="62"/>
              <w:ind w:firstLine="480"/>
              <w:jc w:val="left"/>
              <w:rPr>
                <w:rFonts w:cs="Times New Roman"/>
              </w:rPr>
            </w:pPr>
            <w:r>
              <w:rPr>
                <w:rFonts w:hint="eastAsia" w:cs="Times New Roman"/>
              </w:rPr>
              <w:t>（</w:t>
            </w:r>
            <w:r>
              <w:rPr>
                <w:rFonts w:cs="Times New Roman"/>
              </w:rPr>
              <w:t>5</w:t>
            </w:r>
            <w:r>
              <w:rPr>
                <w:rFonts w:hint="eastAsia" w:cs="Times New Roman"/>
              </w:rPr>
              <w:t>）</w:t>
            </w:r>
            <w:r>
              <w:rPr>
                <w:rFonts w:cs="Times New Roman"/>
              </w:rPr>
              <w:t>设置警示牌：提高施工人员的保护意识，组织施工人员学习相关法律，施工人员必须遵守《中华人民共和国野生动物</w:t>
            </w:r>
            <w:bookmarkStart w:id="306" w:name="_Toc448490659"/>
            <w:bookmarkStart w:id="307" w:name="_Toc478148625"/>
            <w:r>
              <w:rPr>
                <w:rFonts w:cs="Times New Roman"/>
              </w:rPr>
              <w:t>保护法》，严禁施工</w:t>
            </w:r>
            <w:bookmarkEnd w:id="306"/>
            <w:bookmarkEnd w:id="307"/>
            <w:r>
              <w:rPr>
                <w:rFonts w:cs="Times New Roman"/>
              </w:rPr>
              <w:t>人</w:t>
            </w:r>
            <w:bookmarkStart w:id="308" w:name="_Toc448490660"/>
            <w:bookmarkStart w:id="309" w:name="_Toc478148626"/>
            <w:r>
              <w:rPr>
                <w:rFonts w:cs="Times New Roman"/>
              </w:rPr>
              <w:t>员捕猎野生动物，特</w:t>
            </w:r>
            <w:bookmarkEnd w:id="308"/>
            <w:bookmarkEnd w:id="309"/>
            <w:r>
              <w:rPr>
                <w:rFonts w:cs="Times New Roman"/>
              </w:rPr>
              <w:t>别是国家级和省级重点保护动物。</w:t>
            </w:r>
          </w:p>
          <w:p w14:paraId="35DDD033">
            <w:pPr>
              <w:pStyle w:val="62"/>
              <w:ind w:firstLine="480"/>
              <w:jc w:val="left"/>
              <w:rPr>
                <w:rFonts w:cs="Times New Roman"/>
              </w:rPr>
            </w:pPr>
            <w:r>
              <w:rPr>
                <w:rFonts w:hint="eastAsia" w:cs="Times New Roman"/>
              </w:rPr>
              <w:t>（</w:t>
            </w:r>
            <w:r>
              <w:rPr>
                <w:rFonts w:cs="Times New Roman"/>
              </w:rPr>
              <w:t>6</w:t>
            </w:r>
            <w:r>
              <w:rPr>
                <w:rFonts w:hint="eastAsia" w:cs="Times New Roman"/>
              </w:rPr>
              <w:t>）</w:t>
            </w:r>
            <w:r>
              <w:rPr>
                <w:rFonts w:cs="Times New Roman"/>
              </w:rPr>
              <w:t>优选施工时间，避开野生动物活动的高峰时段。野生鸟类和兽类大多是早晨、黄昏或夜间外出觅食，正午是鸟类休息时间。为了减少工程施工噪声对野生动物的惊扰，应做好施工方式和时间的计划，并力求避免在晨昏和正午施工。</w:t>
            </w:r>
          </w:p>
          <w:p w14:paraId="4F5EF231">
            <w:pPr>
              <w:pStyle w:val="62"/>
              <w:ind w:firstLine="480"/>
              <w:jc w:val="left"/>
              <w:rPr>
                <w:rFonts w:cs="Times New Roman"/>
              </w:rPr>
            </w:pPr>
            <w:r>
              <w:rPr>
                <w:rFonts w:hint="eastAsia" w:cs="Times New Roman"/>
              </w:rPr>
              <w:t>（</w:t>
            </w:r>
            <w:r>
              <w:rPr>
                <w:rFonts w:cs="Times New Roman"/>
              </w:rPr>
              <w:t>7</w:t>
            </w:r>
            <w:r>
              <w:rPr>
                <w:rFonts w:hint="eastAsia" w:cs="Times New Roman"/>
              </w:rPr>
              <w:t>）</w:t>
            </w:r>
            <w:r>
              <w:rPr>
                <w:rFonts w:cs="Times New Roman"/>
              </w:rPr>
              <w:t>工程完工后尽快做好生态环境的恢复工作，每个风机和集电线路施工完成后，在临时占地及其附近合理复绿，种植本地植被，</w:t>
            </w:r>
            <w:r>
              <w:rPr>
                <w:rFonts w:hint="eastAsia" w:cs="Times New Roman"/>
              </w:rPr>
              <w:t>采用乔灌草相结合的方式进行复绿，</w:t>
            </w:r>
            <w:r>
              <w:rPr>
                <w:rFonts w:cs="Times New Roman"/>
              </w:rPr>
              <w:t>尽快恢复动物生境，以尽量减少生境破坏对动物的不利影响。</w:t>
            </w:r>
          </w:p>
          <w:p w14:paraId="76D159AD">
            <w:pPr>
              <w:pStyle w:val="62"/>
              <w:ind w:firstLine="480"/>
              <w:jc w:val="left"/>
              <w:rPr>
                <w:rFonts w:cs="Times New Roman"/>
              </w:rPr>
            </w:pPr>
            <w:r>
              <w:rPr>
                <w:rFonts w:hint="eastAsia" w:cs="Times New Roman"/>
              </w:rPr>
              <w:t>（</w:t>
            </w:r>
            <w:r>
              <w:rPr>
                <w:rFonts w:cs="Times New Roman"/>
              </w:rPr>
              <w:t>8</w:t>
            </w:r>
            <w:r>
              <w:rPr>
                <w:rFonts w:hint="eastAsia" w:cs="Times New Roman"/>
              </w:rPr>
              <w:t>）</w:t>
            </w:r>
            <w:r>
              <w:rPr>
                <w:rFonts w:cs="Times New Roman"/>
              </w:rPr>
              <w:t>加强监测，科学管理营运。本项目运营3年内，聘请鸟类观测人员，观测风机区的鸟类数量，因风机致死的鸟类种类和数量。根据3年内监测的结果，对风机运行时间进行调整。对致死鸟类数量较大的风机，要进行关停。致死数量少的，可在迁徙季节遇到大风大雾时段适时关闭风机，尽量减少对鸟类的影响。</w:t>
            </w:r>
          </w:p>
          <w:p w14:paraId="4EFD1370">
            <w:pPr>
              <w:pStyle w:val="62"/>
              <w:ind w:firstLine="480"/>
              <w:jc w:val="left"/>
              <w:rPr>
                <w:rFonts w:cs="Times New Roman"/>
              </w:rPr>
            </w:pPr>
            <w:r>
              <w:rPr>
                <w:rFonts w:hint="eastAsia" w:cs="Times New Roman"/>
              </w:rPr>
              <w:t>（</w:t>
            </w:r>
            <w:r>
              <w:rPr>
                <w:rFonts w:cs="Times New Roman"/>
              </w:rPr>
              <w:t>9</w:t>
            </w:r>
            <w:r>
              <w:rPr>
                <w:rFonts w:hint="eastAsia" w:cs="Times New Roman"/>
              </w:rPr>
              <w:t>）对迁徙鸟类的保护措施</w:t>
            </w:r>
          </w:p>
          <w:p w14:paraId="0CDFF217">
            <w:pPr>
              <w:adjustRightInd w:val="0"/>
              <w:snapToGrid w:val="0"/>
              <w:spacing w:line="360" w:lineRule="auto"/>
              <w:ind w:firstLine="480" w:firstLineChars="200"/>
              <w:jc w:val="left"/>
              <w:rPr>
                <w:sz w:val="24"/>
              </w:rPr>
            </w:pPr>
            <w:bookmarkStart w:id="310" w:name="_Toc478148630"/>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sz w:val="24"/>
              </w:rPr>
              <w:t>加强在运营期的鸟类监测活动，采用人工观测记</w:t>
            </w:r>
            <w:bookmarkEnd w:id="310"/>
            <w:r>
              <w:rPr>
                <w:sz w:val="24"/>
              </w:rPr>
              <w:t>录或者红外监控系统进行观测鸟类迁徙活动。根据鸟类观测结果，在发现大量鸟类迁徙的情况下关闭可能威胁到鸟类迁徙的风机，避免迁徙鸟类撞击风机叶片。</w:t>
            </w:r>
          </w:p>
          <w:p w14:paraId="796283FA">
            <w:pPr>
              <w:adjustRightInd w:val="0"/>
              <w:snapToGrid w:val="0"/>
              <w:spacing w:line="360" w:lineRule="auto"/>
              <w:ind w:firstLine="480" w:firstLineChars="200"/>
              <w:jc w:val="left"/>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sz w:val="24"/>
              </w:rPr>
              <w:t>在鸟类观测站配备相应的鸟类救护设备，对巡护人员进行基础救护培训，加强巡护过程中对鸟类的救护，鸟类伤势严重的情况下及时送往野保站进行救护。</w:t>
            </w:r>
          </w:p>
          <w:p w14:paraId="426A8224">
            <w:pPr>
              <w:adjustRightInd w:val="0"/>
              <w:snapToGrid w:val="0"/>
              <w:spacing w:line="360" w:lineRule="auto"/>
              <w:ind w:firstLine="480" w:firstLineChars="200"/>
              <w:jc w:val="left"/>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sz w:val="24"/>
              </w:rPr>
              <w:t>提高鸟类对风电机敏感性，在风机的叶片上涂上能吸引鸟类注意力的反射紫外线涂层或鲜艳颜色，如红色、橙色等，提高鸟类的注意力，避免白天鸟类撞击风机。</w:t>
            </w:r>
          </w:p>
          <w:p w14:paraId="3DB61629">
            <w:pPr>
              <w:adjustRightInd w:val="0"/>
              <w:snapToGrid w:val="0"/>
              <w:spacing w:line="360" w:lineRule="auto"/>
              <w:jc w:val="left"/>
              <w:rPr>
                <w:b/>
                <w:bCs/>
                <w:sz w:val="24"/>
              </w:rPr>
            </w:pPr>
            <w:r>
              <w:rPr>
                <w:rFonts w:hint="eastAsia"/>
                <w:b/>
                <w:bCs/>
                <w:sz w:val="24"/>
              </w:rPr>
              <w:t>5.1.</w:t>
            </w:r>
            <w:r>
              <w:rPr>
                <w:b/>
                <w:bCs/>
                <w:sz w:val="24"/>
              </w:rPr>
              <w:t>4</w:t>
            </w:r>
            <w:r>
              <w:rPr>
                <w:rFonts w:hint="eastAsia"/>
                <w:b/>
                <w:bCs/>
                <w:sz w:val="24"/>
              </w:rPr>
              <w:t>管理措施</w:t>
            </w:r>
          </w:p>
          <w:p w14:paraId="2765EBBE">
            <w:pPr>
              <w:adjustRightInd w:val="0"/>
              <w:snapToGrid w:val="0"/>
              <w:spacing w:line="360" w:lineRule="auto"/>
              <w:ind w:firstLine="480" w:firstLineChars="200"/>
              <w:jc w:val="left"/>
              <w:rPr>
                <w:sz w:val="24"/>
              </w:rPr>
            </w:pPr>
            <w:r>
              <w:rPr>
                <w:sz w:val="24"/>
              </w:rPr>
              <w:t>（1）防止外来入侵物种的扩散。加大宣传力度，对外来入侵植物的危害以及传播途径向施工人员进行宣传；对现有的外来种，利用工程施工的机会，采用有效的防治措施，消除其危害。</w:t>
            </w:r>
          </w:p>
          <w:p w14:paraId="260B6CAC">
            <w:pPr>
              <w:adjustRightInd w:val="0"/>
              <w:snapToGrid w:val="0"/>
              <w:spacing w:line="360" w:lineRule="auto"/>
              <w:ind w:firstLine="480" w:firstLineChars="200"/>
              <w:jc w:val="left"/>
              <w:rPr>
                <w:sz w:val="24"/>
              </w:rPr>
            </w:pPr>
            <w:r>
              <w:rPr>
                <w:sz w:val="24"/>
              </w:rPr>
              <w:t>（2）预防火灾。在工程建设期，更应加强防护，如在施工区、临时居住区及周围山上竖立防火警示牌，划出可生火范围、巡回检查、搞好消防队伍及设施的建设等，以预防和杜绝火灾发生。</w:t>
            </w:r>
          </w:p>
          <w:p w14:paraId="03213E80">
            <w:pPr>
              <w:adjustRightInd w:val="0"/>
              <w:snapToGrid w:val="0"/>
              <w:spacing w:line="360" w:lineRule="auto"/>
              <w:ind w:firstLine="480" w:firstLineChars="200"/>
              <w:jc w:val="left"/>
              <w:rPr>
                <w:sz w:val="24"/>
              </w:rPr>
            </w:pPr>
            <w:r>
              <w:rPr>
                <w:sz w:val="24"/>
              </w:rPr>
              <w:t>（3）落实监督机制，保证各项生态措施的实施。工程建设施工期、运行期都应进行生态影响的监测或调查。通过监测，了解植被的变化，数量变化以及生态系统整体性变化，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14:paraId="3B7A473E">
            <w:pPr>
              <w:adjustRightInd w:val="0"/>
              <w:snapToGrid w:val="0"/>
              <w:spacing w:line="360" w:lineRule="auto"/>
              <w:ind w:firstLine="480" w:firstLineChars="200"/>
              <w:jc w:val="left"/>
              <w:rPr>
                <w:sz w:val="24"/>
              </w:rPr>
            </w:pPr>
            <w:r>
              <w:rPr>
                <w:sz w:val="24"/>
              </w:rPr>
              <w:t>（4）坚持风机定期检修，退役风机及时更换。风机设计使用寿命约20年，在服役期间应坚持定期进行检修，防止出现塔筒和叶片对植被造成伤害，泄漏油脂等对当地土壤和空气造成污染。由于目前退役风机处理的产业链尚未形成，退役风机翻新成本较高，建议采取更换新的风电机组。</w:t>
            </w:r>
          </w:p>
          <w:p w14:paraId="1557144B">
            <w:pPr>
              <w:adjustRightInd w:val="0"/>
              <w:snapToGrid w:val="0"/>
              <w:spacing w:line="360" w:lineRule="auto"/>
              <w:ind w:firstLine="480" w:firstLineChars="200"/>
              <w:jc w:val="left"/>
              <w:rPr>
                <w:sz w:val="24"/>
              </w:rPr>
            </w:pPr>
            <w:r>
              <w:rPr>
                <w:sz w:val="24"/>
              </w:rPr>
              <w:t>（5）施工期制定严格的施工纪律和规章制度，规范施工行为，严格控制施工人员数量、设备和施工作业时间，严格划定施工范围，严禁越</w:t>
            </w:r>
            <w:bookmarkStart w:id="311" w:name="_Toc478148629"/>
            <w:bookmarkStart w:id="312" w:name="_Toc448490663"/>
            <w:r>
              <w:rPr>
                <w:sz w:val="24"/>
              </w:rPr>
              <w:t>界施工，严禁施工人</w:t>
            </w:r>
            <w:bookmarkEnd w:id="311"/>
            <w:bookmarkEnd w:id="312"/>
            <w:r>
              <w:rPr>
                <w:sz w:val="24"/>
              </w:rPr>
              <w:t>员进入非施工区域或从事与施工活动无关的活动，特别是要杜绝捕杀、伤害、惊吓、袭击动物等行为。开展施工期的工程环境监理工作，切实保障各项措施的落实，控制工程施工对植被资源和野生动物的影响。</w:t>
            </w:r>
          </w:p>
          <w:p w14:paraId="44F6B419">
            <w:pPr>
              <w:adjustRightInd w:val="0"/>
              <w:snapToGrid w:val="0"/>
              <w:spacing w:line="360" w:lineRule="auto"/>
              <w:ind w:firstLine="480" w:firstLineChars="200"/>
              <w:jc w:val="left"/>
              <w:rPr>
                <w:sz w:val="24"/>
              </w:rPr>
            </w:pPr>
            <w:r>
              <w:rPr>
                <w:sz w:val="24"/>
              </w:rPr>
              <w:t>（6）施工期做好施工生产区的卫生，避免吸引啮齿类动物，导致啮齿类动物集群，若啮齿类动物集群，将会使以其为食的蛇类和猛禽聚集于此，增加蛇类和猛禽类动物事故发生的概率；运营时控制风电场内及周边地区昆虫的数量，防止来此觅食的鸟类撞击风机。</w:t>
            </w:r>
          </w:p>
          <w:p w14:paraId="2CD0A414">
            <w:pPr>
              <w:adjustRightInd w:val="0"/>
              <w:snapToGrid w:val="0"/>
              <w:spacing w:line="360" w:lineRule="auto"/>
              <w:ind w:firstLine="480" w:firstLineChars="200"/>
              <w:jc w:val="left"/>
              <w:rPr>
                <w:sz w:val="24"/>
              </w:rPr>
            </w:pPr>
            <w:r>
              <w:rPr>
                <w:sz w:val="24"/>
              </w:rPr>
              <w:t>（7）加强野生动物的救护管理体系，建立与林业野生动物管理单位的联系制度，接受其指导。施工期和运营期发生的与野生动物有关的问题，及时向动物管理部门报告。如发现病伤的野生动物或者被遗弃的幼体、鸟卵等，不得私自处理，要及时通知野生动物管理部门，派专业技术人员进行救护。</w:t>
            </w:r>
          </w:p>
          <w:p w14:paraId="68ABD9FC">
            <w:pPr>
              <w:adjustRightInd w:val="0"/>
              <w:snapToGrid w:val="0"/>
              <w:spacing w:line="360" w:lineRule="auto"/>
              <w:ind w:firstLine="480" w:firstLineChars="200"/>
              <w:jc w:val="left"/>
              <w:rPr>
                <w:sz w:val="24"/>
              </w:rPr>
            </w:pPr>
            <w:r>
              <w:rPr>
                <w:rFonts w:hint="eastAsia"/>
                <w:sz w:val="24"/>
              </w:rPr>
              <w:t>（</w:t>
            </w:r>
            <w:r>
              <w:rPr>
                <w:sz w:val="24"/>
              </w:rPr>
              <w:t>8</w:t>
            </w:r>
            <w:r>
              <w:rPr>
                <w:rFonts w:hint="eastAsia"/>
                <w:sz w:val="24"/>
              </w:rPr>
              <w:t>）加强施工期废气、废水、固废、水土流失控制措施管理。避免因废气、废水、固废、水土流失控制措施不到位，造成的生态环境破坏。</w:t>
            </w:r>
          </w:p>
          <w:p w14:paraId="7E8709B2">
            <w:pPr>
              <w:adjustRightInd w:val="0"/>
              <w:snapToGrid w:val="0"/>
              <w:spacing w:line="360" w:lineRule="auto"/>
              <w:jc w:val="left"/>
              <w:rPr>
                <w:b/>
                <w:bCs/>
                <w:sz w:val="24"/>
              </w:rPr>
            </w:pPr>
            <w:r>
              <w:rPr>
                <w:rFonts w:hint="eastAsia"/>
                <w:b/>
                <w:bCs/>
                <w:sz w:val="24"/>
              </w:rPr>
              <w:t>5.2施工期废气污染防治措施</w:t>
            </w:r>
          </w:p>
          <w:p w14:paraId="01E0CAA1">
            <w:pPr>
              <w:pStyle w:val="62"/>
              <w:ind w:firstLine="480"/>
              <w:jc w:val="left"/>
              <w:rPr>
                <w:rFonts w:hAnsi="宋体" w:cs="Times New Roman"/>
              </w:rPr>
            </w:pPr>
            <w:r>
              <w:rPr>
                <w:rFonts w:hAnsi="宋体" w:cs="Times New Roman"/>
              </w:rPr>
              <w:t>（1）扬尘控制措施</w:t>
            </w:r>
          </w:p>
          <w:p w14:paraId="2BDB2328">
            <w:pPr>
              <w:pStyle w:val="62"/>
              <w:ind w:firstLine="480"/>
              <w:jc w:val="left"/>
              <w:rPr>
                <w:rFonts w:hAnsi="宋体" w:cs="Times New Roman"/>
              </w:rPr>
            </w:pPr>
            <w:r>
              <w:rPr>
                <w:rFonts w:hint="eastAsia" w:hAnsi="宋体" w:cs="Times New Roman"/>
              </w:rPr>
              <w:t>①</w:t>
            </w:r>
            <w:r>
              <w:rPr>
                <w:rFonts w:hAnsi="宋体" w:cs="Times New Roman"/>
              </w:rPr>
              <w:t>为防止施工粉尘对环境空气质量的影响，施工作业区布置要远离居民区，并及时洒水，非雨天每天洒水不少于4次。</w:t>
            </w:r>
            <w:r>
              <w:rPr>
                <w:rFonts w:hint="eastAsia" w:hAnsi="宋体" w:cs="Times New Roman"/>
              </w:rPr>
              <w:t>加强居民区附近的道路清洁及道路防尘措施。</w:t>
            </w:r>
          </w:p>
          <w:p w14:paraId="22E6C0DF">
            <w:pPr>
              <w:pStyle w:val="62"/>
              <w:ind w:firstLine="480"/>
              <w:jc w:val="left"/>
              <w:rPr>
                <w:rFonts w:hAnsi="宋体" w:cs="Times New Roman"/>
              </w:rPr>
            </w:pPr>
            <w:r>
              <w:rPr>
                <w:rFonts w:hint="eastAsia" w:hAnsi="宋体" w:cs="Times New Roman"/>
              </w:rPr>
              <w:t>②</w:t>
            </w:r>
            <w:r>
              <w:rPr>
                <w:rFonts w:hAnsi="宋体" w:cs="Times New Roman"/>
              </w:rPr>
              <w:t>对施工区道路进行管理与养护，对进场道路和施工区道路进行硬化，使路面保持清洁，处于良好运行状况；</w:t>
            </w:r>
            <w:r>
              <w:rPr>
                <w:rFonts w:hint="eastAsia" w:hAnsi="宋体" w:cs="Times New Roman"/>
              </w:rPr>
              <w:t>运输车辆进入场区范围内后降低车速，同时采取洒水降尘措施。</w:t>
            </w:r>
            <w:r>
              <w:rPr>
                <w:rFonts w:cs="Times New Roman"/>
                <w:szCs w:val="24"/>
              </w:rPr>
              <w:t>粉状材料使用帆布密封或采用罐体车运输</w:t>
            </w:r>
            <w:r>
              <w:rPr>
                <w:rFonts w:hint="eastAsia" w:cs="Times New Roman"/>
                <w:szCs w:val="24"/>
              </w:rPr>
              <w:t>。</w:t>
            </w:r>
          </w:p>
          <w:p w14:paraId="7871130A">
            <w:pPr>
              <w:pStyle w:val="62"/>
              <w:ind w:firstLine="480"/>
              <w:jc w:val="left"/>
              <w:rPr>
                <w:rFonts w:hAnsi="宋体" w:cs="Times New Roman"/>
              </w:rPr>
            </w:pPr>
            <w:r>
              <w:rPr>
                <w:rFonts w:hAnsi="宋体" w:cs="Times New Roman"/>
              </w:rPr>
              <w:fldChar w:fldCharType="begin"/>
            </w:r>
            <w:r>
              <w:rPr>
                <w:rFonts w:hAnsi="宋体" w:cs="Times New Roman"/>
              </w:rPr>
              <w:instrText xml:space="preserve"> </w:instrText>
            </w:r>
            <w:r>
              <w:rPr>
                <w:rFonts w:hint="eastAsia" w:hAnsi="宋体" w:cs="Times New Roman"/>
              </w:rPr>
              <w:instrText xml:space="preserve">= 3 \* GB3</w:instrText>
            </w:r>
            <w:r>
              <w:rPr>
                <w:rFonts w:hAnsi="宋体" w:cs="Times New Roman"/>
              </w:rPr>
              <w:instrText xml:space="preserve"> </w:instrText>
            </w:r>
            <w:r>
              <w:rPr>
                <w:rFonts w:hAnsi="宋体" w:cs="Times New Roman"/>
              </w:rPr>
              <w:fldChar w:fldCharType="separate"/>
            </w:r>
            <w:r>
              <w:rPr>
                <w:rFonts w:hint="eastAsia" w:hAnsi="宋体" w:cs="Times New Roman"/>
              </w:rPr>
              <w:t>③</w:t>
            </w:r>
            <w:r>
              <w:rPr>
                <w:rFonts w:hAnsi="宋体" w:cs="Times New Roman"/>
              </w:rPr>
              <w:fldChar w:fldCharType="end"/>
            </w:r>
            <w:r>
              <w:rPr>
                <w:rFonts w:hint="eastAsia" w:hAnsi="宋体" w:cs="Times New Roman"/>
              </w:rPr>
              <w:t>施工生产区地面做硬化处理，不定期洒水，运输车辆进出施工生产区前冲洗车身、车轮。</w:t>
            </w:r>
          </w:p>
          <w:p w14:paraId="070E680C">
            <w:pPr>
              <w:pStyle w:val="62"/>
              <w:ind w:firstLine="480"/>
              <w:jc w:val="left"/>
              <w:rPr>
                <w:rFonts w:hAnsi="宋体" w:cs="Times New Roman"/>
              </w:rPr>
            </w:pPr>
            <w:r>
              <w:rPr>
                <w:rFonts w:hAnsi="宋体" w:cs="Times New Roman"/>
              </w:rPr>
              <w:fldChar w:fldCharType="begin"/>
            </w:r>
            <w:r>
              <w:rPr>
                <w:rFonts w:hAnsi="宋体" w:cs="Times New Roman"/>
              </w:rPr>
              <w:instrText xml:space="preserve"> </w:instrText>
            </w:r>
            <w:r>
              <w:rPr>
                <w:rFonts w:hint="eastAsia" w:hAnsi="宋体" w:cs="Times New Roman"/>
              </w:rPr>
              <w:instrText xml:space="preserve">= 4 \* GB3</w:instrText>
            </w:r>
            <w:r>
              <w:rPr>
                <w:rFonts w:hAnsi="宋体" w:cs="Times New Roman"/>
              </w:rPr>
              <w:instrText xml:space="preserve"> </w:instrText>
            </w:r>
            <w:r>
              <w:rPr>
                <w:rFonts w:hAnsi="宋体" w:cs="Times New Roman"/>
              </w:rPr>
              <w:fldChar w:fldCharType="separate"/>
            </w:r>
            <w:r>
              <w:rPr>
                <w:rFonts w:hint="eastAsia" w:hAnsi="宋体" w:cs="Times New Roman"/>
              </w:rPr>
              <w:t>④</w:t>
            </w:r>
            <w:r>
              <w:rPr>
                <w:rFonts w:hAnsi="宋体" w:cs="Times New Roman"/>
              </w:rPr>
              <w:fldChar w:fldCharType="end"/>
            </w:r>
            <w:r>
              <w:rPr>
                <w:rFonts w:hAnsi="宋体" w:cs="Times New Roman"/>
              </w:rPr>
              <w:t>回填土、废弃物和临时堆料应按指定的堆放地堆放，场地周围采取</w:t>
            </w:r>
            <w:r>
              <w:rPr>
                <w:rFonts w:hint="eastAsia" w:hAnsi="宋体" w:cs="Times New Roman"/>
              </w:rPr>
              <w:t>洒水、篷布覆盖、</w:t>
            </w:r>
            <w:r>
              <w:rPr>
                <w:rFonts w:hAnsi="宋体" w:cs="Times New Roman"/>
              </w:rPr>
              <w:t>围挡</w:t>
            </w:r>
            <w:r>
              <w:rPr>
                <w:rFonts w:hint="eastAsia" w:hAnsi="宋体" w:cs="Times New Roman"/>
              </w:rPr>
              <w:t>等</w:t>
            </w:r>
            <w:r>
              <w:rPr>
                <w:rFonts w:hAnsi="宋体" w:cs="Times New Roman"/>
              </w:rPr>
              <w:t>措施。</w:t>
            </w:r>
          </w:p>
          <w:p w14:paraId="5BD72AEC">
            <w:pPr>
              <w:pStyle w:val="62"/>
              <w:ind w:firstLine="480"/>
              <w:jc w:val="left"/>
              <w:rPr>
                <w:rFonts w:hint="default" w:hAnsi="宋体" w:eastAsia="宋体" w:cs="Times New Roman"/>
                <w:lang w:val="en-US" w:eastAsia="zh-CN"/>
              </w:rPr>
            </w:pPr>
            <w:r>
              <w:rPr>
                <w:rFonts w:hint="eastAsia" w:hAnsi="宋体" w:cs="Times New Roman"/>
              </w:rPr>
              <w:t>⑤</w:t>
            </w:r>
            <w:r>
              <w:rPr>
                <w:rFonts w:hAnsi="宋体" w:cs="Times New Roman"/>
              </w:rPr>
              <w:t>施工拌合场作业区进行洒水，降低混凝土拌和区粉尘排放，每天洒水不少于3次；</w:t>
            </w:r>
            <w:r>
              <w:rPr>
                <w:rFonts w:hint="eastAsia" w:hAnsi="宋体" w:cs="Times New Roman"/>
                <w:lang w:val="en-US" w:eastAsia="zh-CN"/>
              </w:rPr>
              <w:t>外购商品混凝土，不设置混凝土搅拌站。</w:t>
            </w:r>
          </w:p>
          <w:p w14:paraId="4B32D083">
            <w:pPr>
              <w:pStyle w:val="62"/>
              <w:ind w:firstLine="480"/>
              <w:jc w:val="left"/>
              <w:rPr>
                <w:rFonts w:hAnsi="宋体" w:cs="Times New Roman"/>
              </w:rPr>
            </w:pPr>
            <w:r>
              <w:rPr>
                <w:rFonts w:hAnsi="宋体" w:cs="Times New Roman"/>
              </w:rPr>
              <w:t>（2）汽车尾气控制措施</w:t>
            </w:r>
          </w:p>
          <w:p w14:paraId="6DDD0280">
            <w:pPr>
              <w:pStyle w:val="62"/>
              <w:ind w:firstLine="480"/>
              <w:jc w:val="left"/>
              <w:rPr>
                <w:rFonts w:hAnsi="宋体" w:cs="Times New Roman"/>
              </w:rPr>
            </w:pPr>
            <w:r>
              <w:rPr>
                <w:rFonts w:hAnsi="宋体" w:cs="Times New Roman"/>
              </w:rPr>
              <w:t>本工程使用的多为大型运输车辆，尾气排放量与污染物含量均较轻型车辆高，因此，按照国家的有关规定，施工运输车辆必须执行《在用汽车报废标准》，推行强制更新报废制度，对于发动机耗油多、效率低、排放尾气严重超标的老、旧车辆，要及时更新；燃油机械设备应选用符合国家有关卫生标准的施工机械，使其排放的废气符合国家有关标准。</w:t>
            </w:r>
          </w:p>
          <w:p w14:paraId="7572663F">
            <w:pPr>
              <w:pStyle w:val="62"/>
              <w:ind w:firstLine="480"/>
              <w:jc w:val="left"/>
              <w:rPr>
                <w:rFonts w:hAnsi="宋体" w:cs="Times New Roman"/>
              </w:rPr>
            </w:pPr>
            <w:r>
              <w:rPr>
                <w:rFonts w:hAnsi="宋体" w:cs="Times New Roman"/>
              </w:rPr>
              <w:t>（3）钻爆粉尘</w:t>
            </w:r>
          </w:p>
          <w:p w14:paraId="46C1DAEF">
            <w:pPr>
              <w:adjustRightInd w:val="0"/>
              <w:snapToGrid w:val="0"/>
              <w:spacing w:line="360" w:lineRule="auto"/>
              <w:ind w:firstLine="480" w:firstLineChars="200"/>
              <w:jc w:val="left"/>
              <w:rPr>
                <w:rFonts w:hAnsi="宋体"/>
                <w:sz w:val="24"/>
                <w:szCs w:val="20"/>
              </w:rPr>
            </w:pPr>
            <w:r>
              <w:rPr>
                <w:rFonts w:hAnsi="宋体"/>
                <w:sz w:val="24"/>
                <w:szCs w:val="20"/>
              </w:rPr>
              <w:t>爆破应多打眼、少装药的方式，减少爆破振动，爆前采用喷雾洒水，即在距工作面15</w:t>
            </w:r>
            <w:r>
              <w:rPr>
                <w:rFonts w:hint="eastAsia" w:hAnsi="宋体"/>
                <w:sz w:val="24"/>
                <w:szCs w:val="20"/>
                <w:lang w:val="en-US" w:eastAsia="zh-CN"/>
              </w:rPr>
              <w:t>~</w:t>
            </w:r>
            <w:r>
              <w:rPr>
                <w:rFonts w:hAnsi="宋体"/>
                <w:sz w:val="24"/>
                <w:szCs w:val="20"/>
              </w:rPr>
              <w:t>20m处安装除尘喷雾装置，在爆破后30分钟关闭。</w:t>
            </w:r>
          </w:p>
          <w:p w14:paraId="1BD32631">
            <w:pPr>
              <w:adjustRightInd w:val="0"/>
              <w:snapToGrid w:val="0"/>
              <w:spacing w:line="360" w:lineRule="auto"/>
              <w:jc w:val="left"/>
              <w:rPr>
                <w:b/>
                <w:bCs/>
                <w:sz w:val="24"/>
              </w:rPr>
            </w:pPr>
            <w:r>
              <w:rPr>
                <w:rFonts w:hint="eastAsia"/>
                <w:b/>
                <w:bCs/>
                <w:sz w:val="24"/>
              </w:rPr>
              <w:t>5.3施工期水污染防治措施</w:t>
            </w:r>
          </w:p>
          <w:p w14:paraId="12A457C3">
            <w:pPr>
              <w:pStyle w:val="62"/>
              <w:ind w:firstLine="480"/>
              <w:jc w:val="left"/>
              <w:rPr>
                <w:rFonts w:hAnsi="宋体" w:cs="Times New Roman"/>
                <w:szCs w:val="24"/>
              </w:rPr>
            </w:pPr>
            <w:r>
              <w:rPr>
                <w:rFonts w:hint="eastAsia" w:hAnsi="宋体" w:cs="Times New Roman"/>
                <w:szCs w:val="24"/>
                <w:lang w:eastAsia="zh-CN"/>
              </w:rPr>
              <w:t>（</w:t>
            </w:r>
            <w:r>
              <w:rPr>
                <w:rFonts w:hint="eastAsia" w:hAnsi="宋体" w:cs="Times New Roman"/>
                <w:szCs w:val="24"/>
                <w:lang w:val="en-US" w:eastAsia="zh-CN"/>
              </w:rPr>
              <w:t>1</w:t>
            </w:r>
            <w:r>
              <w:rPr>
                <w:rFonts w:hint="eastAsia" w:hAnsi="宋体" w:cs="Times New Roman"/>
                <w:szCs w:val="24"/>
                <w:lang w:eastAsia="zh-CN"/>
              </w:rPr>
              <w:t>）</w:t>
            </w:r>
            <w:r>
              <w:rPr>
                <w:rFonts w:hAnsi="宋体" w:cs="Times New Roman"/>
                <w:szCs w:val="24"/>
              </w:rPr>
              <w:t>施工废水防治措施</w:t>
            </w:r>
          </w:p>
          <w:p w14:paraId="1675D128">
            <w:pPr>
              <w:pStyle w:val="62"/>
              <w:ind w:firstLine="480"/>
              <w:jc w:val="left"/>
              <w:rPr>
                <w:rFonts w:hAnsi="宋体" w:cs="Times New Roman"/>
                <w:szCs w:val="24"/>
              </w:rPr>
            </w:pPr>
            <w:r>
              <w:rPr>
                <w:rFonts w:hAnsi="宋体" w:cs="Times New Roman"/>
                <w:szCs w:val="24"/>
              </w:rPr>
              <w:t>施工设备与车辆清洗必须集中到施工生产区进行，并在施工生产区布设沉淀池和隔油池</w:t>
            </w:r>
            <w:r>
              <w:rPr>
                <w:rFonts w:hint="eastAsia" w:hAnsi="宋体" w:cs="Times New Roman"/>
                <w:szCs w:val="24"/>
              </w:rPr>
              <w:t>，废水统一</w:t>
            </w:r>
            <w:r>
              <w:rPr>
                <w:rFonts w:hAnsi="宋体" w:cs="Times New Roman"/>
                <w:szCs w:val="24"/>
              </w:rPr>
              <w:t>收集后进入</w:t>
            </w:r>
            <w:r>
              <w:rPr>
                <w:rFonts w:hint="eastAsia" w:hAnsi="宋体" w:cs="Times New Roman"/>
                <w:szCs w:val="24"/>
              </w:rPr>
              <w:t>隔油</w:t>
            </w:r>
            <w:r>
              <w:rPr>
                <w:rFonts w:hAnsi="宋体" w:cs="Times New Roman"/>
                <w:szCs w:val="24"/>
              </w:rPr>
              <w:t>沉淀池</w:t>
            </w:r>
            <w:r>
              <w:rPr>
                <w:rFonts w:hint="eastAsia" w:hAnsi="宋体" w:cs="Times New Roman"/>
                <w:szCs w:val="24"/>
              </w:rPr>
              <w:t>处理</w:t>
            </w:r>
            <w:r>
              <w:rPr>
                <w:rFonts w:hAnsi="宋体" w:cs="Times New Roman"/>
                <w:szCs w:val="24"/>
              </w:rPr>
              <w:t>，</w:t>
            </w:r>
            <w:r>
              <w:rPr>
                <w:rFonts w:hint="eastAsia" w:hAnsi="宋体" w:cs="Times New Roman"/>
                <w:szCs w:val="24"/>
              </w:rPr>
              <w:t>经</w:t>
            </w:r>
            <w:r>
              <w:rPr>
                <w:rFonts w:hAnsi="宋体" w:cs="Times New Roman"/>
                <w:szCs w:val="24"/>
              </w:rPr>
              <w:t>处理后的</w:t>
            </w:r>
            <w:r>
              <w:rPr>
                <w:rFonts w:hint="eastAsia" w:hAnsi="宋体" w:cs="Times New Roman"/>
                <w:szCs w:val="24"/>
              </w:rPr>
              <w:t>废水</w:t>
            </w:r>
            <w:r>
              <w:rPr>
                <w:rFonts w:hAnsi="宋体" w:cs="Times New Roman"/>
                <w:szCs w:val="24"/>
              </w:rPr>
              <w:t>全部回用于车辆清洗或道路洒水</w:t>
            </w:r>
            <w:r>
              <w:rPr>
                <w:rFonts w:hint="eastAsia" w:hAnsi="宋体" w:cs="Times New Roman"/>
                <w:szCs w:val="24"/>
              </w:rPr>
              <w:t>，</w:t>
            </w:r>
            <w:r>
              <w:rPr>
                <w:rFonts w:hAnsi="宋体" w:cs="Times New Roman"/>
                <w:szCs w:val="24"/>
              </w:rPr>
              <w:t>由于油池中分离出的油污量很小，可收集后放在专门的贮存场所，最终统一交由有资质的处置单位回收利用或合理处置，沉淀污泥干化后</w:t>
            </w:r>
            <w:r>
              <w:rPr>
                <w:rFonts w:hint="eastAsia" w:hAnsi="宋体" w:cs="Times New Roman"/>
                <w:szCs w:val="24"/>
              </w:rPr>
              <w:t>同生活垃圾一同委托当地环卫部门清运、处置。</w:t>
            </w:r>
          </w:p>
          <w:p w14:paraId="2B256EEE">
            <w:pPr>
              <w:pStyle w:val="62"/>
              <w:ind w:firstLine="480"/>
              <w:rPr>
                <w:rFonts w:hAnsi="宋体" w:cs="Times New Roman"/>
                <w:color w:val="FF0000"/>
              </w:rPr>
            </w:pPr>
            <w:r>
              <w:rPr>
                <w:rFonts w:hAnsi="宋体" w:cs="Times New Roman"/>
                <w:color w:val="FF0000"/>
              </w:rPr>
              <w:t>为确保</w:t>
            </w:r>
            <w:r>
              <w:rPr>
                <w:rFonts w:hint="eastAsia" w:hAnsi="宋体" w:cs="Times New Roman"/>
                <w:color w:val="FF0000"/>
                <w:lang w:val="en-US" w:eastAsia="zh-CN"/>
              </w:rPr>
              <w:t>各水库</w:t>
            </w:r>
            <w:r>
              <w:rPr>
                <w:rFonts w:hAnsi="宋体" w:cs="Times New Roman"/>
                <w:color w:val="FF0000"/>
              </w:rPr>
              <w:t>不受工程施工影响，建设单位施工工程中应采取必要的措施加以保护。</w:t>
            </w:r>
          </w:p>
          <w:p w14:paraId="24778298">
            <w:pPr>
              <w:pStyle w:val="62"/>
              <w:ind w:firstLine="480"/>
              <w:rPr>
                <w:rFonts w:hAnsi="宋体" w:cs="Times New Roman"/>
                <w:color w:val="FF0000"/>
              </w:rPr>
            </w:pPr>
            <w:r>
              <w:rPr>
                <w:rFonts w:hAnsi="宋体" w:cs="Times New Roman"/>
                <w:color w:val="FF0000"/>
              </w:rPr>
              <w:t>①严格划定施工边界，</w:t>
            </w:r>
            <w:r>
              <w:rPr>
                <w:rFonts w:hint="eastAsia" w:hAnsi="宋体" w:cs="Times New Roman"/>
                <w:color w:val="FF0000"/>
              </w:rPr>
              <w:t>严禁任意扩大施工区域，严禁野蛮施工</w:t>
            </w:r>
            <w:r>
              <w:rPr>
                <w:rFonts w:hAnsi="宋体" w:cs="Times New Roman"/>
                <w:color w:val="FF0000"/>
              </w:rPr>
              <w:t>。</w:t>
            </w:r>
          </w:p>
          <w:p w14:paraId="667F97A8">
            <w:pPr>
              <w:pStyle w:val="62"/>
              <w:ind w:firstLine="480"/>
              <w:rPr>
                <w:rFonts w:hAnsi="宋体" w:cs="Times New Roman"/>
                <w:color w:val="FF0000"/>
              </w:rPr>
            </w:pPr>
            <w:r>
              <w:rPr>
                <w:rFonts w:hAnsi="宋体" w:cs="Times New Roman"/>
                <w:color w:val="FF0000"/>
              </w:rPr>
              <w:t>②临近</w:t>
            </w:r>
            <w:r>
              <w:rPr>
                <w:rFonts w:hint="eastAsia" w:hAnsi="宋体" w:cs="Times New Roman"/>
                <w:color w:val="FF0000"/>
                <w:lang w:val="en-US" w:eastAsia="zh-CN"/>
              </w:rPr>
              <w:t>水库</w:t>
            </w:r>
            <w:r>
              <w:rPr>
                <w:rFonts w:hAnsi="宋体" w:cs="Times New Roman"/>
                <w:color w:val="FF0000"/>
              </w:rPr>
              <w:t>的工程施工时应设置截、排、引流以及拦挡措施，确保所有废水不进入</w:t>
            </w:r>
            <w:r>
              <w:rPr>
                <w:rFonts w:hint="eastAsia" w:hAnsi="宋体" w:cs="Times New Roman"/>
                <w:color w:val="FF0000"/>
              </w:rPr>
              <w:t>地表水环境</w:t>
            </w:r>
            <w:r>
              <w:rPr>
                <w:rFonts w:hAnsi="宋体" w:cs="Times New Roman"/>
                <w:color w:val="FF0000"/>
              </w:rPr>
              <w:t>。</w:t>
            </w:r>
          </w:p>
          <w:p w14:paraId="73652422">
            <w:pPr>
              <w:pStyle w:val="62"/>
              <w:ind w:firstLine="480"/>
              <w:rPr>
                <w:rFonts w:hAnsi="宋体" w:cs="Times New Roman"/>
                <w:color w:val="FF0000"/>
              </w:rPr>
            </w:pPr>
            <w:r>
              <w:rPr>
                <w:rFonts w:hAnsi="宋体" w:cs="Times New Roman"/>
                <w:color w:val="FF0000"/>
              </w:rPr>
              <w:t>③水库附近工程施工期间做到边施工边绿化，土方开挖、表土堆存等应合理有序，尽可能选择降雨较少的旱季施工，最大限度减少水土流失发生的可能性，同时应做好工程加固措施，以防止山体滑坡等事故风险发生。</w:t>
            </w:r>
          </w:p>
          <w:p w14:paraId="49820ED5">
            <w:pPr>
              <w:pStyle w:val="62"/>
              <w:ind w:firstLine="480"/>
              <w:rPr>
                <w:rFonts w:hint="eastAsia" w:hAnsi="宋体" w:cs="Times New Roman"/>
                <w:color w:val="FF0000"/>
              </w:rPr>
            </w:pPr>
            <w:r>
              <w:rPr>
                <w:rFonts w:hAnsi="宋体" w:cs="Times New Roman"/>
                <w:color w:val="FF0000"/>
              </w:rPr>
              <w:fldChar w:fldCharType="begin"/>
            </w:r>
            <w:r>
              <w:rPr>
                <w:rFonts w:hAnsi="宋体" w:cs="Times New Roman"/>
                <w:color w:val="FF0000"/>
              </w:rPr>
              <w:instrText xml:space="preserve"> = 4 \* GB3 \* MERGEFORMAT </w:instrText>
            </w:r>
            <w:r>
              <w:rPr>
                <w:rFonts w:hAnsi="宋体" w:cs="Times New Roman"/>
                <w:color w:val="FF0000"/>
              </w:rPr>
              <w:fldChar w:fldCharType="separate"/>
            </w:r>
            <w:r>
              <w:rPr>
                <w:rFonts w:hAnsi="宋体" w:cs="Times New Roman"/>
                <w:color w:val="FF0000"/>
              </w:rPr>
              <w:t>④</w:t>
            </w:r>
            <w:r>
              <w:rPr>
                <w:rFonts w:hAnsi="宋体" w:cs="Times New Roman"/>
                <w:color w:val="FF0000"/>
              </w:rPr>
              <w:fldChar w:fldCharType="end"/>
            </w:r>
            <w:r>
              <w:rPr>
                <w:rFonts w:hAnsi="宋体" w:cs="Times New Roman"/>
                <w:color w:val="FF0000"/>
              </w:rPr>
              <w:t>运输车辆</w:t>
            </w:r>
            <w:r>
              <w:rPr>
                <w:rFonts w:hint="eastAsia" w:hAnsi="宋体" w:cs="Times New Roman"/>
                <w:color w:val="FF0000"/>
              </w:rPr>
              <w:t>运输</w:t>
            </w:r>
            <w:r>
              <w:rPr>
                <w:rFonts w:hAnsi="宋体" w:cs="Times New Roman"/>
                <w:color w:val="FF0000"/>
              </w:rPr>
              <w:t>时应减速行驶，防止建筑材料和弃渣掉落。施工弃渣应及时清运，</w:t>
            </w:r>
            <w:r>
              <w:rPr>
                <w:rFonts w:hint="eastAsia" w:hAnsi="宋体" w:cs="Times New Roman"/>
                <w:color w:val="FF0000"/>
              </w:rPr>
              <w:t>禁止乱弃。</w:t>
            </w:r>
          </w:p>
          <w:p w14:paraId="5D7AAE3A">
            <w:pPr>
              <w:pStyle w:val="62"/>
              <w:ind w:firstLine="480"/>
              <w:jc w:val="left"/>
              <w:rPr>
                <w:rFonts w:hAnsi="宋体" w:cs="Times New Roman"/>
                <w:color w:val="000000" w:themeColor="text1"/>
                <w:szCs w:val="24"/>
                <w:highlight w:val="none"/>
                <w14:textFill>
                  <w14:solidFill>
                    <w14:schemeClr w14:val="tx1"/>
                  </w14:solidFill>
                </w14:textFill>
              </w:rPr>
            </w:pPr>
            <w:r>
              <w:rPr>
                <w:rFonts w:hint="eastAsia" w:hAnsi="宋体" w:cs="Times New Roman"/>
                <w:color w:val="000000" w:themeColor="text1"/>
                <w:szCs w:val="24"/>
                <w:highlight w:val="none"/>
                <w:lang w:val="en-US" w:eastAsia="zh-CN"/>
                <w14:textFill>
                  <w14:solidFill>
                    <w14:schemeClr w14:val="tx1"/>
                  </w14:solidFill>
                </w14:textFill>
              </w:rPr>
              <w:t>（2）</w:t>
            </w:r>
            <w:r>
              <w:rPr>
                <w:rFonts w:hAnsi="宋体" w:cs="Times New Roman"/>
                <w:color w:val="000000" w:themeColor="text1"/>
                <w:szCs w:val="24"/>
                <w:highlight w:val="none"/>
                <w14:textFill>
                  <w14:solidFill>
                    <w14:schemeClr w14:val="tx1"/>
                  </w14:solidFill>
                </w14:textFill>
              </w:rPr>
              <w:t>施工生活污水防治措施</w:t>
            </w:r>
          </w:p>
          <w:p w14:paraId="3216C0A0">
            <w:pPr>
              <w:pStyle w:val="62"/>
              <w:ind w:firstLine="480"/>
              <w:jc w:val="left"/>
              <w:rPr>
                <w:rFonts w:hint="eastAsia"/>
                <w:i w:val="0"/>
                <w:iCs w:val="0"/>
                <w:color w:val="FF0000"/>
                <w:highlight w:val="none"/>
                <w:u w:val="none"/>
              </w:rPr>
            </w:pPr>
            <w:r>
              <w:rPr>
                <w:rFonts w:hAnsi="宋体" w:cs="Times New Roman"/>
                <w:color w:val="FF0000"/>
              </w:rPr>
              <w:t>施工</w:t>
            </w:r>
            <w:r>
              <w:rPr>
                <w:rFonts w:hint="eastAsia" w:hAnsi="宋体" w:cs="Times New Roman"/>
                <w:color w:val="FF0000"/>
                <w:lang w:val="en-US" w:eastAsia="zh-CN"/>
              </w:rPr>
              <w:t>区</w:t>
            </w:r>
            <w:r>
              <w:rPr>
                <w:rFonts w:hint="eastAsia" w:hAnsi="宋体" w:cs="Times New Roman"/>
                <w:color w:val="FF0000"/>
              </w:rPr>
              <w:t>设临时旱厕，粪污集中收集后定期清理，用于周边旱地、农田施肥，不外排。其他生活污水污染物含量较低，经沉淀池处理后浇灌周边林地，</w:t>
            </w:r>
            <w:r>
              <w:rPr>
                <w:rFonts w:hint="eastAsia" w:hAnsi="宋体" w:cs="Times New Roman"/>
                <w:color w:val="FF0000"/>
                <w:szCs w:val="24"/>
                <w:highlight w:val="none"/>
              </w:rPr>
              <w:t>对环境影响较小。</w:t>
            </w:r>
          </w:p>
          <w:p w14:paraId="2D329AF2">
            <w:pPr>
              <w:adjustRightInd w:val="0"/>
              <w:snapToGrid w:val="0"/>
              <w:spacing w:line="360" w:lineRule="auto"/>
              <w:jc w:val="left"/>
              <w:rPr>
                <w:rFonts w:eastAsiaTheme="minorEastAsia"/>
                <w:b/>
                <w:bCs/>
                <w:sz w:val="24"/>
              </w:rPr>
            </w:pPr>
            <w:r>
              <w:rPr>
                <w:rFonts w:eastAsiaTheme="minorEastAsia"/>
                <w:b/>
                <w:bCs/>
                <w:sz w:val="24"/>
              </w:rPr>
              <w:t>5.4施工期噪声污染控制措施</w:t>
            </w:r>
          </w:p>
          <w:p w14:paraId="7C116F8F">
            <w:pPr>
              <w:pStyle w:val="62"/>
              <w:ind w:firstLine="480"/>
              <w:jc w:val="left"/>
              <w:rPr>
                <w:rFonts w:cs="Times New Roman" w:eastAsiaTheme="minorEastAsia"/>
                <w:szCs w:val="24"/>
              </w:rPr>
            </w:pPr>
            <w:r>
              <w:rPr>
                <w:rFonts w:cs="Times New Roman" w:eastAsiaTheme="minorEastAsia"/>
                <w:szCs w:val="24"/>
              </w:rPr>
              <w:t>施工过程中加强设备的维护和保养，保持机械润滑，降低运行噪声。施工单位必须选用符合国家有关环保标准的施工机械，尽量选用低噪声设备和施工工艺。应尽量缩短高噪音机械设备的使用时间，配备、使用减震坐垫和隔音装置，降低噪声源的声级强度。施工中加强各种机械设备的维修和保养，做好机械设备使用前的检修，使设备性能处于良好状态，运行时可减少噪声。优化施工工艺，减小施工爆破噪声；爆破作业须在上午8:30~11:30、下午2:30~6:30进行；并尽量知会受影响的居民，做好防范措施。此外，要求在下一步设计阶段对施工布置进行优化，将高噪声设备远离施工场界布置。</w:t>
            </w:r>
          </w:p>
          <w:p w14:paraId="27433FA3">
            <w:pPr>
              <w:pStyle w:val="62"/>
              <w:ind w:firstLine="480"/>
              <w:jc w:val="left"/>
              <w:rPr>
                <w:rFonts w:cs="Times New Roman" w:eastAsiaTheme="minorEastAsia"/>
                <w:szCs w:val="24"/>
                <w:u w:val="none"/>
              </w:rPr>
            </w:pPr>
            <w:r>
              <w:rPr>
                <w:rFonts w:cs="Times New Roman" w:eastAsiaTheme="minorEastAsia"/>
                <w:szCs w:val="24"/>
                <w:u w:val="none"/>
              </w:rPr>
              <w:t>加强道路交通管理，对外交通干线上的运输车辆在居民聚居点时应适当减速行驶，并禁鸣高音喇叭；运输时间应相对固定，应避免夜间运输。在位于各支路起点附近的居民点设置减速墩、禁鸣标志。</w:t>
            </w:r>
          </w:p>
          <w:p w14:paraId="001D6ADF">
            <w:pPr>
              <w:adjustRightInd w:val="0"/>
              <w:snapToGrid w:val="0"/>
              <w:spacing w:line="360" w:lineRule="auto"/>
              <w:ind w:firstLine="480" w:firstLineChars="200"/>
              <w:jc w:val="left"/>
              <w:rPr>
                <w:sz w:val="24"/>
              </w:rPr>
            </w:pPr>
            <w:r>
              <w:rPr>
                <w:rFonts w:eastAsiaTheme="minorEastAsia"/>
                <w:sz w:val="24"/>
              </w:rPr>
              <w:t>加强与敏感点的沟通，在施工前首先在工程影响范围内，特别是工程周边敏感目标处，以张贴公告或其他方式对施工情况发布公告，以获得谅解。</w:t>
            </w:r>
          </w:p>
          <w:p w14:paraId="252E8EE1">
            <w:pPr>
              <w:adjustRightInd w:val="0"/>
              <w:snapToGrid w:val="0"/>
              <w:spacing w:line="360" w:lineRule="auto"/>
              <w:jc w:val="left"/>
              <w:rPr>
                <w:b/>
                <w:bCs/>
                <w:sz w:val="24"/>
              </w:rPr>
            </w:pPr>
            <w:r>
              <w:rPr>
                <w:rFonts w:hint="eastAsia"/>
                <w:b/>
                <w:bCs/>
                <w:sz w:val="24"/>
              </w:rPr>
              <w:t>5.5施工期固体废物污染控制措施</w:t>
            </w:r>
          </w:p>
          <w:p w14:paraId="298104B9">
            <w:pPr>
              <w:pStyle w:val="62"/>
              <w:ind w:firstLine="480"/>
              <w:jc w:val="left"/>
              <w:rPr>
                <w:rFonts w:hAnsi="宋体" w:cs="Times New Roman"/>
              </w:rPr>
            </w:pPr>
            <w:r>
              <w:rPr>
                <w:rFonts w:hAnsi="宋体" w:cs="Times New Roman"/>
              </w:rPr>
              <w:t>施工期产生的弃渣存放于专门的弃渣场，并采取水土保持措施，防止水土流失。</w:t>
            </w:r>
          </w:p>
          <w:p w14:paraId="7EBA8935">
            <w:pPr>
              <w:pStyle w:val="62"/>
              <w:ind w:firstLine="480"/>
              <w:jc w:val="left"/>
              <w:rPr>
                <w:rFonts w:hAnsi="宋体" w:cs="Times New Roman"/>
              </w:rPr>
            </w:pPr>
            <w:r>
              <w:rPr>
                <w:rFonts w:hAnsi="宋体" w:cs="Times New Roman"/>
              </w:rPr>
              <w:t>施工人员生活垃圾主要产生在施工营地，为保持施工区环境卫生，可在施工营地配备2个垃圾桶。生活垃圾产生量不大，定期收集清运至</w:t>
            </w:r>
            <w:r>
              <w:rPr>
                <w:rFonts w:hint="eastAsia" w:hAnsi="宋体" w:cs="Times New Roman"/>
              </w:rPr>
              <w:t>当地</w:t>
            </w:r>
            <w:r>
              <w:rPr>
                <w:rFonts w:hAnsi="宋体" w:cs="Times New Roman"/>
              </w:rPr>
              <w:t>垃圾中转站进行处理。</w:t>
            </w:r>
          </w:p>
          <w:p w14:paraId="72A77677">
            <w:pPr>
              <w:pStyle w:val="62"/>
              <w:ind w:firstLine="480"/>
              <w:jc w:val="left"/>
              <w:rPr>
                <w:rFonts w:hAnsi="宋体" w:cs="Times New Roman"/>
              </w:rPr>
            </w:pPr>
            <w:r>
              <w:rPr>
                <w:rFonts w:hAnsi="宋体" w:cs="Times New Roman"/>
              </w:rPr>
              <w:t>施工期施工车辆检修产生废机油，擦拭零件的抹布，以及检修含油废水经隔油池隔油处理后产生的含油污泥，均属于危险废物，需对废机油、含油抹布和含油污泥统一收集并委托具有危废处理资质的单位进行处理。加强施工期现场管理，及时清理建筑废料。</w:t>
            </w:r>
          </w:p>
          <w:p w14:paraId="6CC7835C">
            <w:pPr>
              <w:adjustRightInd w:val="0"/>
              <w:snapToGrid w:val="0"/>
              <w:spacing w:line="360" w:lineRule="auto"/>
              <w:jc w:val="left"/>
              <w:rPr>
                <w:b/>
                <w:bCs/>
                <w:sz w:val="28"/>
                <w:szCs w:val="28"/>
              </w:rPr>
            </w:pPr>
            <w:r>
              <w:rPr>
                <w:rFonts w:hint="eastAsia"/>
                <w:b/>
                <w:bCs/>
                <w:sz w:val="24"/>
              </w:rPr>
              <w:t>5.</w:t>
            </w:r>
            <w:r>
              <w:rPr>
                <w:b/>
                <w:bCs/>
                <w:sz w:val="24"/>
              </w:rPr>
              <w:t>6</w:t>
            </w:r>
            <w:r>
              <w:rPr>
                <w:rFonts w:hint="eastAsia"/>
                <w:b/>
                <w:bCs/>
                <w:sz w:val="24"/>
              </w:rPr>
              <w:t>施工期水土流失防治措施</w:t>
            </w:r>
          </w:p>
          <w:p w14:paraId="2051D471">
            <w:pPr>
              <w:adjustRightInd w:val="0"/>
              <w:snapToGrid w:val="0"/>
              <w:spacing w:line="360" w:lineRule="auto"/>
              <w:ind w:firstLine="480" w:firstLineChars="200"/>
              <w:jc w:val="left"/>
              <w:rPr>
                <w:sz w:val="24"/>
              </w:rPr>
            </w:pPr>
            <w:r>
              <w:rPr>
                <w:sz w:val="24"/>
              </w:rPr>
              <w:t>本项目水土流失防治措施体系图见下图：</w:t>
            </w:r>
          </w:p>
          <w:p w14:paraId="663429C7">
            <w:pPr>
              <w:pStyle w:val="58"/>
              <w:adjustRightInd w:val="0"/>
              <w:snapToGrid w:val="0"/>
              <w:ind w:firstLine="0" w:firstLineChars="0"/>
              <w:jc w:val="left"/>
              <w:rPr>
                <w:rFonts w:hAnsi="Times New Roman"/>
              </w:rPr>
            </w:pPr>
            <w:r>
              <w:object>
                <v:shape id="_x0000_i1028" o:spt="75" type="#_x0000_t75" style="height:416.95pt;width:424.5pt;" o:ole="t" filled="f" o:preferrelative="t" stroked="f" coordsize="21600,21600">
                  <v:path/>
                  <v:fill on="f" focussize="0,0"/>
                  <v:stroke on="f" joinstyle="miter"/>
                  <v:imagedata r:id="rId58" o:title=""/>
                  <o:lock v:ext="edit" aspectratio="t"/>
                  <w10:wrap type="none"/>
                  <w10:anchorlock/>
                </v:shape>
                <o:OLEObject Type="Embed" ProgID="Visio.Drawing.15" ShapeID="_x0000_i1028" DrawAspect="Content" ObjectID="_1468075728" r:id="rId57">
                  <o:LockedField>false</o:LockedField>
                </o:OLEObject>
              </w:object>
            </w:r>
          </w:p>
          <w:p w14:paraId="21A077BE">
            <w:pPr>
              <w:pStyle w:val="58"/>
              <w:adjustRightInd w:val="0"/>
              <w:snapToGrid w:val="0"/>
              <w:ind w:firstLine="0" w:firstLineChars="0"/>
              <w:jc w:val="center"/>
              <w:rPr>
                <w:rFonts w:hAnsi="Times New Roman"/>
                <w:sz w:val="21"/>
                <w:szCs w:val="21"/>
              </w:rPr>
            </w:pPr>
            <w:r>
              <w:rPr>
                <w:rFonts w:hAnsi="Times New Roman"/>
                <w:b/>
                <w:bCs/>
                <w:kern w:val="2"/>
                <w:sz w:val="21"/>
                <w:szCs w:val="21"/>
              </w:rPr>
              <w:t>图</w:t>
            </w:r>
            <w:r>
              <w:rPr>
                <w:rFonts w:hint="eastAsia" w:hAnsi="Times New Roman"/>
                <w:b/>
                <w:bCs/>
                <w:kern w:val="2"/>
                <w:sz w:val="21"/>
                <w:szCs w:val="21"/>
              </w:rPr>
              <w:t>5</w:t>
            </w:r>
            <w:r>
              <w:rPr>
                <w:rFonts w:hAnsi="Times New Roman"/>
                <w:b/>
                <w:bCs/>
                <w:kern w:val="2"/>
                <w:sz w:val="21"/>
                <w:szCs w:val="21"/>
              </w:rPr>
              <w:t>-1</w:t>
            </w:r>
            <w:r>
              <w:rPr>
                <w:rFonts w:hint="eastAsia" w:hAnsi="Times New Roman"/>
                <w:b/>
                <w:bCs/>
                <w:kern w:val="2"/>
                <w:sz w:val="21"/>
                <w:szCs w:val="21"/>
                <w:lang w:val="en-US" w:eastAsia="zh-CN"/>
              </w:rPr>
              <w:t xml:space="preserve">  </w:t>
            </w:r>
            <w:r>
              <w:rPr>
                <w:rFonts w:hAnsi="Times New Roman"/>
                <w:b/>
                <w:bCs/>
                <w:kern w:val="2"/>
                <w:sz w:val="21"/>
                <w:szCs w:val="21"/>
              </w:rPr>
              <w:t>水土流失防治措施体系图</w:t>
            </w:r>
          </w:p>
          <w:p w14:paraId="7BD85BE8">
            <w:pPr>
              <w:pStyle w:val="58"/>
              <w:adjustRightInd w:val="0"/>
              <w:snapToGrid w:val="0"/>
              <w:ind w:firstLine="0" w:firstLineChars="0"/>
              <w:jc w:val="left"/>
              <w:rPr>
                <w:rFonts w:hAnsi="Times New Roman"/>
                <w:b/>
                <w:bCs/>
                <w:kern w:val="2"/>
                <w:szCs w:val="24"/>
              </w:rPr>
            </w:pPr>
            <w:r>
              <w:rPr>
                <w:rFonts w:hAnsi="Times New Roman"/>
                <w:b/>
                <w:bCs/>
                <w:kern w:val="2"/>
                <w:szCs w:val="24"/>
              </w:rPr>
              <w:t>5.</w:t>
            </w:r>
            <w:r>
              <w:rPr>
                <w:rFonts w:hint="eastAsia" w:hAnsi="Times New Roman"/>
                <w:b/>
                <w:bCs/>
                <w:kern w:val="2"/>
                <w:szCs w:val="24"/>
              </w:rPr>
              <w:t>6.1</w:t>
            </w:r>
            <w:r>
              <w:rPr>
                <w:rFonts w:hAnsi="Times New Roman"/>
                <w:b/>
                <w:bCs/>
                <w:kern w:val="2"/>
                <w:szCs w:val="24"/>
              </w:rPr>
              <w:t>风</w:t>
            </w:r>
            <w:r>
              <w:rPr>
                <w:rFonts w:hint="eastAsia" w:hAnsi="Times New Roman"/>
                <w:b/>
                <w:bCs/>
                <w:kern w:val="2"/>
                <w:szCs w:val="24"/>
              </w:rPr>
              <w:t>电</w:t>
            </w:r>
            <w:r>
              <w:rPr>
                <w:rFonts w:hAnsi="Times New Roman"/>
                <w:b/>
                <w:bCs/>
                <w:kern w:val="2"/>
                <w:szCs w:val="24"/>
              </w:rPr>
              <w:t>机组区水土流失防治措施</w:t>
            </w:r>
          </w:p>
          <w:p w14:paraId="2B1D41B9">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3B7D9272">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Ansi="宋体"/>
                <w:sz w:val="24"/>
              </w:rPr>
              <w:t xml:space="preserve"> </w:t>
            </w:r>
            <w:r>
              <w:rPr>
                <w:rFonts w:hint="eastAsia" w:hAnsi="宋体"/>
                <w:sz w:val="24"/>
              </w:rPr>
              <w:t>排水措施</w:t>
            </w:r>
          </w:p>
          <w:p w14:paraId="0E321B53">
            <w:pPr>
              <w:autoSpaceDE w:val="0"/>
              <w:adjustRightInd w:val="0"/>
              <w:snapToGrid w:val="0"/>
              <w:spacing w:line="360" w:lineRule="auto"/>
              <w:ind w:firstLine="480" w:firstLineChars="200"/>
              <w:jc w:val="left"/>
              <w:rPr>
                <w:rFonts w:hAnsi="宋体"/>
                <w:sz w:val="24"/>
              </w:rPr>
            </w:pPr>
            <w:r>
              <w:rPr>
                <w:rFonts w:hint="eastAsia" w:hAnsi="宋体"/>
                <w:sz w:val="24"/>
              </w:rPr>
              <w:t>风机安装场地平整后，场地周边设置排水沟，并与检修道路的排水沟或周边原有排水系统连接。</w:t>
            </w:r>
          </w:p>
          <w:p w14:paraId="1629A9AF">
            <w:pPr>
              <w:autoSpaceDE w:val="0"/>
              <w:adjustRightInd w:val="0"/>
              <w:snapToGrid w:val="0"/>
              <w:spacing w:line="360" w:lineRule="auto"/>
              <w:ind w:firstLine="480" w:firstLineChars="200"/>
              <w:jc w:val="left"/>
              <w:rPr>
                <w:rFonts w:hAnsi="宋体"/>
                <w:sz w:val="24"/>
              </w:rPr>
            </w:pPr>
            <w:r>
              <w:rPr>
                <w:rFonts w:hint="eastAsia" w:hAnsi="宋体"/>
                <w:sz w:val="24"/>
              </w:rPr>
              <w:t>永久排水沟采用浆砌石砌筑，断面根据当地暴雨特征值与汇流面积按明渠均匀流公式计算确定。</w:t>
            </w:r>
          </w:p>
          <w:p w14:paraId="3821382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沉沙措施</w:t>
            </w:r>
          </w:p>
          <w:p w14:paraId="274D0DF2">
            <w:pPr>
              <w:autoSpaceDE w:val="0"/>
              <w:adjustRightInd w:val="0"/>
              <w:snapToGrid w:val="0"/>
              <w:spacing w:line="360" w:lineRule="auto"/>
              <w:ind w:firstLine="480" w:firstLineChars="200"/>
              <w:jc w:val="left"/>
              <w:rPr>
                <w:rFonts w:hAnsi="宋体"/>
                <w:sz w:val="24"/>
              </w:rPr>
            </w:pPr>
            <w:r>
              <w:rPr>
                <w:rFonts w:hint="eastAsia" w:hAnsi="宋体"/>
                <w:sz w:val="24"/>
              </w:rPr>
              <w:t>排水沟出口设置沉沙措施，经</w:t>
            </w:r>
            <w:r>
              <w:rPr>
                <w:rFonts w:hAnsi="宋体"/>
                <w:sz w:val="24"/>
              </w:rPr>
              <w:t>Ⅰ</w:t>
            </w:r>
            <w:r>
              <w:rPr>
                <w:rFonts w:hint="eastAsia" w:hAnsi="宋体"/>
                <w:sz w:val="24"/>
              </w:rPr>
              <w:t>型沉沙池后顺接新建道路排水沟或自然沟道，沉沙池规格为</w:t>
            </w:r>
            <w:r>
              <w:rPr>
                <w:rFonts w:hAnsi="宋体"/>
                <w:sz w:val="24"/>
              </w:rPr>
              <w:t>1.0m×1.0m×1.0m(</w:t>
            </w:r>
            <w:r>
              <w:rPr>
                <w:rFonts w:hint="eastAsia" w:hAnsi="宋体"/>
                <w:sz w:val="24"/>
              </w:rPr>
              <w:t>长</w:t>
            </w:r>
            <w:r>
              <w:rPr>
                <w:rFonts w:hAnsi="宋体"/>
                <w:sz w:val="24"/>
              </w:rPr>
              <w:t>×</w:t>
            </w:r>
            <w:r>
              <w:rPr>
                <w:rFonts w:hint="eastAsia" w:hAnsi="宋体"/>
                <w:sz w:val="24"/>
              </w:rPr>
              <w:t>宽</w:t>
            </w:r>
            <w:r>
              <w:rPr>
                <w:rFonts w:hAnsi="宋体"/>
                <w:sz w:val="24"/>
              </w:rPr>
              <w:t>×</w:t>
            </w:r>
            <w:r>
              <w:rPr>
                <w:rFonts w:hint="eastAsia" w:hAnsi="宋体"/>
                <w:sz w:val="24"/>
              </w:rPr>
              <w:t>深</w:t>
            </w:r>
            <w:r>
              <w:rPr>
                <w:rFonts w:hAnsi="宋体"/>
                <w:sz w:val="24"/>
              </w:rPr>
              <w:t>)</w:t>
            </w:r>
            <w:r>
              <w:rPr>
                <w:rFonts w:hint="eastAsia" w:hAnsi="宋体"/>
                <w:sz w:val="24"/>
              </w:rPr>
              <w:t>，池底夯实后铺</w:t>
            </w:r>
            <w:r>
              <w:rPr>
                <w:rFonts w:hAnsi="宋体"/>
                <w:sz w:val="24"/>
              </w:rPr>
              <w:t>C15</w:t>
            </w:r>
            <w:r>
              <w:rPr>
                <w:rFonts w:hint="eastAsia" w:hAnsi="宋体"/>
                <w:sz w:val="24"/>
              </w:rPr>
              <w:t>混凝土垫层，厚度</w:t>
            </w:r>
            <w:r>
              <w:rPr>
                <w:rFonts w:hAnsi="宋体"/>
                <w:sz w:val="24"/>
              </w:rPr>
              <w:t>10cm</w:t>
            </w:r>
            <w:r>
              <w:rPr>
                <w:rFonts w:hint="eastAsia" w:hAnsi="宋体"/>
                <w:sz w:val="24"/>
              </w:rPr>
              <w:t>，池身用</w:t>
            </w:r>
            <w:r>
              <w:rPr>
                <w:rFonts w:hAnsi="宋体"/>
                <w:sz w:val="24"/>
              </w:rPr>
              <w:t>M7.5</w:t>
            </w:r>
            <w:r>
              <w:rPr>
                <w:rFonts w:hint="eastAsia" w:hAnsi="宋体"/>
                <w:sz w:val="24"/>
              </w:rPr>
              <w:t>片石砌筑，并以</w:t>
            </w:r>
            <w:r>
              <w:rPr>
                <w:rFonts w:hAnsi="宋体"/>
                <w:sz w:val="24"/>
              </w:rPr>
              <w:t>M10</w:t>
            </w:r>
            <w:r>
              <w:rPr>
                <w:rFonts w:hint="eastAsia" w:hAnsi="宋体"/>
                <w:sz w:val="24"/>
              </w:rPr>
              <w:t>水泥砂浆抹面，抹面厚度</w:t>
            </w:r>
            <w:r>
              <w:rPr>
                <w:rFonts w:hAnsi="宋体"/>
                <w:sz w:val="24"/>
              </w:rPr>
              <w:t>2cm</w:t>
            </w:r>
            <w:r>
              <w:rPr>
                <w:rFonts w:hint="eastAsia" w:hAnsi="宋体"/>
                <w:sz w:val="24"/>
              </w:rPr>
              <w:t>。沉沙池投入运行后需定期进行清淤。</w:t>
            </w:r>
          </w:p>
          <w:p w14:paraId="28612B1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土地整治措施</w:t>
            </w:r>
          </w:p>
          <w:p w14:paraId="249C60A1">
            <w:pPr>
              <w:autoSpaceDE w:val="0"/>
              <w:adjustRightInd w:val="0"/>
              <w:snapToGrid w:val="0"/>
              <w:spacing w:line="360" w:lineRule="auto"/>
              <w:ind w:firstLine="480" w:firstLineChars="200"/>
              <w:jc w:val="left"/>
              <w:rPr>
                <w:rFonts w:hAnsi="宋体"/>
                <w:sz w:val="24"/>
              </w:rPr>
            </w:pPr>
            <w:r>
              <w:rPr>
                <w:rFonts w:hint="eastAsia" w:hAnsi="宋体"/>
                <w:sz w:val="24"/>
              </w:rPr>
              <w:t>风电机组区施工完毕，对风机平台、风机平台填方边坡采取土地整治措施，采用全面整地，为实施植物措施做好准备工作。</w:t>
            </w:r>
          </w:p>
          <w:p w14:paraId="38C95EDC">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Ansi="宋体"/>
                <w:sz w:val="24"/>
              </w:rPr>
              <w:t>表土剥离及回填</w:t>
            </w:r>
          </w:p>
          <w:p w14:paraId="2CF09874">
            <w:pPr>
              <w:autoSpaceDE w:val="0"/>
              <w:adjustRightInd w:val="0"/>
              <w:snapToGrid w:val="0"/>
              <w:spacing w:line="360" w:lineRule="auto"/>
              <w:ind w:firstLine="480" w:firstLineChars="200"/>
              <w:jc w:val="left"/>
              <w:rPr>
                <w:rFonts w:hAnsi="宋体"/>
                <w:sz w:val="24"/>
              </w:rPr>
            </w:pPr>
            <w:r>
              <w:rPr>
                <w:rFonts w:hint="eastAsia" w:hAnsi="宋体"/>
                <w:sz w:val="24"/>
              </w:rPr>
              <w:t>风机平台场平前将场地内表土进行剥离，剥离的表土集中起来堆存在平台范围内，剥离厚度按</w:t>
            </w:r>
            <w:r>
              <w:rPr>
                <w:rFonts w:hAnsi="宋体"/>
                <w:sz w:val="24"/>
              </w:rPr>
              <w:t>20cm</w:t>
            </w:r>
            <w:r>
              <w:rPr>
                <w:rFonts w:hint="eastAsia" w:hAnsi="宋体"/>
                <w:sz w:val="24"/>
              </w:rPr>
              <w:t>考虑。实施植被恢复措施前，在植物措施占地上覆表土，厚度为</w:t>
            </w:r>
            <w:r>
              <w:rPr>
                <w:rFonts w:hAnsi="宋体"/>
                <w:sz w:val="24"/>
              </w:rPr>
              <w:t>30cm</w:t>
            </w:r>
            <w:r>
              <w:rPr>
                <w:rFonts w:hint="eastAsia" w:hAnsi="宋体"/>
                <w:sz w:val="24"/>
              </w:rPr>
              <w:t>。</w:t>
            </w:r>
          </w:p>
          <w:p w14:paraId="6A26610E">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1329AA3B">
            <w:pPr>
              <w:autoSpaceDE w:val="0"/>
              <w:adjustRightInd w:val="0"/>
              <w:snapToGrid w:val="0"/>
              <w:spacing w:line="360" w:lineRule="auto"/>
              <w:ind w:firstLine="480" w:firstLineChars="200"/>
              <w:jc w:val="left"/>
              <w:rPr>
                <w:rFonts w:hAnsi="宋体"/>
                <w:sz w:val="24"/>
              </w:rPr>
            </w:pPr>
            <w:r>
              <w:rPr>
                <w:rFonts w:hint="eastAsia" w:hAnsi="宋体"/>
                <w:sz w:val="24"/>
              </w:rPr>
              <w:t>树草种选择按照</w:t>
            </w:r>
            <w:r>
              <w:rPr>
                <w:rFonts w:hAnsi="宋体"/>
                <w:sz w:val="24"/>
              </w:rPr>
              <w:t>“</w:t>
            </w:r>
            <w:r>
              <w:rPr>
                <w:rFonts w:hint="eastAsia" w:hAnsi="宋体"/>
                <w:sz w:val="24"/>
              </w:rPr>
              <w:t>适地适树、适地适草</w:t>
            </w:r>
            <w:r>
              <w:rPr>
                <w:rFonts w:hAnsi="宋体"/>
                <w:sz w:val="24"/>
              </w:rPr>
              <w:t>”</w:t>
            </w:r>
            <w:r>
              <w:rPr>
                <w:rFonts w:hint="eastAsia" w:hAnsi="宋体"/>
                <w:sz w:val="24"/>
              </w:rPr>
              <w:t>的原则，以当地优良土树、草种为主，以保证林草成活和正常生长，同时满足生物多样性和群落稳定性的要求。植草宜选择耐寒、抗污染、耐践踏、耐贫瘠的草种，具有改良土壤理化性状能力等，具有较强的水土保持作用。</w:t>
            </w:r>
          </w:p>
          <w:p w14:paraId="083EFD71">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75345F21">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临时沉沙措施</w:t>
            </w:r>
          </w:p>
          <w:p w14:paraId="6DCC3A5A">
            <w:pPr>
              <w:autoSpaceDE w:val="0"/>
              <w:adjustRightInd w:val="0"/>
              <w:snapToGrid w:val="0"/>
              <w:spacing w:line="360" w:lineRule="auto"/>
              <w:ind w:firstLine="480" w:firstLineChars="200"/>
              <w:jc w:val="left"/>
              <w:rPr>
                <w:rFonts w:hAnsi="宋体"/>
                <w:sz w:val="24"/>
              </w:rPr>
            </w:pPr>
            <w:r>
              <w:rPr>
                <w:rFonts w:hint="eastAsia" w:hAnsi="宋体"/>
                <w:sz w:val="24"/>
              </w:rPr>
              <w:t>沉沙池为土质沉沙池，临时沉沙池与临时排水沟配套使用。临时沉沙池采用长</w:t>
            </w:r>
            <w:r>
              <w:rPr>
                <w:rFonts w:hAnsi="宋体"/>
                <w:sz w:val="24"/>
              </w:rPr>
              <w:t>1.50m</w:t>
            </w:r>
            <w:r>
              <w:rPr>
                <w:rFonts w:hint="eastAsia" w:hAnsi="宋体"/>
                <w:sz w:val="24"/>
              </w:rPr>
              <w:t>，宽</w:t>
            </w:r>
            <w:r>
              <w:rPr>
                <w:rFonts w:hAnsi="宋体"/>
                <w:sz w:val="24"/>
              </w:rPr>
              <w:t>1.50m</w:t>
            </w:r>
            <w:r>
              <w:rPr>
                <w:rFonts w:hint="eastAsia" w:hAnsi="宋体"/>
                <w:sz w:val="24"/>
              </w:rPr>
              <w:t>，深</w:t>
            </w:r>
            <w:r>
              <w:rPr>
                <w:rFonts w:hAnsi="宋体"/>
                <w:sz w:val="24"/>
              </w:rPr>
              <w:t>1.00m</w:t>
            </w:r>
            <w:r>
              <w:rPr>
                <w:rFonts w:hint="eastAsia" w:hAnsi="宋体"/>
                <w:sz w:val="24"/>
              </w:rPr>
              <w:t>，梯形断面，内坡比</w:t>
            </w:r>
            <w:r>
              <w:rPr>
                <w:rFonts w:hAnsi="宋体"/>
                <w:sz w:val="24"/>
              </w:rPr>
              <w:t>1:0.3</w:t>
            </w:r>
            <w:r>
              <w:rPr>
                <w:rFonts w:hint="eastAsia" w:hAnsi="宋体"/>
                <w:sz w:val="24"/>
              </w:rPr>
              <w:t>。当沉沙池沉积沙石时，需及时清除。</w:t>
            </w:r>
          </w:p>
          <w:p w14:paraId="16BAAE4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临时拦挡措施</w:t>
            </w:r>
          </w:p>
          <w:p w14:paraId="19BC2D4E">
            <w:pPr>
              <w:autoSpaceDE w:val="0"/>
              <w:adjustRightInd w:val="0"/>
              <w:snapToGrid w:val="0"/>
              <w:spacing w:line="360" w:lineRule="auto"/>
              <w:ind w:firstLine="480" w:firstLineChars="200"/>
              <w:jc w:val="left"/>
              <w:rPr>
                <w:rFonts w:hAnsi="宋体"/>
                <w:sz w:val="24"/>
              </w:rPr>
            </w:pPr>
            <w:r>
              <w:rPr>
                <w:rFonts w:hint="eastAsia" w:hAnsi="宋体"/>
                <w:sz w:val="24"/>
              </w:rPr>
              <w:t>对填方边坡坡脚及临时堆土堆放地四周采用袋装土垒砌，规格为</w:t>
            </w:r>
            <w:r>
              <w:rPr>
                <w:rFonts w:hAnsi="宋体"/>
                <w:sz w:val="24"/>
              </w:rPr>
              <w:t>0.5m×0.5m</w:t>
            </w:r>
            <w:r>
              <w:rPr>
                <w:rFonts w:hint="eastAsia" w:hAnsi="宋体"/>
                <w:sz w:val="24"/>
              </w:rPr>
              <w:t>。</w:t>
            </w:r>
          </w:p>
          <w:p w14:paraId="57E9E4D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临时排水沟</w:t>
            </w:r>
          </w:p>
          <w:p w14:paraId="3E715184">
            <w:pPr>
              <w:autoSpaceDE w:val="0"/>
              <w:adjustRightInd w:val="0"/>
              <w:snapToGrid w:val="0"/>
              <w:spacing w:line="360" w:lineRule="auto"/>
              <w:ind w:firstLine="480" w:firstLineChars="200"/>
              <w:jc w:val="left"/>
              <w:rPr>
                <w:rFonts w:hAnsi="宋体"/>
                <w:sz w:val="24"/>
              </w:rPr>
            </w:pPr>
            <w:r>
              <w:rPr>
                <w:rFonts w:hint="eastAsia" w:hAnsi="宋体"/>
                <w:sz w:val="24"/>
              </w:rPr>
              <w:t>施工时，安装平台留</w:t>
            </w:r>
            <w:r>
              <w:rPr>
                <w:rFonts w:hAnsi="宋体"/>
                <w:sz w:val="24"/>
              </w:rPr>
              <w:t>1%</w:t>
            </w:r>
            <w:r>
              <w:rPr>
                <w:rFonts w:hint="eastAsia" w:hAnsi="宋体"/>
                <w:sz w:val="24"/>
              </w:rPr>
              <w:t>排水坡度，场内风机基坑、箱变以及临时堆土周边依地势布设临时排水和沉沙措施，与周边现有的排水相接，构成完整的排水体系，以防止作业面出现积水现象，并防止降水和地表径流对临时堆土的冲刷。临时排水沟断面根据当期暴雨特征值与汇流面积按明渠均匀流公式计算确定，采用梯形土沟形式，尺寸为下底宽</w:t>
            </w:r>
            <w:r>
              <w:rPr>
                <w:rFonts w:hAnsi="宋体"/>
                <w:sz w:val="24"/>
              </w:rPr>
              <w:t>0.3m</w:t>
            </w:r>
            <w:r>
              <w:rPr>
                <w:rFonts w:hint="eastAsia" w:hAnsi="宋体"/>
                <w:sz w:val="24"/>
              </w:rPr>
              <w:t>，上底宽</w:t>
            </w:r>
            <w:r>
              <w:rPr>
                <w:rFonts w:hAnsi="宋体"/>
                <w:sz w:val="24"/>
              </w:rPr>
              <w:t>0.6m</w:t>
            </w:r>
            <w:r>
              <w:rPr>
                <w:rFonts w:hint="eastAsia" w:hAnsi="宋体"/>
                <w:sz w:val="24"/>
              </w:rPr>
              <w:t>，深</w:t>
            </w:r>
            <w:r>
              <w:rPr>
                <w:rFonts w:hAnsi="宋体"/>
                <w:sz w:val="24"/>
              </w:rPr>
              <w:t>0.3m</w:t>
            </w:r>
            <w:r>
              <w:rPr>
                <w:rFonts w:hint="eastAsia" w:hAnsi="宋体"/>
                <w:sz w:val="24"/>
              </w:rPr>
              <w:t>。</w:t>
            </w:r>
          </w:p>
          <w:p w14:paraId="562BF0A5">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临时覆盖措施</w:t>
            </w:r>
          </w:p>
          <w:p w14:paraId="4B601307">
            <w:pPr>
              <w:pStyle w:val="58"/>
              <w:adjustRightInd w:val="0"/>
              <w:snapToGrid w:val="0"/>
              <w:jc w:val="left"/>
            </w:pPr>
            <w:r>
              <w:rPr>
                <w:rFonts w:hint="eastAsia"/>
              </w:rPr>
              <w:t>风机平台以及填方边坡在未采取防护措施前，因降雨、人为扰动等易产生水土流失，因此在风机平台裸露地表及裸露边坡覆盖无纺布防止产生新增水土流失。</w:t>
            </w:r>
          </w:p>
          <w:p w14:paraId="64F9B4B1">
            <w:pPr>
              <w:pStyle w:val="58"/>
              <w:adjustRightInd w:val="0"/>
              <w:snapToGrid w:val="0"/>
              <w:ind w:firstLine="0" w:firstLineChars="0"/>
              <w:jc w:val="left"/>
              <w:rPr>
                <w:b/>
                <w:bCs/>
              </w:rPr>
            </w:pPr>
            <w:r>
              <w:rPr>
                <w:rFonts w:hint="eastAsia"/>
                <w:b/>
                <w:bCs/>
              </w:rPr>
              <w:t>5</w:t>
            </w:r>
            <w:r>
              <w:rPr>
                <w:b/>
                <w:bCs/>
              </w:rPr>
              <w:t>.6.2</w:t>
            </w:r>
            <w:r>
              <w:rPr>
                <w:rFonts w:hint="eastAsia"/>
                <w:b/>
                <w:bCs/>
              </w:rPr>
              <w:t>升压站区水土流失防治措施</w:t>
            </w:r>
          </w:p>
          <w:p w14:paraId="4C34A7C3">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7E292799">
            <w:pPr>
              <w:pStyle w:val="58"/>
              <w:adjustRightInd w:val="0"/>
              <w:snapToGrid w:val="0"/>
              <w:jc w:val="left"/>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排水措施</w:t>
            </w:r>
          </w:p>
          <w:p w14:paraId="7CA7953D">
            <w:pPr>
              <w:adjustRightInd w:val="0"/>
              <w:snapToGrid w:val="0"/>
              <w:spacing w:line="360" w:lineRule="auto"/>
              <w:ind w:firstLine="480" w:firstLineChars="200"/>
              <w:jc w:val="left"/>
              <w:rPr>
                <w:sz w:val="24"/>
                <w:szCs w:val="21"/>
              </w:rPr>
            </w:pPr>
            <w:r>
              <w:rPr>
                <w:rFonts w:hint="eastAsia"/>
                <w:sz w:val="24"/>
                <w:szCs w:val="21"/>
              </w:rPr>
              <w:t>升压</w:t>
            </w:r>
            <w:r>
              <w:rPr>
                <w:sz w:val="24"/>
                <w:szCs w:val="21"/>
              </w:rPr>
              <w:t>站区</w:t>
            </w:r>
            <w:r>
              <w:rPr>
                <w:rFonts w:hint="eastAsia"/>
                <w:sz w:val="24"/>
                <w:szCs w:val="21"/>
              </w:rPr>
              <w:t>修建雨水收集及排放系统</w:t>
            </w:r>
            <w:r>
              <w:rPr>
                <w:sz w:val="24"/>
                <w:szCs w:val="21"/>
              </w:rPr>
              <w:t>，</w:t>
            </w:r>
            <w:r>
              <w:rPr>
                <w:rFonts w:hint="eastAsia"/>
                <w:sz w:val="24"/>
                <w:szCs w:val="21"/>
              </w:rPr>
              <w:t>站内雨水收集系统依据地形设计，雨水收集后通过管道汇入站外雨水排水沟内。</w:t>
            </w:r>
          </w:p>
          <w:p w14:paraId="3788246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土地整治措施</w:t>
            </w:r>
          </w:p>
          <w:p w14:paraId="354E1E07">
            <w:pPr>
              <w:autoSpaceDE w:val="0"/>
              <w:adjustRightInd w:val="0"/>
              <w:snapToGrid w:val="0"/>
              <w:spacing w:line="360" w:lineRule="auto"/>
              <w:ind w:firstLine="480" w:firstLineChars="200"/>
              <w:jc w:val="left"/>
              <w:rPr>
                <w:rFonts w:hAnsi="宋体"/>
                <w:sz w:val="24"/>
              </w:rPr>
            </w:pPr>
            <w:r>
              <w:rPr>
                <w:sz w:val="24"/>
                <w:szCs w:val="21"/>
              </w:rPr>
              <w:t>施工结束后，</w:t>
            </w:r>
            <w:r>
              <w:rPr>
                <w:rFonts w:hint="eastAsia"/>
                <w:sz w:val="24"/>
                <w:szCs w:val="21"/>
              </w:rPr>
              <w:t>升压</w:t>
            </w:r>
            <w:r>
              <w:rPr>
                <w:sz w:val="24"/>
                <w:szCs w:val="21"/>
              </w:rPr>
              <w:t>站内地面全部硬化，及时对</w:t>
            </w:r>
            <w:r>
              <w:rPr>
                <w:rFonts w:hint="eastAsia"/>
                <w:sz w:val="24"/>
                <w:szCs w:val="21"/>
              </w:rPr>
              <w:t>升压</w:t>
            </w:r>
            <w:r>
              <w:rPr>
                <w:sz w:val="24"/>
                <w:szCs w:val="21"/>
              </w:rPr>
              <w:t>站围墙外占地进行填凹平整、覆盖表层土</w:t>
            </w:r>
            <w:r>
              <w:rPr>
                <w:rFonts w:hint="eastAsia" w:hAnsi="宋体"/>
                <w:sz w:val="24"/>
              </w:rPr>
              <w:t>。</w:t>
            </w:r>
          </w:p>
          <w:p w14:paraId="46E4BB6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表土剥离及回填</w:t>
            </w:r>
          </w:p>
          <w:p w14:paraId="3DC969BA">
            <w:pPr>
              <w:pStyle w:val="58"/>
              <w:adjustRightInd w:val="0"/>
              <w:snapToGrid w:val="0"/>
              <w:jc w:val="left"/>
            </w:pPr>
            <w:r>
              <w:rPr>
                <w:rFonts w:hint="eastAsia"/>
              </w:rPr>
              <w:t>升压站场平前将场地内表土进行剥离，剥离的表土集中起来堆存在升压站范围内，剥离厚度按</w:t>
            </w:r>
            <w:r>
              <w:t>20cm</w:t>
            </w:r>
            <w:r>
              <w:rPr>
                <w:rFonts w:hint="eastAsia"/>
              </w:rPr>
              <w:t>考虑。实施植被恢复措施前，在植物措施占地上覆表土，厚度为</w:t>
            </w:r>
            <w:r>
              <w:t>30cm</w:t>
            </w:r>
            <w:r>
              <w:rPr>
                <w:rFonts w:hint="eastAsia"/>
              </w:rPr>
              <w:t>。</w:t>
            </w:r>
          </w:p>
          <w:p w14:paraId="41455411">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23B57E50">
            <w:pPr>
              <w:adjustRightInd w:val="0"/>
              <w:snapToGrid w:val="0"/>
              <w:spacing w:line="360" w:lineRule="auto"/>
              <w:ind w:firstLine="480" w:firstLineChars="200"/>
              <w:jc w:val="left"/>
              <w:rPr>
                <w:rFonts w:hAnsi="宋体"/>
                <w:sz w:val="24"/>
              </w:rPr>
            </w:pPr>
            <w:r>
              <w:rPr>
                <w:sz w:val="24"/>
                <w:szCs w:val="21"/>
              </w:rPr>
              <w:t>针</w:t>
            </w:r>
            <w:r>
              <w:rPr>
                <w:rFonts w:hint="eastAsia"/>
                <w:sz w:val="24"/>
                <w:szCs w:val="21"/>
              </w:rPr>
              <w:t>对升压站</w:t>
            </w:r>
            <w:r>
              <w:rPr>
                <w:sz w:val="24"/>
                <w:szCs w:val="21"/>
              </w:rPr>
              <w:t>，主体工程针对</w:t>
            </w:r>
            <w:r>
              <w:rPr>
                <w:rFonts w:hint="eastAsia"/>
                <w:sz w:val="24"/>
                <w:szCs w:val="21"/>
              </w:rPr>
              <w:t>升压</w:t>
            </w:r>
            <w:r>
              <w:rPr>
                <w:sz w:val="24"/>
                <w:szCs w:val="21"/>
              </w:rPr>
              <w:t>站区内占地设计了绿化措施，待植物措施落实后，需采取管护措施。根据项目区建设期和运行期的特有立地条件，按照“适地适树、适地适草”的原则，在树草种选择上以当地优良乡土树、草种为主，适当引进已经成功引进的优良树种。在树种选择上可选用树形美观、装饰性强、观赏价值高的乔、灌木，并采用高、中、低、矮植物和草地进行灵活的绿化。草种选择上，绿地所种草坪要求耐踏踩、绿色期长，能适应重剪和低剪。重点绿地要求生长发育一致、整齐、美观、夏季能耐炎热、冬季能抗严寒。</w:t>
            </w:r>
          </w:p>
          <w:p w14:paraId="680A4DEC">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6536879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临时沉沙措施</w:t>
            </w:r>
          </w:p>
          <w:p w14:paraId="701CB55E">
            <w:pPr>
              <w:autoSpaceDE w:val="0"/>
              <w:adjustRightInd w:val="0"/>
              <w:snapToGrid w:val="0"/>
              <w:spacing w:line="360" w:lineRule="auto"/>
              <w:ind w:firstLine="480" w:firstLineChars="200"/>
              <w:jc w:val="left"/>
              <w:rPr>
                <w:rFonts w:hAnsi="宋体"/>
                <w:sz w:val="24"/>
              </w:rPr>
            </w:pPr>
            <w:r>
              <w:rPr>
                <w:rFonts w:hint="eastAsia" w:hAnsi="宋体"/>
                <w:sz w:val="24"/>
              </w:rPr>
              <w:t>沉沙池为土质沉沙池，临时沉沙池与临时排水沟配套使用。</w:t>
            </w:r>
          </w:p>
          <w:p w14:paraId="57215B1F">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临时拦挡措施</w:t>
            </w:r>
          </w:p>
          <w:p w14:paraId="6F697D9B">
            <w:pPr>
              <w:autoSpaceDE w:val="0"/>
              <w:adjustRightInd w:val="0"/>
              <w:snapToGrid w:val="0"/>
              <w:spacing w:line="360" w:lineRule="auto"/>
              <w:ind w:firstLine="480" w:firstLineChars="200"/>
              <w:jc w:val="left"/>
              <w:rPr>
                <w:rFonts w:hAnsi="宋体"/>
                <w:sz w:val="24"/>
              </w:rPr>
            </w:pPr>
            <w:r>
              <w:rPr>
                <w:rFonts w:hint="eastAsia" w:hAnsi="宋体"/>
                <w:sz w:val="24"/>
              </w:rPr>
              <w:t>对填方边坡坡脚及临时堆土堆放地四周采用袋装土垒砌，规格为</w:t>
            </w:r>
            <w:r>
              <w:rPr>
                <w:rFonts w:hAnsi="宋体"/>
                <w:sz w:val="24"/>
              </w:rPr>
              <w:t>0.5m×0.5m</w:t>
            </w:r>
            <w:r>
              <w:rPr>
                <w:rFonts w:hint="eastAsia" w:hAnsi="宋体"/>
                <w:sz w:val="24"/>
              </w:rPr>
              <w:t>。</w:t>
            </w:r>
          </w:p>
          <w:p w14:paraId="2760C973">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临时排水沟</w:t>
            </w:r>
          </w:p>
          <w:p w14:paraId="08787699">
            <w:pPr>
              <w:autoSpaceDE w:val="0"/>
              <w:adjustRightInd w:val="0"/>
              <w:snapToGrid w:val="0"/>
              <w:spacing w:line="360" w:lineRule="auto"/>
              <w:ind w:firstLine="480" w:firstLineChars="200"/>
              <w:jc w:val="left"/>
              <w:rPr>
                <w:rFonts w:hAnsi="宋体"/>
                <w:sz w:val="24"/>
              </w:rPr>
            </w:pPr>
            <w:r>
              <w:rPr>
                <w:rFonts w:hint="eastAsia" w:hAnsi="宋体"/>
                <w:sz w:val="24"/>
              </w:rPr>
              <w:t>施工时，升压站周边依地势布设临时排水和沉沙措施，与周边现有的排水相接，构成完整的排水体系，以防止作业面出现积水现象，并防止降水和地表径流对临时堆土的冲刷。考虑到日后站区外围排水需要，临时排水沟施工结束后可根据实际需要不拆除，与站区给排水系统管沟施工相结合，减少土石方开挖量和二次地表扰动。</w:t>
            </w:r>
          </w:p>
          <w:p w14:paraId="3D05BED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临时覆盖措施</w:t>
            </w:r>
          </w:p>
          <w:p w14:paraId="2B5AA901">
            <w:pPr>
              <w:autoSpaceDE w:val="0"/>
              <w:adjustRightInd w:val="0"/>
              <w:snapToGrid w:val="0"/>
              <w:spacing w:line="360" w:lineRule="auto"/>
              <w:ind w:firstLine="480" w:firstLineChars="200"/>
              <w:jc w:val="left"/>
              <w:rPr>
                <w:rFonts w:hAnsi="宋体"/>
                <w:sz w:val="24"/>
              </w:rPr>
            </w:pPr>
            <w:r>
              <w:rPr>
                <w:rFonts w:hint="eastAsia"/>
                <w:sz w:val="24"/>
              </w:rPr>
              <w:t>升压站施工区内未采取防护措施前，因降雨、人为扰动等易产生水土流失，因此在裸露地表及裸露边坡覆盖无纺布防止产生新增水土流失。</w:t>
            </w:r>
          </w:p>
          <w:p w14:paraId="7B361D1E">
            <w:pPr>
              <w:pStyle w:val="58"/>
              <w:adjustRightInd w:val="0"/>
              <w:snapToGrid w:val="0"/>
              <w:ind w:firstLine="0" w:firstLineChars="0"/>
              <w:jc w:val="left"/>
              <w:rPr>
                <w:rFonts w:hAnsi="Times New Roman"/>
                <w:b/>
                <w:bCs/>
                <w:kern w:val="2"/>
                <w:szCs w:val="24"/>
              </w:rPr>
            </w:pPr>
            <w:r>
              <w:rPr>
                <w:rFonts w:hAnsi="Times New Roman"/>
                <w:b/>
                <w:bCs/>
                <w:kern w:val="2"/>
                <w:szCs w:val="24"/>
              </w:rPr>
              <w:t>5.6.3道路工程区水土流失防治措施</w:t>
            </w:r>
          </w:p>
          <w:p w14:paraId="6DEB4DDF">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366FA0E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挡护措施</w:t>
            </w:r>
          </w:p>
          <w:p w14:paraId="7B661688">
            <w:pPr>
              <w:autoSpaceDE w:val="0"/>
              <w:adjustRightInd w:val="0"/>
              <w:snapToGrid w:val="0"/>
              <w:spacing w:line="360" w:lineRule="auto"/>
              <w:ind w:firstLine="480" w:firstLineChars="200"/>
              <w:jc w:val="left"/>
              <w:rPr>
                <w:rFonts w:hAnsi="宋体"/>
                <w:sz w:val="24"/>
              </w:rPr>
            </w:pPr>
            <w:r>
              <w:rPr>
                <w:rFonts w:hint="eastAsia" w:hAnsi="宋体"/>
                <w:sz w:val="24"/>
              </w:rPr>
              <w:t>主体设计已考虑拦挡措施，经本方案复核拦挡工程量，满足水土保持要求。</w:t>
            </w:r>
          </w:p>
          <w:p w14:paraId="20EE0D12">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土地整治</w:t>
            </w:r>
          </w:p>
          <w:p w14:paraId="53BDA871">
            <w:pPr>
              <w:autoSpaceDE w:val="0"/>
              <w:adjustRightInd w:val="0"/>
              <w:snapToGrid w:val="0"/>
              <w:spacing w:line="360" w:lineRule="auto"/>
              <w:ind w:firstLine="480" w:firstLineChars="200"/>
              <w:jc w:val="left"/>
              <w:rPr>
                <w:rFonts w:hAnsi="宋体"/>
                <w:sz w:val="24"/>
              </w:rPr>
            </w:pPr>
            <w:r>
              <w:rPr>
                <w:rFonts w:hint="eastAsia" w:hAnsi="宋体"/>
                <w:sz w:val="24"/>
              </w:rPr>
              <w:t>在施工结束后，对场内道路填方边坡及绿化区域进行土地整治，施工工艺主要为清除施工垃圾</w:t>
            </w:r>
            <w:r>
              <w:rPr>
                <w:rFonts w:hAnsi="宋体"/>
                <w:sz w:val="24"/>
              </w:rPr>
              <w:t>→</w:t>
            </w:r>
            <w:r>
              <w:rPr>
                <w:rFonts w:hint="eastAsia" w:hAnsi="宋体"/>
                <w:sz w:val="24"/>
              </w:rPr>
              <w:t>回填土方</w:t>
            </w:r>
            <w:r>
              <w:rPr>
                <w:rFonts w:hAnsi="宋体"/>
                <w:sz w:val="24"/>
              </w:rPr>
              <w:t>→</w:t>
            </w:r>
            <w:r>
              <w:rPr>
                <w:rFonts w:hint="eastAsia" w:hAnsi="宋体"/>
                <w:sz w:val="24"/>
              </w:rPr>
              <w:t>人工平整</w:t>
            </w:r>
            <w:r>
              <w:rPr>
                <w:rFonts w:hAnsi="宋体"/>
                <w:sz w:val="24"/>
              </w:rPr>
              <w:t>→</w:t>
            </w:r>
            <w:r>
              <w:rPr>
                <w:rFonts w:hint="eastAsia" w:hAnsi="宋体"/>
                <w:sz w:val="24"/>
              </w:rPr>
              <w:t>覆表土，平台预留</w:t>
            </w:r>
            <w:r>
              <w:rPr>
                <w:rFonts w:hAnsi="宋体"/>
                <w:sz w:val="24"/>
              </w:rPr>
              <w:t>2%</w:t>
            </w:r>
            <w:r>
              <w:rPr>
                <w:rFonts w:hint="eastAsia" w:hAnsi="宋体"/>
                <w:sz w:val="24"/>
              </w:rPr>
              <w:t>的排水坡度。土地整治完毕，立即实施植物措施。</w:t>
            </w:r>
          </w:p>
          <w:p w14:paraId="3C5264B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 xml:space="preserve"> </w:t>
            </w:r>
            <w:r>
              <w:rPr>
                <w:rFonts w:hint="eastAsia" w:hAnsi="宋体"/>
                <w:sz w:val="24"/>
              </w:rPr>
              <w:t>排水沟</w:t>
            </w:r>
          </w:p>
          <w:p w14:paraId="2BFEEEE8">
            <w:pPr>
              <w:autoSpaceDE w:val="0"/>
              <w:adjustRightInd w:val="0"/>
              <w:snapToGrid w:val="0"/>
              <w:spacing w:line="360" w:lineRule="auto"/>
              <w:ind w:firstLine="480" w:firstLineChars="200"/>
              <w:jc w:val="left"/>
              <w:rPr>
                <w:rFonts w:hAnsi="宋体"/>
                <w:sz w:val="24"/>
              </w:rPr>
            </w:pPr>
            <w:r>
              <w:rPr>
                <w:rFonts w:hint="eastAsia" w:hAnsi="宋体"/>
                <w:sz w:val="24"/>
              </w:rPr>
              <w:t>排水沟采用浆砌石矩形排水沟，设计标准为</w:t>
            </w:r>
            <w:r>
              <w:rPr>
                <w:rFonts w:hAnsi="宋体"/>
                <w:sz w:val="24"/>
              </w:rPr>
              <w:t xml:space="preserve">10 </w:t>
            </w:r>
            <w:r>
              <w:rPr>
                <w:rFonts w:hint="eastAsia" w:hAnsi="宋体"/>
                <w:sz w:val="24"/>
              </w:rPr>
              <w:t>年一遇最大</w:t>
            </w:r>
            <w:r>
              <w:rPr>
                <w:rFonts w:hAnsi="宋体"/>
                <w:sz w:val="24"/>
              </w:rPr>
              <w:t xml:space="preserve">1h </w:t>
            </w:r>
            <w:r>
              <w:rPr>
                <w:rFonts w:hint="eastAsia" w:hAnsi="宋体"/>
                <w:sz w:val="24"/>
              </w:rPr>
              <w:t>暴雨强度，断面根据当地暴雨特征值与最大汇流面积按明渠均匀流公式计算确定，不考虑安全加高，满足过水流量计最小施工断面即可。</w:t>
            </w:r>
          </w:p>
          <w:p w14:paraId="3D54A663">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沉沙池</w:t>
            </w:r>
          </w:p>
          <w:p w14:paraId="0D14B59C">
            <w:pPr>
              <w:autoSpaceDE w:val="0"/>
              <w:adjustRightInd w:val="0"/>
              <w:snapToGrid w:val="0"/>
              <w:spacing w:line="360" w:lineRule="auto"/>
              <w:ind w:firstLine="480" w:firstLineChars="200"/>
              <w:jc w:val="left"/>
              <w:rPr>
                <w:rFonts w:hAnsi="宋体"/>
                <w:sz w:val="24"/>
              </w:rPr>
            </w:pPr>
            <w:r>
              <w:rPr>
                <w:rFonts w:hint="eastAsia" w:hAnsi="宋体"/>
                <w:sz w:val="24"/>
              </w:rPr>
              <w:t>为减少水流中泥沙含量，防止泥沙淤积排水沟，影响排水通畅，根据道路两侧排水沟布设Ⅱ型沉沙池（尺寸为</w:t>
            </w:r>
            <w:r>
              <w:rPr>
                <w:rFonts w:hAnsi="宋体"/>
                <w:sz w:val="24"/>
              </w:rPr>
              <w:t>2.0m(</w:t>
            </w:r>
            <w:r>
              <w:rPr>
                <w:rFonts w:hint="eastAsia" w:hAnsi="宋体"/>
                <w:sz w:val="24"/>
              </w:rPr>
              <w:t>长</w:t>
            </w:r>
            <w:r>
              <w:rPr>
                <w:rFonts w:hAnsi="宋体"/>
                <w:sz w:val="24"/>
              </w:rPr>
              <w:t>)×1.0m(</w:t>
            </w:r>
            <w:r>
              <w:rPr>
                <w:rFonts w:hint="eastAsia" w:hAnsi="宋体"/>
                <w:sz w:val="24"/>
              </w:rPr>
              <w:t>宽</w:t>
            </w:r>
            <w:r>
              <w:rPr>
                <w:rFonts w:hAnsi="宋体"/>
                <w:sz w:val="24"/>
              </w:rPr>
              <w:t>)×1.5m(</w:t>
            </w:r>
            <w:r>
              <w:rPr>
                <w:rFonts w:hint="eastAsia" w:hAnsi="宋体"/>
                <w:sz w:val="24"/>
              </w:rPr>
              <w:t>深</w:t>
            </w:r>
            <w:r>
              <w:rPr>
                <w:rFonts w:hAnsi="宋体"/>
                <w:sz w:val="24"/>
              </w:rPr>
              <w:t>)</w:t>
            </w:r>
            <w:r>
              <w:rPr>
                <w:rFonts w:hint="eastAsia" w:hAnsi="宋体"/>
                <w:sz w:val="24"/>
              </w:rPr>
              <w:t>），沉沙池布设在排水沟汇入自然溪沟和管涵交汇处。</w:t>
            </w:r>
          </w:p>
          <w:p w14:paraId="78944361">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5 \* GB3</w:instrText>
            </w:r>
            <w:r>
              <w:rPr>
                <w:rFonts w:hAnsi="宋体"/>
                <w:sz w:val="24"/>
              </w:rPr>
              <w:instrText xml:space="preserve"> </w:instrText>
            </w:r>
            <w:r>
              <w:rPr>
                <w:rFonts w:hAnsi="宋体"/>
                <w:sz w:val="24"/>
              </w:rPr>
              <w:fldChar w:fldCharType="separate"/>
            </w:r>
            <w:r>
              <w:rPr>
                <w:rFonts w:hint="eastAsia" w:hAnsi="宋体"/>
                <w:sz w:val="24"/>
              </w:rPr>
              <w:t>⑤</w:t>
            </w:r>
            <w:r>
              <w:rPr>
                <w:rFonts w:hAnsi="宋体"/>
                <w:sz w:val="24"/>
              </w:rPr>
              <w:fldChar w:fldCharType="end"/>
            </w:r>
            <w:r>
              <w:rPr>
                <w:rFonts w:hint="eastAsia" w:hAnsi="宋体"/>
                <w:sz w:val="24"/>
              </w:rPr>
              <w:t>急流槽</w:t>
            </w:r>
          </w:p>
          <w:p w14:paraId="53506BD5">
            <w:pPr>
              <w:autoSpaceDE w:val="0"/>
              <w:adjustRightInd w:val="0"/>
              <w:snapToGrid w:val="0"/>
              <w:spacing w:line="360" w:lineRule="auto"/>
              <w:ind w:firstLine="480" w:firstLineChars="200"/>
              <w:jc w:val="left"/>
              <w:rPr>
                <w:rFonts w:hAnsi="宋体"/>
                <w:sz w:val="24"/>
              </w:rPr>
            </w:pPr>
            <w:r>
              <w:rPr>
                <w:rFonts w:hint="eastAsia" w:hAnsi="宋体"/>
                <w:sz w:val="24"/>
              </w:rPr>
              <w:t>本项目在排水沟较陡处加设急流槽进行消能，采用</w:t>
            </w:r>
            <w:r>
              <w:rPr>
                <w:rFonts w:hAnsi="宋体"/>
                <w:sz w:val="24"/>
              </w:rPr>
              <w:t xml:space="preserve">M7.5 </w:t>
            </w:r>
            <w:r>
              <w:rPr>
                <w:rFonts w:hint="eastAsia" w:hAnsi="宋体"/>
                <w:sz w:val="24"/>
              </w:rPr>
              <w:t>浆砌石砌筑，断面为矩形，尺寸与排水沟相同。急流槽槽身每</w:t>
            </w:r>
            <w:r>
              <w:rPr>
                <w:rFonts w:hAnsi="宋体"/>
                <w:sz w:val="24"/>
              </w:rPr>
              <w:t xml:space="preserve">10m~15m </w:t>
            </w:r>
            <w:r>
              <w:rPr>
                <w:rFonts w:hint="eastAsia" w:hAnsi="宋体"/>
                <w:sz w:val="24"/>
              </w:rPr>
              <w:t>设一条伸缩缝，缝宽</w:t>
            </w:r>
            <w:r>
              <w:rPr>
                <w:rFonts w:hAnsi="宋体"/>
                <w:sz w:val="24"/>
              </w:rPr>
              <w:t>2cm</w:t>
            </w:r>
            <w:r>
              <w:rPr>
                <w:rFonts w:hint="eastAsia" w:hAnsi="宋体"/>
                <w:sz w:val="24"/>
              </w:rPr>
              <w:t>，缝间填塞沥青麻絮。每隔</w:t>
            </w:r>
            <w:r>
              <w:rPr>
                <w:rFonts w:hAnsi="宋体"/>
                <w:sz w:val="24"/>
              </w:rPr>
              <w:t xml:space="preserve">2.0m </w:t>
            </w:r>
            <w:r>
              <w:rPr>
                <w:rFonts w:hint="eastAsia" w:hAnsi="宋体"/>
                <w:sz w:val="24"/>
              </w:rPr>
              <w:t>设置防滑平台，出水部分设置长</w:t>
            </w:r>
            <w:r>
              <w:rPr>
                <w:rFonts w:hAnsi="宋体"/>
                <w:sz w:val="24"/>
              </w:rPr>
              <w:t xml:space="preserve">3.0m </w:t>
            </w:r>
            <w:r>
              <w:rPr>
                <w:rFonts w:hint="eastAsia" w:hAnsi="宋体"/>
                <w:sz w:val="24"/>
              </w:rPr>
              <w:t>的消力池。</w:t>
            </w:r>
          </w:p>
          <w:p w14:paraId="25E0450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6 \* GB3</w:instrText>
            </w:r>
            <w:r>
              <w:rPr>
                <w:rFonts w:hAnsi="宋体"/>
                <w:sz w:val="24"/>
              </w:rPr>
              <w:instrText xml:space="preserve"> </w:instrText>
            </w:r>
            <w:r>
              <w:rPr>
                <w:rFonts w:hAnsi="宋体"/>
                <w:sz w:val="24"/>
              </w:rPr>
              <w:fldChar w:fldCharType="separate"/>
            </w:r>
            <w:r>
              <w:rPr>
                <w:rFonts w:hint="eastAsia" w:hAnsi="宋体"/>
                <w:sz w:val="24"/>
              </w:rPr>
              <w:t>⑥</w:t>
            </w:r>
            <w:r>
              <w:rPr>
                <w:rFonts w:hAnsi="宋体"/>
                <w:sz w:val="24"/>
              </w:rPr>
              <w:fldChar w:fldCharType="end"/>
            </w:r>
            <w:r>
              <w:rPr>
                <w:rFonts w:hint="eastAsia" w:hAnsi="宋体"/>
                <w:sz w:val="24"/>
              </w:rPr>
              <w:t>表土剥离及回填利用</w:t>
            </w:r>
          </w:p>
          <w:p w14:paraId="7D4AEB16">
            <w:pPr>
              <w:autoSpaceDE w:val="0"/>
              <w:adjustRightInd w:val="0"/>
              <w:snapToGrid w:val="0"/>
              <w:spacing w:line="360" w:lineRule="auto"/>
              <w:ind w:firstLine="480" w:firstLineChars="200"/>
              <w:jc w:val="left"/>
              <w:rPr>
                <w:rFonts w:hAnsi="宋体"/>
                <w:sz w:val="24"/>
              </w:rPr>
            </w:pPr>
            <w:r>
              <w:rPr>
                <w:rFonts w:hint="eastAsia" w:hAnsi="宋体"/>
                <w:sz w:val="24"/>
              </w:rPr>
              <w:t>施工前将道路用地范围内满足剥离要求的表土进行剥离，剥离的表土就地堆存在道路区内。道路施工完毕，覆盖至填方边坡，为实施植物措施做好铺垫。</w:t>
            </w:r>
          </w:p>
          <w:p w14:paraId="0C998848">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18E33A6E">
            <w:pPr>
              <w:autoSpaceDE w:val="0"/>
              <w:adjustRightInd w:val="0"/>
              <w:snapToGrid w:val="0"/>
              <w:spacing w:line="360" w:lineRule="auto"/>
              <w:ind w:firstLine="480" w:firstLineChars="200"/>
              <w:jc w:val="left"/>
              <w:rPr>
                <w:rFonts w:hAnsi="宋体"/>
                <w:sz w:val="24"/>
              </w:rPr>
            </w:pPr>
            <w:r>
              <w:rPr>
                <w:rFonts w:hint="eastAsia" w:hAnsi="宋体"/>
                <w:sz w:val="24"/>
              </w:rPr>
              <w:t>为满足水土保持要求，针对坡度较长且稳定的采取灌草结合的型式进行防护。挖方边坡采取挂网喷播绿化，填方边坡采取撒播灌草籽绿化。</w:t>
            </w:r>
          </w:p>
          <w:p w14:paraId="19CBB5CA">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挂网喷播绿化：针对高陡开挖土质边坡，采取挂网喷播绿化，首先修整边坡，清除风化物，然后再坡面上安装Ф</w:t>
            </w:r>
            <w:r>
              <w:rPr>
                <w:rFonts w:hAnsi="宋体"/>
                <w:sz w:val="24"/>
              </w:rPr>
              <w:t xml:space="preserve">16mm </w:t>
            </w:r>
            <w:r>
              <w:rPr>
                <w:rFonts w:hint="eastAsia" w:hAnsi="宋体"/>
                <w:sz w:val="24"/>
              </w:rPr>
              <w:t>的钢筋锚钉，按</w:t>
            </w:r>
            <w:r>
              <w:rPr>
                <w:rFonts w:hAnsi="宋体"/>
                <w:sz w:val="24"/>
              </w:rPr>
              <w:t>1m</w:t>
            </w:r>
            <w:r>
              <w:rPr>
                <w:rFonts w:hint="eastAsia" w:hAnsi="宋体"/>
                <w:sz w:val="24"/>
              </w:rPr>
              <w:t>×</w:t>
            </w:r>
            <w:r>
              <w:rPr>
                <w:rFonts w:hAnsi="宋体"/>
                <w:sz w:val="24"/>
              </w:rPr>
              <w:t xml:space="preserve">1m </w:t>
            </w:r>
            <w:r>
              <w:rPr>
                <w:rFonts w:hint="eastAsia" w:hAnsi="宋体"/>
                <w:sz w:val="24"/>
              </w:rPr>
              <w:t>交叉布置，锚钉长</w:t>
            </w:r>
            <w:r>
              <w:rPr>
                <w:rFonts w:hAnsi="宋体"/>
                <w:sz w:val="24"/>
              </w:rPr>
              <w:t>50cm</w:t>
            </w:r>
            <w:r>
              <w:rPr>
                <w:rFonts w:hint="eastAsia" w:hAnsi="宋体"/>
                <w:sz w:val="24"/>
              </w:rPr>
              <w:t>。然后按设计要求将镀锌网挂在锚钉上，调平拉紧，确保镀锌网稳定，然后喷</w:t>
            </w:r>
            <w:r>
              <w:rPr>
                <w:rFonts w:hAnsi="宋体"/>
                <w:sz w:val="24"/>
              </w:rPr>
              <w:t xml:space="preserve">10cm </w:t>
            </w:r>
            <w:r>
              <w:rPr>
                <w:rFonts w:hint="eastAsia" w:hAnsi="宋体"/>
                <w:sz w:val="24"/>
              </w:rPr>
              <w:t>厚的基质，喷射完成后覆盖无纺布保墒，营造种子快速发芽环境。基质厚</w:t>
            </w:r>
            <w:r>
              <w:rPr>
                <w:rFonts w:hAnsi="宋体"/>
                <w:sz w:val="24"/>
              </w:rPr>
              <w:t>10cm</w:t>
            </w:r>
            <w:r>
              <w:rPr>
                <w:rFonts w:hint="eastAsia" w:hAnsi="宋体"/>
                <w:sz w:val="24"/>
              </w:rPr>
              <w:t>，分两次喷播，第一次喷基层，厚</w:t>
            </w:r>
            <w:r>
              <w:rPr>
                <w:rFonts w:hAnsi="宋体"/>
                <w:sz w:val="24"/>
              </w:rPr>
              <w:t>8cm</w:t>
            </w:r>
            <w:r>
              <w:rPr>
                <w:rFonts w:hint="eastAsia" w:hAnsi="宋体"/>
                <w:sz w:val="24"/>
              </w:rPr>
              <w:t>，第二次喷面层，厚</w:t>
            </w:r>
            <w:r>
              <w:rPr>
                <w:rFonts w:hAnsi="宋体"/>
                <w:sz w:val="24"/>
              </w:rPr>
              <w:t>2cm</w:t>
            </w:r>
            <w:r>
              <w:rPr>
                <w:rFonts w:hint="eastAsia" w:hAnsi="宋体"/>
                <w:sz w:val="24"/>
              </w:rPr>
              <w:t>，面层含白三叶草籽，密度为</w:t>
            </w:r>
            <w:r>
              <w:rPr>
                <w:rFonts w:hAnsi="宋体"/>
                <w:sz w:val="24"/>
              </w:rPr>
              <w:t>12g/m</w:t>
            </w:r>
            <w:r>
              <w:rPr>
                <w:rFonts w:hAnsi="宋体"/>
                <w:sz w:val="24"/>
                <w:vertAlign w:val="superscript"/>
              </w:rPr>
              <w:t>2</w:t>
            </w:r>
            <w:r>
              <w:rPr>
                <w:rFonts w:hint="eastAsia" w:hAnsi="宋体"/>
                <w:sz w:val="24"/>
              </w:rPr>
              <w:t>。针对高陡开挖石质边坡及地质条件差的边坡区域，采取加筋麦克垫植草护坡绿化，首先修整边坡，清除风化物，然后再坡面上安装Ф</w:t>
            </w:r>
            <w:r>
              <w:rPr>
                <w:rFonts w:hAnsi="宋体"/>
                <w:sz w:val="24"/>
              </w:rPr>
              <w:t xml:space="preserve">16mm </w:t>
            </w:r>
            <w:r>
              <w:rPr>
                <w:rFonts w:hint="eastAsia" w:hAnsi="宋体"/>
                <w:sz w:val="24"/>
              </w:rPr>
              <w:t>的钢筋锚钉，按</w:t>
            </w:r>
            <w:r>
              <w:rPr>
                <w:rFonts w:hAnsi="宋体"/>
                <w:sz w:val="24"/>
              </w:rPr>
              <w:t>1m</w:t>
            </w:r>
            <w:r>
              <w:rPr>
                <w:rFonts w:hint="eastAsia" w:hAnsi="宋体"/>
                <w:sz w:val="24"/>
              </w:rPr>
              <w:t>×</w:t>
            </w:r>
            <w:r>
              <w:rPr>
                <w:rFonts w:hAnsi="宋体"/>
                <w:sz w:val="24"/>
              </w:rPr>
              <w:t xml:space="preserve">1m </w:t>
            </w:r>
            <w:r>
              <w:rPr>
                <w:rFonts w:hint="eastAsia" w:hAnsi="宋体"/>
                <w:sz w:val="24"/>
              </w:rPr>
              <w:t>交叉布置，锚钉长</w:t>
            </w:r>
            <w:r>
              <w:rPr>
                <w:rFonts w:hAnsi="宋体"/>
                <w:sz w:val="24"/>
              </w:rPr>
              <w:t>50cm</w:t>
            </w:r>
            <w:r>
              <w:rPr>
                <w:rFonts w:hint="eastAsia" w:hAnsi="宋体"/>
                <w:sz w:val="24"/>
              </w:rPr>
              <w:t>。然后按设计要求将镀锌加筋麦克垫挂在锚钉上，调平拉紧，确保镀锌加筋麦克垫稳定，然后喷</w:t>
            </w:r>
            <w:r>
              <w:rPr>
                <w:rFonts w:hAnsi="宋体"/>
                <w:sz w:val="24"/>
              </w:rPr>
              <w:t xml:space="preserve">10cm </w:t>
            </w:r>
            <w:r>
              <w:rPr>
                <w:rFonts w:hint="eastAsia" w:hAnsi="宋体"/>
                <w:sz w:val="24"/>
              </w:rPr>
              <w:t>厚的基质，喷射完成后覆盖无纺布保墒，营造种子快速发芽环境。基质厚</w:t>
            </w:r>
            <w:r>
              <w:rPr>
                <w:rFonts w:hAnsi="宋体"/>
                <w:sz w:val="24"/>
              </w:rPr>
              <w:t>10cm</w:t>
            </w:r>
            <w:r>
              <w:rPr>
                <w:rFonts w:hint="eastAsia" w:hAnsi="宋体"/>
                <w:sz w:val="24"/>
              </w:rPr>
              <w:t>，分两次喷播，第一次喷基层，厚</w:t>
            </w:r>
            <w:r>
              <w:rPr>
                <w:rFonts w:hAnsi="宋体"/>
                <w:sz w:val="24"/>
              </w:rPr>
              <w:t>8cm</w:t>
            </w:r>
            <w:r>
              <w:rPr>
                <w:rFonts w:hint="eastAsia" w:hAnsi="宋体"/>
                <w:sz w:val="24"/>
              </w:rPr>
              <w:t>，第二次喷面层，厚</w:t>
            </w:r>
            <w:r>
              <w:rPr>
                <w:rFonts w:hAnsi="宋体"/>
                <w:sz w:val="24"/>
              </w:rPr>
              <w:t>2cm</w:t>
            </w:r>
            <w:r>
              <w:rPr>
                <w:rFonts w:hint="eastAsia" w:hAnsi="宋体"/>
                <w:sz w:val="24"/>
              </w:rPr>
              <w:t>，面层含白三叶草籽，密度为</w:t>
            </w:r>
            <w:r>
              <w:rPr>
                <w:rFonts w:hAnsi="宋体"/>
                <w:sz w:val="24"/>
              </w:rPr>
              <w:t>12g/m</w:t>
            </w:r>
            <w:r>
              <w:rPr>
                <w:rFonts w:hAnsi="宋体"/>
                <w:sz w:val="24"/>
                <w:vertAlign w:val="superscript"/>
              </w:rPr>
              <w:t>2</w:t>
            </w:r>
            <w:r>
              <w:rPr>
                <w:rFonts w:hint="eastAsia" w:hAnsi="宋体"/>
                <w:sz w:val="24"/>
              </w:rPr>
              <w:t>。</w:t>
            </w:r>
          </w:p>
          <w:p w14:paraId="28C47B3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填方边坡撒播灌草籽：填方边坡形成后，立即覆土，然后撒播草籽恢复植被，灌草混播比例为</w:t>
            </w:r>
            <w:r>
              <w:rPr>
                <w:rFonts w:hAnsi="宋体"/>
                <w:sz w:val="24"/>
              </w:rPr>
              <w:t>1:4</w:t>
            </w:r>
            <w:r>
              <w:rPr>
                <w:rFonts w:hint="eastAsia" w:hAnsi="宋体"/>
                <w:sz w:val="24"/>
              </w:rPr>
              <w:t>，草籽撒播用量为</w:t>
            </w:r>
            <w:r>
              <w:rPr>
                <w:rFonts w:hAnsi="宋体"/>
                <w:sz w:val="24"/>
              </w:rPr>
              <w:t>80kg/hm</w:t>
            </w:r>
            <w:r>
              <w:rPr>
                <w:rFonts w:hAnsi="宋体"/>
                <w:sz w:val="24"/>
                <w:vertAlign w:val="superscript"/>
              </w:rPr>
              <w:t>2</w:t>
            </w:r>
            <w:r>
              <w:rPr>
                <w:rFonts w:hint="eastAsia" w:hAnsi="宋体"/>
                <w:sz w:val="24"/>
              </w:rPr>
              <w:t>。</w:t>
            </w:r>
          </w:p>
          <w:p w14:paraId="468A6347">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2A4BF98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临时覆盖措施</w:t>
            </w:r>
          </w:p>
          <w:p w14:paraId="0FD015E1">
            <w:pPr>
              <w:autoSpaceDE w:val="0"/>
              <w:adjustRightInd w:val="0"/>
              <w:snapToGrid w:val="0"/>
              <w:spacing w:line="360" w:lineRule="auto"/>
              <w:ind w:firstLine="480" w:firstLineChars="200"/>
              <w:jc w:val="left"/>
              <w:rPr>
                <w:rFonts w:hAnsi="宋体"/>
                <w:sz w:val="24"/>
              </w:rPr>
            </w:pPr>
            <w:r>
              <w:rPr>
                <w:rFonts w:hint="eastAsia" w:hAnsi="宋体"/>
                <w:sz w:val="24"/>
              </w:rPr>
              <w:t>施工形成的挖、填路基边坡在防护措施还未到位的情况下需采取临时覆盖，防止边坡冲刷。</w:t>
            </w:r>
          </w:p>
          <w:p w14:paraId="74A9EEE0">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临时排水、沉沙措施</w:t>
            </w:r>
          </w:p>
          <w:p w14:paraId="02282A01">
            <w:pPr>
              <w:autoSpaceDE w:val="0"/>
              <w:adjustRightInd w:val="0"/>
              <w:snapToGrid w:val="0"/>
              <w:spacing w:line="360" w:lineRule="auto"/>
              <w:ind w:firstLine="480" w:firstLineChars="200"/>
              <w:jc w:val="left"/>
              <w:rPr>
                <w:rFonts w:hAnsi="宋体"/>
                <w:sz w:val="24"/>
              </w:rPr>
            </w:pPr>
            <w:r>
              <w:rPr>
                <w:rFonts w:hint="eastAsia" w:hAnsi="宋体"/>
                <w:sz w:val="24"/>
              </w:rPr>
              <w:t>施工前，设置临时排水、沉沙措施，防止施工期产生新增水土流失。临时截排水沟予以保留，</w:t>
            </w:r>
            <w:r>
              <w:rPr>
                <w:rFonts w:hint="eastAsia" w:hAnsi="宋体"/>
                <w:sz w:val="24"/>
                <w:lang w:eastAsia="zh-CN"/>
              </w:rPr>
              <w:t>再次</w:t>
            </w:r>
            <w:r>
              <w:rPr>
                <w:rFonts w:hint="eastAsia" w:hAnsi="宋体"/>
                <w:sz w:val="24"/>
              </w:rPr>
              <w:t>基础上修建永久排水沟。临时排水沟采用梯形土沟，尺寸为下底宽</w:t>
            </w:r>
            <w:r>
              <w:rPr>
                <w:rFonts w:hAnsi="宋体"/>
                <w:sz w:val="24"/>
              </w:rPr>
              <w:t>0.3m</w:t>
            </w:r>
            <w:r>
              <w:rPr>
                <w:rFonts w:hint="eastAsia" w:hAnsi="宋体"/>
                <w:sz w:val="24"/>
              </w:rPr>
              <w:t>，上底宽</w:t>
            </w:r>
            <w:r>
              <w:rPr>
                <w:rFonts w:hAnsi="宋体"/>
                <w:sz w:val="24"/>
              </w:rPr>
              <w:t>0.6m</w:t>
            </w:r>
            <w:r>
              <w:rPr>
                <w:rFonts w:hint="eastAsia" w:hAnsi="宋体"/>
                <w:sz w:val="24"/>
              </w:rPr>
              <w:t>，深</w:t>
            </w:r>
            <w:r>
              <w:rPr>
                <w:rFonts w:hAnsi="宋体"/>
                <w:sz w:val="24"/>
              </w:rPr>
              <w:t>0.3m</w:t>
            </w:r>
            <w:r>
              <w:rPr>
                <w:rFonts w:hint="eastAsia" w:hAnsi="宋体"/>
                <w:sz w:val="24"/>
              </w:rPr>
              <w:t>。临时排水沟末端需设置沉沙池，沉沙池尺寸为：长</w:t>
            </w:r>
            <w:r>
              <w:rPr>
                <w:rFonts w:hAnsi="宋体"/>
                <w:sz w:val="24"/>
              </w:rPr>
              <w:t>×</w:t>
            </w:r>
            <w:r>
              <w:rPr>
                <w:rFonts w:hint="eastAsia" w:hAnsi="宋体"/>
                <w:sz w:val="24"/>
              </w:rPr>
              <w:t>宽</w:t>
            </w:r>
            <w:r>
              <w:rPr>
                <w:rFonts w:hAnsi="宋体"/>
                <w:sz w:val="24"/>
              </w:rPr>
              <w:t>×</w:t>
            </w:r>
            <w:r>
              <w:rPr>
                <w:rFonts w:hint="eastAsia" w:hAnsi="宋体"/>
                <w:sz w:val="24"/>
              </w:rPr>
              <w:t>深</w:t>
            </w:r>
            <w:r>
              <w:rPr>
                <w:rFonts w:hAnsi="宋体"/>
                <w:sz w:val="24"/>
              </w:rPr>
              <w:t>=1.5m×1.5m×1.0m</w:t>
            </w:r>
            <w:r>
              <w:rPr>
                <w:rFonts w:hint="eastAsia" w:hAnsi="宋体"/>
                <w:sz w:val="24"/>
              </w:rPr>
              <w:t>，土质，开挖后夯实。</w:t>
            </w:r>
          </w:p>
          <w:p w14:paraId="44960269">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临时拦挡措施</w:t>
            </w:r>
          </w:p>
          <w:p w14:paraId="0ABDA57D">
            <w:pPr>
              <w:pStyle w:val="58"/>
              <w:adjustRightInd w:val="0"/>
              <w:snapToGrid w:val="0"/>
              <w:jc w:val="left"/>
              <w:rPr>
                <w:rFonts w:hAnsi="Times New Roman"/>
                <w:kern w:val="2"/>
                <w:szCs w:val="21"/>
              </w:rPr>
            </w:pPr>
            <w:r>
              <w:rPr>
                <w:rFonts w:hint="eastAsia"/>
              </w:rPr>
              <w:t>为防止道路路基施工时边坡回填土下泄，在边坡下游侧布设临时拦挡措施：采用建筑竹夹板</w:t>
            </w:r>
            <w:r>
              <w:t>(1.0m</w:t>
            </w:r>
            <w:r>
              <w:rPr>
                <w:rFonts w:hint="eastAsia"/>
              </w:rPr>
              <w:t>×</w:t>
            </w:r>
            <w:r>
              <w:t>1.8m)</w:t>
            </w:r>
            <w:r>
              <w:rPr>
                <w:rFonts w:hint="eastAsia"/>
              </w:rPr>
              <w:t>和施工脚手架绑结，竹夹板高度为</w:t>
            </w:r>
            <w:r>
              <w:t>1.0m</w:t>
            </w:r>
            <w:r>
              <w:rPr>
                <w:rFonts w:hint="eastAsia"/>
              </w:rPr>
              <w:t>，可根据施工进度轮流使用。</w:t>
            </w:r>
          </w:p>
          <w:p w14:paraId="326AD5FB">
            <w:pPr>
              <w:pStyle w:val="58"/>
              <w:adjustRightInd w:val="0"/>
              <w:snapToGrid w:val="0"/>
              <w:ind w:firstLine="0" w:firstLineChars="0"/>
              <w:jc w:val="left"/>
              <w:rPr>
                <w:rFonts w:hAnsi="Times New Roman"/>
                <w:b/>
                <w:bCs/>
                <w:kern w:val="2"/>
                <w:szCs w:val="24"/>
              </w:rPr>
            </w:pPr>
            <w:r>
              <w:rPr>
                <w:rFonts w:hAnsi="Times New Roman"/>
                <w:b/>
                <w:bCs/>
                <w:kern w:val="2"/>
                <w:szCs w:val="24"/>
              </w:rPr>
              <w:t>5.6.4集电线路区水土流失防治措施</w:t>
            </w:r>
          </w:p>
          <w:p w14:paraId="2932D81B">
            <w:pPr>
              <w:pStyle w:val="58"/>
              <w:adjustRightInd w:val="0"/>
              <w:snapToGrid w:val="0"/>
              <w:jc w:val="left"/>
            </w:pPr>
            <w:r>
              <w:rPr>
                <w:rFonts w:hint="eastAsia"/>
              </w:rPr>
              <w:t>本工程集电线路采用直埋电缆方案，施工完成后整平，撒播草种。施工过程中新增临时覆盖措施，防止开挖后松散土石方流失。</w:t>
            </w:r>
          </w:p>
          <w:p w14:paraId="6548002B">
            <w:pPr>
              <w:pStyle w:val="58"/>
              <w:adjustRightInd w:val="0"/>
              <w:snapToGrid w:val="0"/>
              <w:ind w:firstLine="0" w:firstLineChars="0"/>
              <w:jc w:val="left"/>
              <w:rPr>
                <w:rFonts w:hAnsi="Times New Roman"/>
                <w:b/>
                <w:bCs/>
                <w:kern w:val="2"/>
                <w:szCs w:val="24"/>
              </w:rPr>
            </w:pPr>
            <w:r>
              <w:rPr>
                <w:rFonts w:hAnsi="Times New Roman"/>
                <w:b/>
                <w:bCs/>
                <w:kern w:val="2"/>
                <w:szCs w:val="24"/>
              </w:rPr>
              <w:t>5.6.5施工</w:t>
            </w:r>
            <w:r>
              <w:rPr>
                <w:rFonts w:hint="eastAsia" w:hAnsi="Times New Roman"/>
                <w:b/>
                <w:bCs/>
                <w:kern w:val="2"/>
                <w:szCs w:val="24"/>
                <w:lang w:val="en-US" w:eastAsia="zh-CN"/>
              </w:rPr>
              <w:t>临建区</w:t>
            </w:r>
            <w:r>
              <w:rPr>
                <w:rFonts w:hAnsi="Times New Roman"/>
                <w:b/>
                <w:bCs/>
                <w:kern w:val="2"/>
                <w:szCs w:val="24"/>
              </w:rPr>
              <w:t>水土流失防治措施</w:t>
            </w:r>
          </w:p>
          <w:p w14:paraId="310D99BC">
            <w:pPr>
              <w:autoSpaceDE w:val="0"/>
              <w:adjustRightInd w:val="0"/>
              <w:snapToGrid w:val="0"/>
              <w:spacing w:line="360" w:lineRule="auto"/>
              <w:ind w:firstLine="480" w:firstLineChars="200"/>
              <w:jc w:val="left"/>
              <w:rPr>
                <w:rFonts w:hAnsi="宋体"/>
                <w:sz w:val="24"/>
              </w:rPr>
            </w:pPr>
            <w:r>
              <w:rPr>
                <w:rFonts w:hint="eastAsia" w:hAnsi="宋体"/>
                <w:sz w:val="24"/>
              </w:rPr>
              <w:t>（1）工程措施</w:t>
            </w:r>
          </w:p>
          <w:p w14:paraId="3273D7BF">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土地整治</w:t>
            </w:r>
          </w:p>
          <w:p w14:paraId="67E3105C">
            <w:pPr>
              <w:autoSpaceDE w:val="0"/>
              <w:adjustRightInd w:val="0"/>
              <w:snapToGrid w:val="0"/>
              <w:spacing w:line="360" w:lineRule="auto"/>
              <w:ind w:firstLine="480" w:firstLineChars="200"/>
              <w:jc w:val="left"/>
              <w:rPr>
                <w:rFonts w:hAnsi="宋体"/>
                <w:sz w:val="24"/>
              </w:rPr>
            </w:pPr>
            <w:r>
              <w:rPr>
                <w:rFonts w:hint="eastAsia" w:hAnsi="宋体"/>
                <w:sz w:val="24"/>
              </w:rPr>
              <w:t>采取土地整治措施，采用全面整地，为实施植物措施做好准备工作。</w:t>
            </w:r>
          </w:p>
          <w:p w14:paraId="2BC306C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表土剥离及回填</w:t>
            </w:r>
          </w:p>
          <w:p w14:paraId="50329420">
            <w:pPr>
              <w:autoSpaceDE w:val="0"/>
              <w:adjustRightInd w:val="0"/>
              <w:snapToGrid w:val="0"/>
              <w:spacing w:line="360" w:lineRule="auto"/>
              <w:ind w:firstLine="480" w:firstLineChars="200"/>
              <w:jc w:val="left"/>
              <w:rPr>
                <w:rFonts w:hAnsi="宋体"/>
                <w:sz w:val="24"/>
              </w:rPr>
            </w:pPr>
            <w:r>
              <w:rPr>
                <w:rFonts w:hint="eastAsia" w:hAnsi="宋体"/>
                <w:sz w:val="24"/>
              </w:rPr>
              <w:t>施工前，对场地进行表土剥离，施工结束后针对绿化面积回填表土。</w:t>
            </w:r>
          </w:p>
          <w:p w14:paraId="1213EE48">
            <w:pPr>
              <w:autoSpaceDE w:val="0"/>
              <w:adjustRightInd w:val="0"/>
              <w:snapToGrid w:val="0"/>
              <w:spacing w:line="360" w:lineRule="auto"/>
              <w:ind w:firstLine="480" w:firstLineChars="200"/>
              <w:jc w:val="left"/>
              <w:rPr>
                <w:rFonts w:hAnsi="宋体"/>
                <w:sz w:val="24"/>
              </w:rPr>
            </w:pPr>
            <w:r>
              <w:rPr>
                <w:rFonts w:hint="eastAsia" w:hAnsi="宋体"/>
                <w:sz w:val="24"/>
              </w:rPr>
              <w:t>（2）植物措施</w:t>
            </w:r>
          </w:p>
          <w:p w14:paraId="6380B392">
            <w:pPr>
              <w:autoSpaceDE w:val="0"/>
              <w:adjustRightInd w:val="0"/>
              <w:snapToGrid w:val="0"/>
              <w:spacing w:line="360" w:lineRule="auto"/>
              <w:ind w:firstLine="480" w:firstLineChars="200"/>
              <w:jc w:val="left"/>
              <w:rPr>
                <w:rFonts w:hAnsi="宋体"/>
                <w:sz w:val="24"/>
              </w:rPr>
            </w:pPr>
            <w:r>
              <w:rPr>
                <w:rFonts w:hint="eastAsia" w:hAnsi="宋体"/>
                <w:sz w:val="24"/>
              </w:rPr>
              <w:t>待表土回采完毕后，栽植灌木并撒播草籽恢复植被，灌木选用紫穗槐，草籽采用白三叶、黑麦草、高羊茅，草籽撒播用量为</w:t>
            </w:r>
            <w:r>
              <w:rPr>
                <w:rFonts w:hAnsi="宋体"/>
                <w:sz w:val="24"/>
              </w:rPr>
              <w:t>80kg/hm</w:t>
            </w:r>
            <w:r>
              <w:rPr>
                <w:rFonts w:hAnsi="宋体"/>
                <w:sz w:val="24"/>
                <w:vertAlign w:val="superscript"/>
              </w:rPr>
              <w:t>2</w:t>
            </w:r>
            <w:r>
              <w:rPr>
                <w:rFonts w:hint="eastAsia" w:hAnsi="宋体"/>
                <w:sz w:val="24"/>
              </w:rPr>
              <w:t>。</w:t>
            </w:r>
          </w:p>
          <w:p w14:paraId="5EAAAEE4">
            <w:pPr>
              <w:autoSpaceDE w:val="0"/>
              <w:adjustRightInd w:val="0"/>
              <w:snapToGrid w:val="0"/>
              <w:spacing w:line="360" w:lineRule="auto"/>
              <w:ind w:firstLine="480" w:firstLineChars="200"/>
              <w:jc w:val="left"/>
              <w:rPr>
                <w:rFonts w:hAnsi="宋体"/>
                <w:sz w:val="24"/>
              </w:rPr>
            </w:pPr>
            <w:r>
              <w:rPr>
                <w:rFonts w:hint="eastAsia" w:hAnsi="宋体"/>
                <w:sz w:val="24"/>
              </w:rPr>
              <w:t>（3）临时措施</w:t>
            </w:r>
          </w:p>
          <w:p w14:paraId="7333402E">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临时排水、沉沙措施</w:t>
            </w:r>
          </w:p>
          <w:p w14:paraId="0B7D8D29">
            <w:pPr>
              <w:autoSpaceDE w:val="0"/>
              <w:adjustRightInd w:val="0"/>
              <w:snapToGrid w:val="0"/>
              <w:spacing w:line="360" w:lineRule="auto"/>
              <w:ind w:firstLine="480" w:firstLineChars="200"/>
              <w:jc w:val="left"/>
              <w:rPr>
                <w:rFonts w:hAnsi="宋体"/>
                <w:sz w:val="24"/>
              </w:rPr>
            </w:pPr>
            <w:r>
              <w:rPr>
                <w:rFonts w:hint="eastAsia" w:hAnsi="宋体"/>
                <w:sz w:val="24"/>
              </w:rPr>
              <w:t>临时设施周边及场内应根据用地布置情况布设临时排水、沉沙措施，本方案采用排水土沟，其断面尺寸为下底</w:t>
            </w:r>
            <w:r>
              <w:rPr>
                <w:rFonts w:hAnsi="宋体"/>
                <w:sz w:val="24"/>
              </w:rPr>
              <w:t>0.3m</w:t>
            </w:r>
            <w:r>
              <w:rPr>
                <w:rFonts w:hint="eastAsia" w:hAnsi="宋体"/>
                <w:sz w:val="24"/>
              </w:rPr>
              <w:t>，上底</w:t>
            </w:r>
            <w:r>
              <w:rPr>
                <w:rFonts w:hAnsi="宋体"/>
                <w:sz w:val="24"/>
              </w:rPr>
              <w:t>0.6m</w:t>
            </w:r>
            <w:r>
              <w:rPr>
                <w:rFonts w:hint="eastAsia" w:hAnsi="宋体"/>
                <w:sz w:val="24"/>
              </w:rPr>
              <w:t>，深</w:t>
            </w:r>
            <w:r>
              <w:rPr>
                <w:rFonts w:hAnsi="宋体"/>
                <w:sz w:val="24"/>
              </w:rPr>
              <w:t>0.3m</w:t>
            </w:r>
            <w:r>
              <w:rPr>
                <w:rFonts w:hint="eastAsia" w:hAnsi="宋体"/>
                <w:sz w:val="24"/>
              </w:rPr>
              <w:t>，临时排水沟末端需设置沉沙池，沉沙池尺寸为：长</w:t>
            </w:r>
            <w:r>
              <w:rPr>
                <w:rFonts w:hAnsi="宋体"/>
                <w:sz w:val="24"/>
              </w:rPr>
              <w:t>×</w:t>
            </w:r>
            <w:r>
              <w:rPr>
                <w:rFonts w:hint="eastAsia" w:hAnsi="宋体"/>
                <w:sz w:val="24"/>
              </w:rPr>
              <w:t>宽</w:t>
            </w:r>
            <w:r>
              <w:rPr>
                <w:rFonts w:hAnsi="宋体"/>
                <w:sz w:val="24"/>
              </w:rPr>
              <w:t>×</w:t>
            </w:r>
            <w:r>
              <w:rPr>
                <w:rFonts w:hint="eastAsia" w:hAnsi="宋体"/>
                <w:sz w:val="24"/>
              </w:rPr>
              <w:t>深</w:t>
            </w:r>
            <w:r>
              <w:rPr>
                <w:rFonts w:hAnsi="宋体"/>
                <w:sz w:val="24"/>
              </w:rPr>
              <w:t>=1.5m×1.5m×1.0m</w:t>
            </w:r>
            <w:r>
              <w:rPr>
                <w:rFonts w:hint="eastAsia" w:hAnsi="宋体"/>
                <w:sz w:val="24"/>
              </w:rPr>
              <w:t>，土质，开挖后夯实。</w:t>
            </w:r>
          </w:p>
          <w:p w14:paraId="4FC38D9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临时拦挡、覆盖措施</w:t>
            </w:r>
          </w:p>
          <w:p w14:paraId="5AF8FECE">
            <w:pPr>
              <w:pStyle w:val="58"/>
              <w:adjustRightInd w:val="0"/>
              <w:snapToGrid w:val="0"/>
              <w:jc w:val="left"/>
            </w:pPr>
            <w:r>
              <w:rPr>
                <w:rFonts w:hint="eastAsia"/>
              </w:rPr>
              <w:t>本区施工场平前应预先在填方区设置好（袋装土）临时拦挡，场平后，对边坡区采用无纺布进行覆盖。</w:t>
            </w:r>
          </w:p>
          <w:p w14:paraId="74BAFE06">
            <w:pPr>
              <w:pStyle w:val="58"/>
              <w:adjustRightInd w:val="0"/>
              <w:snapToGrid w:val="0"/>
              <w:ind w:firstLine="0" w:firstLineChars="0"/>
              <w:jc w:val="left"/>
              <w:rPr>
                <w:rFonts w:hAnsi="Times New Roman"/>
                <w:b/>
                <w:bCs/>
                <w:kern w:val="2"/>
                <w:szCs w:val="24"/>
              </w:rPr>
            </w:pPr>
            <w:r>
              <w:rPr>
                <w:rFonts w:hAnsi="Times New Roman"/>
                <w:b/>
                <w:bCs/>
                <w:kern w:val="2"/>
                <w:szCs w:val="24"/>
              </w:rPr>
              <w:t>5.6.6弃渣场区水土流失防治措施</w:t>
            </w:r>
          </w:p>
          <w:p w14:paraId="1EA167E7">
            <w:pPr>
              <w:autoSpaceDE w:val="0"/>
              <w:adjustRightInd w:val="0"/>
              <w:snapToGrid w:val="0"/>
              <w:spacing w:line="360" w:lineRule="auto"/>
              <w:ind w:firstLine="480" w:firstLineChars="200"/>
              <w:jc w:val="left"/>
              <w:rPr>
                <w:rFonts w:hAnsi="宋体"/>
                <w:sz w:val="24"/>
              </w:rPr>
            </w:pPr>
            <w:r>
              <w:rPr>
                <w:rFonts w:hint="eastAsia" w:hAnsi="宋体"/>
                <w:sz w:val="24"/>
              </w:rPr>
              <w:t>（1）措施布置</w:t>
            </w:r>
          </w:p>
          <w:p w14:paraId="3F3BB0F5">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按照</w:t>
            </w:r>
            <w:r>
              <w:rPr>
                <w:rFonts w:hAnsi="宋体"/>
                <w:sz w:val="24"/>
              </w:rPr>
              <w:t>“</w:t>
            </w:r>
            <w:r>
              <w:rPr>
                <w:rFonts w:hint="eastAsia" w:hAnsi="宋体"/>
                <w:sz w:val="24"/>
              </w:rPr>
              <w:t>上截下拦</w:t>
            </w:r>
            <w:r>
              <w:rPr>
                <w:rFonts w:hAnsi="宋体"/>
                <w:sz w:val="24"/>
              </w:rPr>
              <w:t>”</w:t>
            </w:r>
            <w:r>
              <w:rPr>
                <w:rFonts w:hint="eastAsia" w:hAnsi="宋体"/>
                <w:sz w:val="24"/>
              </w:rPr>
              <w:t>的原则，弃渣前在弃渣场下侧修建浆砌石挡渣墙，挡渣墙修建应根据弃渣堆放的位置和地形特点进行设置，应安全、经济、合理。在弃渣场坡顶上侧修截水沟拦截坡面径流，排水沟出口处落差</w:t>
            </w:r>
            <w:r>
              <w:rPr>
                <w:rFonts w:hAnsi="宋体"/>
                <w:sz w:val="24"/>
              </w:rPr>
              <w:t xml:space="preserve">≥5.0m </w:t>
            </w:r>
            <w:r>
              <w:rPr>
                <w:rFonts w:hint="eastAsia" w:hAnsi="宋体"/>
                <w:sz w:val="24"/>
              </w:rPr>
              <w:t>时，出口末端设置陡槽消能措施。</w:t>
            </w:r>
          </w:p>
          <w:p w14:paraId="19FCE67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int="eastAsia" w:hAnsi="宋体"/>
                <w:sz w:val="24"/>
              </w:rPr>
              <w:t>弃渣应分层碾压，沿弃渣高度每隔</w:t>
            </w:r>
            <w:r>
              <w:rPr>
                <w:rFonts w:hAnsi="宋体"/>
                <w:sz w:val="24"/>
              </w:rPr>
              <w:t xml:space="preserve">8m </w:t>
            </w:r>
            <w:r>
              <w:rPr>
                <w:rFonts w:hint="eastAsia" w:hAnsi="宋体"/>
                <w:sz w:val="24"/>
              </w:rPr>
              <w:t>设一级马道，马道宽度为</w:t>
            </w:r>
            <w:r>
              <w:rPr>
                <w:rFonts w:hAnsi="宋体"/>
                <w:sz w:val="24"/>
              </w:rPr>
              <w:t>2m</w:t>
            </w:r>
            <w:r>
              <w:rPr>
                <w:rFonts w:hint="eastAsia" w:hAnsi="宋体"/>
                <w:sz w:val="24"/>
              </w:rPr>
              <w:t>，马道内侧设置排水沟，排水沟与截水沟相互顺接。</w:t>
            </w:r>
          </w:p>
          <w:p w14:paraId="63B4BC8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int="eastAsia" w:hAnsi="宋体"/>
                <w:sz w:val="24"/>
              </w:rPr>
              <w:t>为保证弃渣边坡的稳定，从挡渣墙顶至弃渣面按</w:t>
            </w:r>
            <w:r>
              <w:rPr>
                <w:rFonts w:hAnsi="宋体"/>
                <w:sz w:val="24"/>
              </w:rPr>
              <w:t xml:space="preserve">1:1.5~1:2 </w:t>
            </w:r>
            <w:r>
              <w:rPr>
                <w:rFonts w:hint="eastAsia" w:hAnsi="宋体"/>
                <w:sz w:val="24"/>
              </w:rPr>
              <w:t>放坡。</w:t>
            </w:r>
          </w:p>
          <w:p w14:paraId="5C0E74EF">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int="eastAsia" w:hAnsi="宋体"/>
                <w:sz w:val="24"/>
              </w:rPr>
              <w:t>弃渣完成后应对弃渣面进行平整。在渣面修建浆砌石排水沟与渣场下游原有排水体系相连，以排泄渣面积水并防止雨水对渣体边坡的冲刷。</w:t>
            </w:r>
          </w:p>
          <w:p w14:paraId="1CD064AB">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5 \* GB3</w:instrText>
            </w:r>
            <w:r>
              <w:rPr>
                <w:rFonts w:hAnsi="宋体"/>
                <w:sz w:val="24"/>
              </w:rPr>
              <w:instrText xml:space="preserve"> </w:instrText>
            </w:r>
            <w:r>
              <w:rPr>
                <w:rFonts w:hAnsi="宋体"/>
                <w:sz w:val="24"/>
              </w:rPr>
              <w:fldChar w:fldCharType="separate"/>
            </w:r>
            <w:r>
              <w:rPr>
                <w:rFonts w:hint="eastAsia" w:hAnsi="宋体"/>
                <w:sz w:val="24"/>
              </w:rPr>
              <w:t>⑤</w:t>
            </w:r>
            <w:r>
              <w:rPr>
                <w:rFonts w:hAnsi="宋体"/>
                <w:sz w:val="24"/>
              </w:rPr>
              <w:fldChar w:fldCharType="end"/>
            </w:r>
            <w:r>
              <w:rPr>
                <w:rFonts w:hint="eastAsia" w:hAnsi="宋体"/>
                <w:sz w:val="24"/>
              </w:rPr>
              <w:t>弃渣完毕后，对渣体边坡进行修整，撒播草籽</w:t>
            </w:r>
            <w:r>
              <w:rPr>
                <w:rFonts w:hAnsi="宋体"/>
                <w:sz w:val="24"/>
              </w:rPr>
              <w:t>+</w:t>
            </w:r>
            <w:r>
              <w:rPr>
                <w:rFonts w:hint="eastAsia" w:hAnsi="宋体"/>
                <w:sz w:val="24"/>
              </w:rPr>
              <w:t>栽植灌木恢复植被。弃渣场顶部采取撒播草籽</w:t>
            </w:r>
            <w:r>
              <w:rPr>
                <w:rFonts w:hAnsi="宋体"/>
                <w:sz w:val="24"/>
              </w:rPr>
              <w:t>+</w:t>
            </w:r>
            <w:r>
              <w:rPr>
                <w:rFonts w:hint="eastAsia" w:hAnsi="宋体"/>
                <w:sz w:val="24"/>
              </w:rPr>
              <w:t>种植水土保持林恢复植被。</w:t>
            </w:r>
          </w:p>
          <w:p w14:paraId="19462D3F">
            <w:pPr>
              <w:autoSpaceDE w:val="0"/>
              <w:adjustRightInd w:val="0"/>
              <w:snapToGrid w:val="0"/>
              <w:spacing w:line="360" w:lineRule="auto"/>
              <w:ind w:firstLine="480" w:firstLineChars="200"/>
              <w:jc w:val="left"/>
              <w:rPr>
                <w:rFonts w:hAnsi="宋体"/>
                <w:sz w:val="24"/>
              </w:rPr>
            </w:pPr>
            <w:r>
              <w:rPr>
                <w:rFonts w:hint="eastAsia" w:hAnsi="宋体"/>
                <w:sz w:val="24"/>
              </w:rPr>
              <w:t>（2）工程措施</w:t>
            </w:r>
          </w:p>
          <w:p w14:paraId="7DB1410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1 \* GB3</w:instrText>
            </w:r>
            <w:r>
              <w:rPr>
                <w:rFonts w:hAnsi="宋体"/>
                <w:sz w:val="24"/>
              </w:rPr>
              <w:instrText xml:space="preserve"> </w:instrText>
            </w:r>
            <w:r>
              <w:rPr>
                <w:rFonts w:hAnsi="宋体"/>
                <w:sz w:val="24"/>
              </w:rPr>
              <w:fldChar w:fldCharType="separate"/>
            </w:r>
            <w:r>
              <w:rPr>
                <w:rFonts w:hint="eastAsia" w:hAnsi="宋体"/>
                <w:sz w:val="24"/>
              </w:rPr>
              <w:t>①</w:t>
            </w:r>
            <w:r>
              <w:rPr>
                <w:rFonts w:hAnsi="宋体"/>
                <w:sz w:val="24"/>
              </w:rPr>
              <w:fldChar w:fldCharType="end"/>
            </w:r>
            <w:r>
              <w:rPr>
                <w:rFonts w:hint="eastAsia" w:hAnsi="宋体"/>
                <w:sz w:val="24"/>
              </w:rPr>
              <w:t>浆砌石挡渣墙</w:t>
            </w:r>
          </w:p>
          <w:p w14:paraId="5D577A48">
            <w:pPr>
              <w:autoSpaceDE w:val="0"/>
              <w:adjustRightInd w:val="0"/>
              <w:snapToGrid w:val="0"/>
              <w:spacing w:line="360" w:lineRule="auto"/>
              <w:ind w:firstLine="480" w:firstLineChars="200"/>
              <w:jc w:val="left"/>
              <w:rPr>
                <w:rFonts w:hAnsi="宋体"/>
                <w:sz w:val="24"/>
              </w:rPr>
            </w:pPr>
            <w:r>
              <w:rPr>
                <w:rFonts w:hint="eastAsia" w:hAnsi="宋体"/>
                <w:sz w:val="24"/>
              </w:rPr>
              <w:t>根据弃渣场地形，弃渣场应在沟口用挡渣墙拦挡，挡渣墙布设应尽量选择</w:t>
            </w:r>
            <w:r>
              <w:rPr>
                <w:rFonts w:hAnsi="宋体"/>
                <w:sz w:val="24"/>
              </w:rPr>
              <w:t>“</w:t>
            </w:r>
            <w:r>
              <w:rPr>
                <w:rFonts w:hint="eastAsia" w:hAnsi="宋体"/>
                <w:sz w:val="24"/>
              </w:rPr>
              <w:t>口小</w:t>
            </w:r>
            <w:r>
              <w:rPr>
                <w:rFonts w:hAnsi="宋体"/>
                <w:sz w:val="24"/>
              </w:rPr>
              <w:t>”</w:t>
            </w:r>
            <w:r>
              <w:rPr>
                <w:rFonts w:hint="eastAsia" w:hAnsi="宋体"/>
                <w:sz w:val="24"/>
              </w:rPr>
              <w:t>地段，并避开不良地形地质地段，在保证弃渣场安全的前提下尽量减少挡渣墙的高度和断面尺寸，考虑到项目位置属低山丘陵区，渣场地面横坡一般较大，挡渣墙结构型式按重力式浆砌石挡渣墙考虑，内侧面竖直，外侧面坡比</w:t>
            </w:r>
            <w:r>
              <w:rPr>
                <w:rFonts w:hAnsi="宋体"/>
                <w:sz w:val="24"/>
              </w:rPr>
              <w:t>1:0.4</w:t>
            </w:r>
            <w:r>
              <w:rPr>
                <w:rFonts w:hint="eastAsia" w:hAnsi="宋体"/>
                <w:sz w:val="24"/>
              </w:rPr>
              <w:t>，基础埋深＞</w:t>
            </w:r>
            <w:r>
              <w:rPr>
                <w:rFonts w:hAnsi="宋体"/>
                <w:sz w:val="24"/>
              </w:rPr>
              <w:t>1.0m</w:t>
            </w:r>
            <w:r>
              <w:rPr>
                <w:rFonts w:hint="eastAsia" w:hAnsi="宋体"/>
                <w:sz w:val="24"/>
              </w:rPr>
              <w:t>。</w:t>
            </w:r>
          </w:p>
          <w:p w14:paraId="5EF05A47">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2 \* GB3</w:instrText>
            </w:r>
            <w:r>
              <w:rPr>
                <w:rFonts w:hAnsi="宋体"/>
                <w:sz w:val="24"/>
              </w:rPr>
              <w:instrText xml:space="preserve"> </w:instrText>
            </w:r>
            <w:r>
              <w:rPr>
                <w:rFonts w:hAnsi="宋体"/>
                <w:sz w:val="24"/>
              </w:rPr>
              <w:fldChar w:fldCharType="separate"/>
            </w:r>
            <w:r>
              <w:rPr>
                <w:rFonts w:hint="eastAsia" w:hAnsi="宋体"/>
                <w:sz w:val="24"/>
              </w:rPr>
              <w:t>②</w:t>
            </w:r>
            <w:r>
              <w:rPr>
                <w:rFonts w:hAnsi="宋体"/>
                <w:sz w:val="24"/>
              </w:rPr>
              <w:fldChar w:fldCharType="end"/>
            </w:r>
            <w:r>
              <w:rPr>
                <w:rFonts w:hAnsi="宋体"/>
                <w:sz w:val="24"/>
              </w:rPr>
              <w:t>截排水沟</w:t>
            </w:r>
          </w:p>
          <w:p w14:paraId="5960A637">
            <w:pPr>
              <w:autoSpaceDE w:val="0"/>
              <w:adjustRightInd w:val="0"/>
              <w:snapToGrid w:val="0"/>
              <w:spacing w:line="360" w:lineRule="auto"/>
              <w:ind w:firstLine="480" w:firstLineChars="200"/>
              <w:jc w:val="left"/>
              <w:rPr>
                <w:rFonts w:hAnsi="宋体"/>
                <w:sz w:val="24"/>
              </w:rPr>
            </w:pPr>
            <w:r>
              <w:rPr>
                <w:rFonts w:hint="eastAsia" w:hAnsi="宋体"/>
                <w:sz w:val="24"/>
              </w:rPr>
              <w:t>矩形排水沟，宽</w:t>
            </w:r>
            <w:r>
              <w:rPr>
                <w:rFonts w:hAnsi="宋体"/>
                <w:sz w:val="24"/>
              </w:rPr>
              <w:t>0.3m</w:t>
            </w:r>
            <w:r>
              <w:rPr>
                <w:rFonts w:hint="eastAsia" w:hAnsi="宋体"/>
                <w:sz w:val="24"/>
              </w:rPr>
              <w:t>，高</w:t>
            </w:r>
            <w:r>
              <w:rPr>
                <w:rFonts w:hAnsi="宋体"/>
                <w:sz w:val="24"/>
              </w:rPr>
              <w:t>0.3m</w:t>
            </w:r>
            <w:r>
              <w:rPr>
                <w:rFonts w:hint="eastAsia" w:hAnsi="宋体"/>
                <w:sz w:val="24"/>
              </w:rPr>
              <w:t>，纵坡为</w:t>
            </w:r>
            <w:r>
              <w:rPr>
                <w:rFonts w:hAnsi="宋体"/>
                <w:sz w:val="24"/>
              </w:rPr>
              <w:t>1/200</w:t>
            </w:r>
            <w:r>
              <w:rPr>
                <w:rFonts w:hint="eastAsia" w:hAnsi="宋体"/>
                <w:sz w:val="24"/>
              </w:rPr>
              <w:t>，</w:t>
            </w:r>
            <w:r>
              <w:rPr>
                <w:rFonts w:hAnsi="宋体"/>
                <w:sz w:val="24"/>
              </w:rPr>
              <w:t xml:space="preserve">M7.5 </w:t>
            </w:r>
            <w:r>
              <w:rPr>
                <w:rFonts w:hint="eastAsia" w:hAnsi="宋体"/>
                <w:sz w:val="24"/>
              </w:rPr>
              <w:t>浆砌石砌筑；梯形排水沟底宽</w:t>
            </w:r>
            <w:r>
              <w:rPr>
                <w:rFonts w:hAnsi="宋体"/>
                <w:sz w:val="24"/>
              </w:rPr>
              <w:t>0.4</w:t>
            </w:r>
            <w:r>
              <w:rPr>
                <w:rFonts w:hint="eastAsia" w:hAnsi="宋体"/>
                <w:sz w:val="24"/>
              </w:rPr>
              <w:t>，高</w:t>
            </w:r>
            <w:r>
              <w:rPr>
                <w:rFonts w:hAnsi="宋体"/>
                <w:sz w:val="24"/>
              </w:rPr>
              <w:t>0.5m</w:t>
            </w:r>
            <w:r>
              <w:rPr>
                <w:rFonts w:hint="eastAsia" w:hAnsi="宋体"/>
                <w:sz w:val="24"/>
              </w:rPr>
              <w:t>，内坡比</w:t>
            </w:r>
            <w:r>
              <w:rPr>
                <w:rFonts w:hAnsi="宋体"/>
                <w:sz w:val="24"/>
              </w:rPr>
              <w:t>0.5</w:t>
            </w:r>
            <w:r>
              <w:rPr>
                <w:rFonts w:hint="eastAsia" w:hAnsi="宋体"/>
                <w:sz w:val="24"/>
              </w:rPr>
              <w:t>。经验算，矩形排水沟过水能力为</w:t>
            </w:r>
            <w:r>
              <w:rPr>
                <w:rFonts w:hAnsi="宋体"/>
                <w:sz w:val="24"/>
              </w:rPr>
              <w:t>0.0914m</w:t>
            </w:r>
            <w:r>
              <w:rPr>
                <w:rFonts w:hAnsi="宋体"/>
                <w:sz w:val="24"/>
                <w:vertAlign w:val="superscript"/>
              </w:rPr>
              <w:t>3</w:t>
            </w:r>
            <w:r>
              <w:rPr>
                <w:rFonts w:hAnsi="宋体"/>
                <w:sz w:val="24"/>
              </w:rPr>
              <w:t>/s</w:t>
            </w:r>
            <w:r>
              <w:rPr>
                <w:rFonts w:hint="eastAsia" w:hAnsi="宋体"/>
                <w:sz w:val="24"/>
              </w:rPr>
              <w:t>，梯形排水沟过水能力为</w:t>
            </w:r>
            <w:r>
              <w:rPr>
                <w:rFonts w:hAnsi="宋体"/>
                <w:sz w:val="24"/>
              </w:rPr>
              <w:t>0.9376m</w:t>
            </w:r>
            <w:r>
              <w:rPr>
                <w:rFonts w:hAnsi="宋体"/>
                <w:sz w:val="24"/>
                <w:vertAlign w:val="superscript"/>
              </w:rPr>
              <w:t>3</w:t>
            </w:r>
            <w:r>
              <w:rPr>
                <w:rFonts w:hAnsi="宋体"/>
                <w:sz w:val="24"/>
              </w:rPr>
              <w:t>/s</w:t>
            </w:r>
            <w:r>
              <w:rPr>
                <w:rFonts w:hint="eastAsia" w:hAnsi="宋体"/>
                <w:sz w:val="24"/>
              </w:rPr>
              <w:t>，满足排水要求。</w:t>
            </w:r>
          </w:p>
          <w:p w14:paraId="434FC873">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3 \* GB3</w:instrText>
            </w:r>
            <w:r>
              <w:rPr>
                <w:rFonts w:hAnsi="宋体"/>
                <w:sz w:val="24"/>
              </w:rPr>
              <w:instrText xml:space="preserve"> </w:instrText>
            </w:r>
            <w:r>
              <w:rPr>
                <w:rFonts w:hAnsi="宋体"/>
                <w:sz w:val="24"/>
              </w:rPr>
              <w:fldChar w:fldCharType="separate"/>
            </w:r>
            <w:r>
              <w:rPr>
                <w:rFonts w:hint="eastAsia" w:hAnsi="宋体"/>
                <w:sz w:val="24"/>
              </w:rPr>
              <w:t>③</w:t>
            </w:r>
            <w:r>
              <w:rPr>
                <w:rFonts w:hAnsi="宋体"/>
                <w:sz w:val="24"/>
              </w:rPr>
              <w:fldChar w:fldCharType="end"/>
            </w:r>
            <w:r>
              <w:rPr>
                <w:rFonts w:hAnsi="宋体"/>
                <w:sz w:val="24"/>
              </w:rPr>
              <w:t>永久性沉砂池</w:t>
            </w:r>
          </w:p>
          <w:p w14:paraId="21DECAC5">
            <w:pPr>
              <w:autoSpaceDE w:val="0"/>
              <w:adjustRightInd w:val="0"/>
              <w:snapToGrid w:val="0"/>
              <w:spacing w:line="360" w:lineRule="auto"/>
              <w:ind w:firstLine="480" w:firstLineChars="200"/>
              <w:jc w:val="left"/>
              <w:rPr>
                <w:rFonts w:hAnsi="宋体"/>
                <w:sz w:val="24"/>
              </w:rPr>
            </w:pPr>
            <w:r>
              <w:rPr>
                <w:rFonts w:hint="eastAsia" w:hAnsi="宋体"/>
                <w:sz w:val="24"/>
              </w:rPr>
              <w:t>为减少水流中泥沙含量，防止泥沙淤积排水沟，影响排水通畅，排水沟布设</w:t>
            </w:r>
            <w:r>
              <w:rPr>
                <w:rFonts w:hAnsi="宋体"/>
                <w:sz w:val="24"/>
              </w:rPr>
              <w:t>Ⅱ</w:t>
            </w:r>
            <w:r>
              <w:rPr>
                <w:rFonts w:hint="eastAsia" w:hAnsi="宋体"/>
                <w:sz w:val="24"/>
              </w:rPr>
              <w:t>型沉沙池，尺寸为</w:t>
            </w:r>
            <w:r>
              <w:rPr>
                <w:rFonts w:hAnsi="宋体"/>
                <w:sz w:val="24"/>
              </w:rPr>
              <w:t>2.0m(</w:t>
            </w:r>
            <w:r>
              <w:rPr>
                <w:rFonts w:hint="eastAsia" w:hAnsi="宋体"/>
                <w:sz w:val="24"/>
              </w:rPr>
              <w:t>长</w:t>
            </w:r>
            <w:r>
              <w:rPr>
                <w:rFonts w:hAnsi="宋体"/>
                <w:sz w:val="24"/>
              </w:rPr>
              <w:t>)×1.0m(</w:t>
            </w:r>
            <w:r>
              <w:rPr>
                <w:rFonts w:hint="eastAsia" w:hAnsi="宋体"/>
                <w:sz w:val="24"/>
              </w:rPr>
              <w:t>宽</w:t>
            </w:r>
            <w:r>
              <w:rPr>
                <w:rFonts w:hAnsi="宋体"/>
                <w:sz w:val="24"/>
              </w:rPr>
              <w:t>)×1.5m(</w:t>
            </w:r>
            <w:r>
              <w:rPr>
                <w:rFonts w:hint="eastAsia" w:hAnsi="宋体"/>
                <w:sz w:val="24"/>
              </w:rPr>
              <w:t>深</w:t>
            </w:r>
            <w:r>
              <w:rPr>
                <w:rFonts w:hAnsi="宋体"/>
                <w:sz w:val="24"/>
              </w:rPr>
              <w:t>)</w:t>
            </w:r>
            <w:r>
              <w:rPr>
                <w:rFonts w:hint="eastAsia" w:hAnsi="宋体"/>
                <w:sz w:val="24"/>
              </w:rPr>
              <w:t>，沉沙池布设在排水沟汇入自然溪沟。</w:t>
            </w:r>
          </w:p>
          <w:p w14:paraId="49D3200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4 \* GB3</w:instrText>
            </w:r>
            <w:r>
              <w:rPr>
                <w:rFonts w:hAnsi="宋体"/>
                <w:sz w:val="24"/>
              </w:rPr>
              <w:instrText xml:space="preserve"> </w:instrText>
            </w:r>
            <w:r>
              <w:rPr>
                <w:rFonts w:hAnsi="宋体"/>
                <w:sz w:val="24"/>
              </w:rPr>
              <w:fldChar w:fldCharType="separate"/>
            </w:r>
            <w:r>
              <w:rPr>
                <w:rFonts w:hint="eastAsia" w:hAnsi="宋体"/>
                <w:sz w:val="24"/>
              </w:rPr>
              <w:t>④</w:t>
            </w:r>
            <w:r>
              <w:rPr>
                <w:rFonts w:hAnsi="宋体"/>
                <w:sz w:val="24"/>
              </w:rPr>
              <w:fldChar w:fldCharType="end"/>
            </w:r>
            <w:r>
              <w:rPr>
                <w:rFonts w:hAnsi="宋体"/>
                <w:sz w:val="24"/>
              </w:rPr>
              <w:t>土地整治</w:t>
            </w:r>
          </w:p>
          <w:p w14:paraId="0E23FB59">
            <w:pPr>
              <w:autoSpaceDE w:val="0"/>
              <w:adjustRightInd w:val="0"/>
              <w:snapToGrid w:val="0"/>
              <w:spacing w:line="360" w:lineRule="auto"/>
              <w:ind w:firstLine="480" w:firstLineChars="200"/>
              <w:jc w:val="left"/>
              <w:rPr>
                <w:rFonts w:hAnsi="宋体"/>
                <w:sz w:val="24"/>
              </w:rPr>
            </w:pPr>
            <w:r>
              <w:rPr>
                <w:rFonts w:hint="eastAsia" w:hAnsi="宋体"/>
                <w:sz w:val="24"/>
              </w:rPr>
              <w:t>弃渣场堆渣完毕，采取土地整治措施。</w:t>
            </w:r>
          </w:p>
          <w:p w14:paraId="37F7EB36">
            <w:pPr>
              <w:autoSpaceDE w:val="0"/>
              <w:adjustRightInd w:val="0"/>
              <w:snapToGrid w:val="0"/>
              <w:spacing w:line="360" w:lineRule="auto"/>
              <w:ind w:firstLine="480" w:firstLineChars="200"/>
              <w:jc w:val="left"/>
              <w:rPr>
                <w:rFonts w:hAnsi="宋体"/>
                <w:sz w:val="24"/>
              </w:rPr>
            </w:pPr>
            <w:r>
              <w:rPr>
                <w:rFonts w:hAnsi="宋体"/>
                <w:sz w:val="24"/>
              </w:rPr>
              <w:fldChar w:fldCharType="begin"/>
            </w:r>
            <w:r>
              <w:rPr>
                <w:rFonts w:hAnsi="宋体"/>
                <w:sz w:val="24"/>
              </w:rPr>
              <w:instrText xml:space="preserve"> </w:instrText>
            </w:r>
            <w:r>
              <w:rPr>
                <w:rFonts w:hint="eastAsia" w:hAnsi="宋体"/>
                <w:sz w:val="24"/>
              </w:rPr>
              <w:instrText xml:space="preserve">= 5 \* GB3</w:instrText>
            </w:r>
            <w:r>
              <w:rPr>
                <w:rFonts w:hAnsi="宋体"/>
                <w:sz w:val="24"/>
              </w:rPr>
              <w:instrText xml:space="preserve"> </w:instrText>
            </w:r>
            <w:r>
              <w:rPr>
                <w:rFonts w:hAnsi="宋体"/>
                <w:sz w:val="24"/>
              </w:rPr>
              <w:fldChar w:fldCharType="separate"/>
            </w:r>
            <w:r>
              <w:rPr>
                <w:rFonts w:hint="eastAsia" w:hAnsi="宋体"/>
                <w:sz w:val="24"/>
              </w:rPr>
              <w:t>⑤</w:t>
            </w:r>
            <w:r>
              <w:rPr>
                <w:rFonts w:hAnsi="宋体"/>
                <w:sz w:val="24"/>
              </w:rPr>
              <w:fldChar w:fldCharType="end"/>
            </w:r>
            <w:r>
              <w:rPr>
                <w:rFonts w:hAnsi="宋体"/>
                <w:sz w:val="24"/>
              </w:rPr>
              <w:t>表土剥离及回填</w:t>
            </w:r>
          </w:p>
          <w:p w14:paraId="3F88D2D9">
            <w:pPr>
              <w:autoSpaceDE w:val="0"/>
              <w:adjustRightInd w:val="0"/>
              <w:snapToGrid w:val="0"/>
              <w:spacing w:line="360" w:lineRule="auto"/>
              <w:ind w:firstLine="480" w:firstLineChars="200"/>
              <w:jc w:val="left"/>
              <w:rPr>
                <w:rFonts w:hAnsi="宋体"/>
                <w:sz w:val="24"/>
              </w:rPr>
            </w:pPr>
            <w:r>
              <w:rPr>
                <w:rFonts w:hint="eastAsia" w:hAnsi="宋体"/>
                <w:sz w:val="24"/>
              </w:rPr>
              <w:t>根据现场实际情况本工程不对弃渣场区的表土进行剥离，堆渣完毕，从其他防治分区调入表土进行回填，作为绿化种植土。</w:t>
            </w:r>
          </w:p>
          <w:p w14:paraId="35A3A407">
            <w:pPr>
              <w:autoSpaceDE w:val="0"/>
              <w:adjustRightInd w:val="0"/>
              <w:snapToGrid w:val="0"/>
              <w:spacing w:line="360" w:lineRule="auto"/>
              <w:ind w:firstLine="480" w:firstLineChars="200"/>
              <w:jc w:val="left"/>
              <w:rPr>
                <w:rFonts w:hAnsi="宋体"/>
                <w:sz w:val="24"/>
              </w:rPr>
            </w:pPr>
            <w:r>
              <w:rPr>
                <w:rFonts w:hint="eastAsia" w:hAnsi="宋体"/>
                <w:sz w:val="24"/>
              </w:rPr>
              <w:t>（3）植物措施</w:t>
            </w:r>
          </w:p>
          <w:p w14:paraId="33B05355">
            <w:pPr>
              <w:autoSpaceDE w:val="0"/>
              <w:adjustRightInd w:val="0"/>
              <w:snapToGrid w:val="0"/>
              <w:spacing w:line="360" w:lineRule="auto"/>
              <w:ind w:firstLine="480" w:firstLineChars="200"/>
              <w:jc w:val="left"/>
              <w:rPr>
                <w:rFonts w:hAnsi="宋体"/>
                <w:sz w:val="24"/>
              </w:rPr>
            </w:pPr>
            <w:r>
              <w:rPr>
                <w:rFonts w:hint="eastAsia" w:hAnsi="宋体"/>
                <w:sz w:val="24"/>
              </w:rPr>
              <w:t>边坡采用草皮护坡，对弃渣场采取乔灌草结合的林草措施。</w:t>
            </w:r>
          </w:p>
          <w:p w14:paraId="0607C1E9">
            <w:pPr>
              <w:autoSpaceDE w:val="0"/>
              <w:adjustRightInd w:val="0"/>
              <w:snapToGrid w:val="0"/>
              <w:spacing w:line="360" w:lineRule="auto"/>
              <w:ind w:firstLine="480" w:firstLineChars="200"/>
              <w:jc w:val="left"/>
              <w:rPr>
                <w:rFonts w:hAnsi="宋体"/>
                <w:sz w:val="24"/>
              </w:rPr>
            </w:pPr>
            <w:r>
              <w:rPr>
                <w:rFonts w:hint="eastAsia" w:hAnsi="宋体"/>
                <w:sz w:val="24"/>
              </w:rPr>
              <w:t>（</w:t>
            </w:r>
            <w:r>
              <w:rPr>
                <w:rFonts w:hAnsi="宋体"/>
                <w:sz w:val="24"/>
              </w:rPr>
              <w:t>4</w:t>
            </w:r>
            <w:r>
              <w:rPr>
                <w:rFonts w:hint="eastAsia" w:hAnsi="宋体"/>
                <w:sz w:val="24"/>
              </w:rPr>
              <w:t>）临时措施</w:t>
            </w:r>
          </w:p>
          <w:p w14:paraId="63849558">
            <w:pPr>
              <w:pStyle w:val="58"/>
              <w:adjustRightInd w:val="0"/>
              <w:snapToGrid w:val="0"/>
              <w:jc w:val="left"/>
              <w:rPr>
                <w:rFonts w:hint="eastAsia"/>
              </w:rPr>
            </w:pPr>
            <w:r>
              <w:rPr>
                <w:rFonts w:hint="eastAsia"/>
              </w:rPr>
              <w:t>对弃渣场区的临时堆渣采取临时覆盖措施。</w:t>
            </w:r>
          </w:p>
          <w:p w14:paraId="41DC882C">
            <w:pPr>
              <w:pStyle w:val="58"/>
              <w:adjustRightInd w:val="0"/>
              <w:snapToGrid w:val="0"/>
              <w:ind w:left="0" w:leftChars="0" w:firstLine="480" w:firstLineChars="200"/>
              <w:jc w:val="left"/>
              <w:rPr>
                <w:rFonts w:hint="default" w:eastAsia="宋体"/>
                <w:color w:val="FF0000"/>
                <w:lang w:val="en-US" w:eastAsia="zh-CN"/>
              </w:rPr>
            </w:pPr>
            <w:r>
              <w:rPr>
                <w:rFonts w:hint="eastAsia"/>
                <w:color w:val="FF0000"/>
                <w:lang w:val="en-US" w:eastAsia="zh-CN"/>
              </w:rPr>
              <w:t>综上所述，施工期建设单位应严格落实各项水土流失防治措施，包括工程措施、植物措施等。具体如下：</w:t>
            </w:r>
          </w:p>
          <w:p w14:paraId="33183902">
            <w:pPr>
              <w:pStyle w:val="58"/>
              <w:adjustRightInd w:val="0"/>
              <w:snapToGrid w:val="0"/>
              <w:spacing w:line="240" w:lineRule="auto"/>
              <w:ind w:left="0" w:leftChars="0" w:firstLine="0" w:firstLineChars="0"/>
              <w:jc w:val="center"/>
              <w:rPr>
                <w:rFonts w:hint="default" w:eastAsia="宋体"/>
                <w:b/>
                <w:bCs/>
                <w:color w:val="FF0000"/>
                <w:lang w:val="en-US" w:eastAsia="zh-CN"/>
              </w:rPr>
            </w:pPr>
            <w:r>
              <w:rPr>
                <w:rFonts w:hint="eastAsia"/>
                <w:b/>
                <w:bCs/>
                <w:color w:val="FF0000"/>
                <w:lang w:val="en-US" w:eastAsia="zh-CN"/>
              </w:rPr>
              <w:t>表5-1  水土保持措施工程量汇总表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941"/>
              <w:gridCol w:w="941"/>
              <w:gridCol w:w="941"/>
              <w:gridCol w:w="941"/>
              <w:gridCol w:w="941"/>
              <w:gridCol w:w="942"/>
              <w:gridCol w:w="943"/>
              <w:gridCol w:w="943"/>
            </w:tblGrid>
            <w:tr w14:paraId="5A473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vMerge w:val="restart"/>
                  <w:tcBorders>
                    <w:top w:val="single" w:color="auto" w:sz="12" w:space="0"/>
                  </w:tcBorders>
                  <w:vAlign w:val="center"/>
                </w:tcPr>
                <w:p w14:paraId="3A4EC2EC">
                  <w:pPr>
                    <w:jc w:val="center"/>
                    <w:rPr>
                      <w:rFonts w:hint="default" w:eastAsia="宋体"/>
                      <w:lang w:val="en-US" w:eastAsia="zh-CN"/>
                    </w:rPr>
                  </w:pPr>
                  <w:r>
                    <w:rPr>
                      <w:rFonts w:hint="eastAsia"/>
                      <w:lang w:val="en-US" w:eastAsia="zh-CN"/>
                    </w:rPr>
                    <w:t>措施内容</w:t>
                  </w:r>
                </w:p>
              </w:tc>
              <w:tc>
                <w:tcPr>
                  <w:tcW w:w="941" w:type="dxa"/>
                  <w:vMerge w:val="restart"/>
                  <w:tcBorders>
                    <w:top w:val="single" w:color="auto" w:sz="12" w:space="0"/>
                  </w:tcBorders>
                  <w:vAlign w:val="center"/>
                </w:tcPr>
                <w:p w14:paraId="605F5633">
                  <w:pPr>
                    <w:jc w:val="center"/>
                    <w:rPr>
                      <w:rFonts w:hint="eastAsia" w:eastAsia="宋体"/>
                      <w:lang w:val="en-US" w:eastAsia="zh-CN"/>
                    </w:rPr>
                  </w:pPr>
                  <w:r>
                    <w:rPr>
                      <w:rFonts w:hint="eastAsia"/>
                      <w:lang w:val="en-US" w:eastAsia="zh-CN"/>
                    </w:rPr>
                    <w:t>单位</w:t>
                  </w:r>
                </w:p>
              </w:tc>
              <w:tc>
                <w:tcPr>
                  <w:tcW w:w="5649" w:type="dxa"/>
                  <w:gridSpan w:val="6"/>
                  <w:tcBorders>
                    <w:top w:val="single" w:color="auto" w:sz="12" w:space="0"/>
                  </w:tcBorders>
                  <w:vAlign w:val="center"/>
                </w:tcPr>
                <w:p w14:paraId="5FEFFDA1">
                  <w:pPr>
                    <w:jc w:val="center"/>
                    <w:rPr>
                      <w:rFonts w:hint="default" w:eastAsia="宋体"/>
                      <w:lang w:val="en-US" w:eastAsia="zh-CN"/>
                    </w:rPr>
                  </w:pPr>
                  <w:r>
                    <w:rPr>
                      <w:rFonts w:hint="eastAsia"/>
                      <w:lang w:val="en-US" w:eastAsia="zh-CN"/>
                    </w:rPr>
                    <w:t>建设分区</w:t>
                  </w:r>
                </w:p>
              </w:tc>
              <w:tc>
                <w:tcPr>
                  <w:tcW w:w="943" w:type="dxa"/>
                  <w:vMerge w:val="restart"/>
                  <w:tcBorders>
                    <w:top w:val="single" w:color="auto" w:sz="12" w:space="0"/>
                    <w:right w:val="nil"/>
                  </w:tcBorders>
                  <w:vAlign w:val="center"/>
                </w:tcPr>
                <w:p w14:paraId="297433BE">
                  <w:pPr>
                    <w:jc w:val="center"/>
                    <w:rPr>
                      <w:rFonts w:hint="eastAsia" w:eastAsia="宋体"/>
                      <w:lang w:val="en-US" w:eastAsia="zh-CN"/>
                    </w:rPr>
                  </w:pPr>
                  <w:r>
                    <w:rPr>
                      <w:rFonts w:hint="eastAsia"/>
                      <w:lang w:val="en-US" w:eastAsia="zh-CN"/>
                    </w:rPr>
                    <w:t>合计</w:t>
                  </w:r>
                </w:p>
              </w:tc>
            </w:tr>
            <w:tr w14:paraId="20367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vMerge w:val="continue"/>
                  <w:vAlign w:val="center"/>
                </w:tcPr>
                <w:p w14:paraId="5039D83B">
                  <w:pPr>
                    <w:jc w:val="center"/>
                    <w:rPr>
                      <w:rFonts w:hint="eastAsia"/>
                    </w:rPr>
                  </w:pPr>
                </w:p>
              </w:tc>
              <w:tc>
                <w:tcPr>
                  <w:tcW w:w="941" w:type="dxa"/>
                  <w:vMerge w:val="continue"/>
                  <w:vAlign w:val="center"/>
                </w:tcPr>
                <w:p w14:paraId="6569745F">
                  <w:pPr>
                    <w:jc w:val="center"/>
                    <w:rPr>
                      <w:rFonts w:hint="eastAsia"/>
                    </w:rPr>
                  </w:pPr>
                </w:p>
              </w:tc>
              <w:tc>
                <w:tcPr>
                  <w:tcW w:w="941" w:type="dxa"/>
                  <w:vAlign w:val="center"/>
                </w:tcPr>
                <w:p w14:paraId="2246060D">
                  <w:pPr>
                    <w:jc w:val="center"/>
                    <w:rPr>
                      <w:rFonts w:hint="default" w:eastAsia="宋体"/>
                      <w:lang w:val="en-US" w:eastAsia="zh-CN"/>
                    </w:rPr>
                  </w:pPr>
                  <w:r>
                    <w:rPr>
                      <w:rFonts w:hint="eastAsia"/>
                      <w:lang w:val="en-US" w:eastAsia="zh-CN"/>
                    </w:rPr>
                    <w:t>风电机组区</w:t>
                  </w:r>
                </w:p>
              </w:tc>
              <w:tc>
                <w:tcPr>
                  <w:tcW w:w="941" w:type="dxa"/>
                  <w:vAlign w:val="center"/>
                </w:tcPr>
                <w:p w14:paraId="5F15C517">
                  <w:pPr>
                    <w:jc w:val="center"/>
                    <w:rPr>
                      <w:rFonts w:hint="default" w:eastAsia="宋体"/>
                      <w:lang w:val="en-US" w:eastAsia="zh-CN"/>
                    </w:rPr>
                  </w:pPr>
                  <w:r>
                    <w:rPr>
                      <w:rFonts w:hint="eastAsia"/>
                      <w:lang w:val="en-US" w:eastAsia="zh-CN"/>
                    </w:rPr>
                    <w:t>升压站工程区</w:t>
                  </w:r>
                </w:p>
              </w:tc>
              <w:tc>
                <w:tcPr>
                  <w:tcW w:w="941" w:type="dxa"/>
                  <w:vAlign w:val="center"/>
                </w:tcPr>
                <w:p w14:paraId="52A13554">
                  <w:pPr>
                    <w:jc w:val="center"/>
                    <w:rPr>
                      <w:rFonts w:hint="default" w:eastAsia="宋体"/>
                      <w:lang w:val="en-US" w:eastAsia="zh-CN"/>
                    </w:rPr>
                  </w:pPr>
                  <w:r>
                    <w:rPr>
                      <w:rFonts w:hint="eastAsia"/>
                      <w:lang w:val="en-US" w:eastAsia="zh-CN"/>
                    </w:rPr>
                    <w:t>道路工程区</w:t>
                  </w:r>
                </w:p>
              </w:tc>
              <w:tc>
                <w:tcPr>
                  <w:tcW w:w="941" w:type="dxa"/>
                  <w:vAlign w:val="center"/>
                </w:tcPr>
                <w:p w14:paraId="7F88798B">
                  <w:pPr>
                    <w:jc w:val="center"/>
                    <w:rPr>
                      <w:rFonts w:hint="default" w:eastAsia="宋体"/>
                      <w:lang w:val="en-US" w:eastAsia="zh-CN"/>
                    </w:rPr>
                  </w:pPr>
                  <w:r>
                    <w:rPr>
                      <w:rFonts w:hint="eastAsia"/>
                      <w:lang w:val="en-US" w:eastAsia="zh-CN"/>
                    </w:rPr>
                    <w:t>弃渣场区</w:t>
                  </w:r>
                </w:p>
              </w:tc>
              <w:tc>
                <w:tcPr>
                  <w:tcW w:w="942" w:type="dxa"/>
                  <w:vAlign w:val="center"/>
                </w:tcPr>
                <w:p w14:paraId="51FD9933">
                  <w:pPr>
                    <w:jc w:val="center"/>
                    <w:rPr>
                      <w:rFonts w:hint="default" w:eastAsia="宋体"/>
                      <w:lang w:val="en-US" w:eastAsia="zh-CN"/>
                    </w:rPr>
                  </w:pPr>
                  <w:r>
                    <w:rPr>
                      <w:rFonts w:hint="eastAsia"/>
                      <w:lang w:val="en-US" w:eastAsia="zh-CN"/>
                    </w:rPr>
                    <w:t>施工临建区</w:t>
                  </w:r>
                </w:p>
              </w:tc>
              <w:tc>
                <w:tcPr>
                  <w:tcW w:w="943" w:type="dxa"/>
                  <w:vAlign w:val="center"/>
                </w:tcPr>
                <w:p w14:paraId="35839269">
                  <w:pPr>
                    <w:jc w:val="center"/>
                    <w:rPr>
                      <w:rFonts w:hint="default" w:eastAsia="宋体"/>
                      <w:lang w:val="en-US" w:eastAsia="zh-CN"/>
                    </w:rPr>
                  </w:pPr>
                  <w:r>
                    <w:rPr>
                      <w:rFonts w:hint="eastAsia"/>
                      <w:lang w:val="en-US" w:eastAsia="zh-CN"/>
                    </w:rPr>
                    <w:t>集电线路区</w:t>
                  </w:r>
                </w:p>
              </w:tc>
              <w:tc>
                <w:tcPr>
                  <w:tcW w:w="943" w:type="dxa"/>
                  <w:vMerge w:val="continue"/>
                  <w:tcBorders>
                    <w:right w:val="nil"/>
                  </w:tcBorders>
                  <w:vAlign w:val="center"/>
                </w:tcPr>
                <w:p w14:paraId="070F61AD">
                  <w:pPr>
                    <w:jc w:val="center"/>
                    <w:rPr>
                      <w:rFonts w:hint="eastAsia"/>
                    </w:rPr>
                  </w:pPr>
                </w:p>
              </w:tc>
            </w:tr>
            <w:tr w14:paraId="72814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5" w:type="dxa"/>
                  <w:gridSpan w:val="9"/>
                  <w:tcBorders>
                    <w:left w:val="nil"/>
                    <w:right w:val="nil"/>
                  </w:tcBorders>
                  <w:vAlign w:val="center"/>
                </w:tcPr>
                <w:p w14:paraId="1EDFC5BF">
                  <w:pPr>
                    <w:jc w:val="center"/>
                    <w:rPr>
                      <w:rFonts w:hint="eastAsia"/>
                    </w:rPr>
                  </w:pPr>
                  <w:r>
                    <w:rPr>
                      <w:rFonts w:hint="eastAsia"/>
                      <w:lang w:val="en-US" w:eastAsia="zh-CN"/>
                    </w:rPr>
                    <w:t>一、工程措施</w:t>
                  </w:r>
                </w:p>
              </w:tc>
            </w:tr>
            <w:tr w14:paraId="44EB8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27EDBD61">
                  <w:pPr>
                    <w:jc w:val="center"/>
                    <w:rPr>
                      <w:rFonts w:hint="eastAsia" w:eastAsia="宋体"/>
                      <w:lang w:val="en-US" w:eastAsia="zh-CN"/>
                    </w:rPr>
                  </w:pPr>
                  <w:r>
                    <w:rPr>
                      <w:rFonts w:hint="eastAsia"/>
                      <w:lang w:val="en-US" w:eastAsia="zh-CN"/>
                    </w:rPr>
                    <w:t>砖砌沉砂池</w:t>
                  </w:r>
                </w:p>
              </w:tc>
              <w:tc>
                <w:tcPr>
                  <w:tcW w:w="941" w:type="dxa"/>
                  <w:vAlign w:val="center"/>
                </w:tcPr>
                <w:p w14:paraId="2E0B5899">
                  <w:pPr>
                    <w:jc w:val="center"/>
                    <w:rPr>
                      <w:rFonts w:hint="eastAsia" w:eastAsia="宋体"/>
                      <w:lang w:val="en-US" w:eastAsia="zh-CN"/>
                    </w:rPr>
                  </w:pPr>
                  <w:r>
                    <w:rPr>
                      <w:rFonts w:hint="eastAsia"/>
                      <w:lang w:val="en-US" w:eastAsia="zh-CN"/>
                    </w:rPr>
                    <w:t>个</w:t>
                  </w:r>
                </w:p>
              </w:tc>
              <w:tc>
                <w:tcPr>
                  <w:tcW w:w="941" w:type="dxa"/>
                  <w:vAlign w:val="center"/>
                </w:tcPr>
                <w:p w14:paraId="3C86652B">
                  <w:pPr>
                    <w:jc w:val="center"/>
                    <w:rPr>
                      <w:rFonts w:hint="default" w:eastAsia="宋体"/>
                      <w:lang w:val="en-US" w:eastAsia="zh-CN"/>
                    </w:rPr>
                  </w:pPr>
                  <w:r>
                    <w:rPr>
                      <w:rFonts w:hint="eastAsia"/>
                      <w:lang w:val="en-US" w:eastAsia="zh-CN"/>
                    </w:rPr>
                    <w:t>23</w:t>
                  </w:r>
                </w:p>
              </w:tc>
              <w:tc>
                <w:tcPr>
                  <w:tcW w:w="941" w:type="dxa"/>
                  <w:vAlign w:val="center"/>
                </w:tcPr>
                <w:p w14:paraId="13ADCFE8">
                  <w:pPr>
                    <w:jc w:val="center"/>
                    <w:rPr>
                      <w:rFonts w:hint="eastAsia"/>
                    </w:rPr>
                  </w:pPr>
                </w:p>
              </w:tc>
              <w:tc>
                <w:tcPr>
                  <w:tcW w:w="941" w:type="dxa"/>
                  <w:vAlign w:val="center"/>
                </w:tcPr>
                <w:p w14:paraId="2794F3CF">
                  <w:pPr>
                    <w:jc w:val="center"/>
                    <w:rPr>
                      <w:rFonts w:hint="default" w:eastAsia="宋体"/>
                      <w:lang w:val="en-US" w:eastAsia="zh-CN"/>
                    </w:rPr>
                  </w:pPr>
                  <w:r>
                    <w:rPr>
                      <w:rFonts w:hint="eastAsia"/>
                      <w:lang w:val="en-US" w:eastAsia="zh-CN"/>
                    </w:rPr>
                    <w:t>84</w:t>
                  </w:r>
                </w:p>
              </w:tc>
              <w:tc>
                <w:tcPr>
                  <w:tcW w:w="941" w:type="dxa"/>
                  <w:vAlign w:val="center"/>
                </w:tcPr>
                <w:p w14:paraId="6B458F47">
                  <w:pPr>
                    <w:jc w:val="center"/>
                    <w:rPr>
                      <w:rFonts w:hint="eastAsia"/>
                    </w:rPr>
                  </w:pPr>
                </w:p>
              </w:tc>
              <w:tc>
                <w:tcPr>
                  <w:tcW w:w="942" w:type="dxa"/>
                  <w:vAlign w:val="center"/>
                </w:tcPr>
                <w:p w14:paraId="0D5FDE0F">
                  <w:pPr>
                    <w:jc w:val="center"/>
                    <w:rPr>
                      <w:rFonts w:hint="eastAsia"/>
                    </w:rPr>
                  </w:pPr>
                </w:p>
              </w:tc>
              <w:tc>
                <w:tcPr>
                  <w:tcW w:w="943" w:type="dxa"/>
                  <w:vAlign w:val="center"/>
                </w:tcPr>
                <w:p w14:paraId="6D2DCD88">
                  <w:pPr>
                    <w:jc w:val="center"/>
                    <w:rPr>
                      <w:rFonts w:hint="eastAsia"/>
                    </w:rPr>
                  </w:pPr>
                </w:p>
              </w:tc>
              <w:tc>
                <w:tcPr>
                  <w:tcW w:w="943" w:type="dxa"/>
                  <w:tcBorders>
                    <w:right w:val="nil"/>
                  </w:tcBorders>
                  <w:vAlign w:val="center"/>
                </w:tcPr>
                <w:p w14:paraId="0CD0B2B5">
                  <w:pPr>
                    <w:jc w:val="center"/>
                    <w:rPr>
                      <w:rFonts w:hint="default" w:eastAsia="宋体"/>
                      <w:lang w:val="en-US" w:eastAsia="zh-CN"/>
                    </w:rPr>
                  </w:pPr>
                  <w:r>
                    <w:rPr>
                      <w:rFonts w:hint="eastAsia"/>
                      <w:lang w:val="en-US" w:eastAsia="zh-CN"/>
                    </w:rPr>
                    <w:t>107</w:t>
                  </w:r>
                </w:p>
              </w:tc>
            </w:tr>
            <w:tr w14:paraId="4E65F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90ECBD8">
                  <w:pPr>
                    <w:jc w:val="center"/>
                    <w:rPr>
                      <w:rFonts w:hint="default" w:eastAsia="宋体"/>
                      <w:lang w:val="en-US" w:eastAsia="zh-CN"/>
                    </w:rPr>
                  </w:pPr>
                  <w:r>
                    <w:rPr>
                      <w:rFonts w:hint="eastAsia"/>
                      <w:lang w:val="en-US" w:eastAsia="zh-CN"/>
                    </w:rPr>
                    <w:t>浆砌石截水沟</w:t>
                  </w:r>
                </w:p>
              </w:tc>
              <w:tc>
                <w:tcPr>
                  <w:tcW w:w="941" w:type="dxa"/>
                  <w:vAlign w:val="center"/>
                </w:tcPr>
                <w:p w14:paraId="3C73835A">
                  <w:pPr>
                    <w:jc w:val="center"/>
                    <w:rPr>
                      <w:rFonts w:hint="default" w:eastAsia="宋体"/>
                      <w:lang w:val="en-US" w:eastAsia="zh-CN"/>
                    </w:rPr>
                  </w:pPr>
                  <w:r>
                    <w:rPr>
                      <w:rFonts w:hint="eastAsia"/>
                      <w:lang w:val="en-US" w:eastAsia="zh-CN"/>
                    </w:rPr>
                    <w:t>m</w:t>
                  </w:r>
                </w:p>
              </w:tc>
              <w:tc>
                <w:tcPr>
                  <w:tcW w:w="941" w:type="dxa"/>
                  <w:vAlign w:val="center"/>
                </w:tcPr>
                <w:p w14:paraId="57617759">
                  <w:pPr>
                    <w:jc w:val="center"/>
                    <w:rPr>
                      <w:rFonts w:hint="default" w:eastAsia="宋体"/>
                      <w:lang w:val="en-US" w:eastAsia="zh-CN"/>
                    </w:rPr>
                  </w:pPr>
                  <w:r>
                    <w:rPr>
                      <w:rFonts w:hint="eastAsia"/>
                      <w:lang w:val="en-US" w:eastAsia="zh-CN"/>
                    </w:rPr>
                    <w:t>296</w:t>
                  </w:r>
                </w:p>
              </w:tc>
              <w:tc>
                <w:tcPr>
                  <w:tcW w:w="941" w:type="dxa"/>
                  <w:vAlign w:val="center"/>
                </w:tcPr>
                <w:p w14:paraId="0B240AC1">
                  <w:pPr>
                    <w:jc w:val="center"/>
                    <w:rPr>
                      <w:rFonts w:hint="eastAsia"/>
                    </w:rPr>
                  </w:pPr>
                </w:p>
              </w:tc>
              <w:tc>
                <w:tcPr>
                  <w:tcW w:w="941" w:type="dxa"/>
                  <w:vAlign w:val="center"/>
                </w:tcPr>
                <w:p w14:paraId="2F653911">
                  <w:pPr>
                    <w:jc w:val="center"/>
                    <w:rPr>
                      <w:rFonts w:hint="eastAsia"/>
                    </w:rPr>
                  </w:pPr>
                </w:p>
              </w:tc>
              <w:tc>
                <w:tcPr>
                  <w:tcW w:w="941" w:type="dxa"/>
                  <w:vAlign w:val="center"/>
                </w:tcPr>
                <w:p w14:paraId="1D6FB966">
                  <w:pPr>
                    <w:jc w:val="center"/>
                    <w:rPr>
                      <w:rFonts w:hint="default" w:eastAsia="宋体"/>
                      <w:lang w:val="en-US" w:eastAsia="zh-CN"/>
                    </w:rPr>
                  </w:pPr>
                  <w:r>
                    <w:rPr>
                      <w:rFonts w:hint="eastAsia"/>
                      <w:lang w:val="en-US" w:eastAsia="zh-CN"/>
                    </w:rPr>
                    <w:t>2738</w:t>
                  </w:r>
                </w:p>
              </w:tc>
              <w:tc>
                <w:tcPr>
                  <w:tcW w:w="942" w:type="dxa"/>
                  <w:vAlign w:val="center"/>
                </w:tcPr>
                <w:p w14:paraId="520AB2BA">
                  <w:pPr>
                    <w:jc w:val="center"/>
                    <w:rPr>
                      <w:rFonts w:hint="eastAsia"/>
                    </w:rPr>
                  </w:pPr>
                </w:p>
              </w:tc>
              <w:tc>
                <w:tcPr>
                  <w:tcW w:w="943" w:type="dxa"/>
                  <w:vAlign w:val="center"/>
                </w:tcPr>
                <w:p w14:paraId="1C8C356E">
                  <w:pPr>
                    <w:jc w:val="center"/>
                    <w:rPr>
                      <w:rFonts w:hint="eastAsia"/>
                    </w:rPr>
                  </w:pPr>
                </w:p>
              </w:tc>
              <w:tc>
                <w:tcPr>
                  <w:tcW w:w="943" w:type="dxa"/>
                  <w:tcBorders>
                    <w:right w:val="nil"/>
                  </w:tcBorders>
                  <w:vAlign w:val="center"/>
                </w:tcPr>
                <w:p w14:paraId="6A0DC250">
                  <w:pPr>
                    <w:jc w:val="center"/>
                    <w:rPr>
                      <w:rFonts w:hint="default" w:eastAsia="宋体"/>
                      <w:lang w:val="en-US" w:eastAsia="zh-CN"/>
                    </w:rPr>
                  </w:pPr>
                  <w:r>
                    <w:rPr>
                      <w:rFonts w:hint="eastAsia"/>
                      <w:lang w:val="en-US" w:eastAsia="zh-CN"/>
                    </w:rPr>
                    <w:t>3034</w:t>
                  </w:r>
                </w:p>
              </w:tc>
            </w:tr>
            <w:tr w14:paraId="2672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1C2E6FC9">
                  <w:pPr>
                    <w:jc w:val="center"/>
                    <w:rPr>
                      <w:rFonts w:hint="default" w:eastAsia="宋体"/>
                      <w:lang w:val="en-US" w:eastAsia="zh-CN"/>
                    </w:rPr>
                  </w:pPr>
                  <w:r>
                    <w:rPr>
                      <w:rFonts w:hint="eastAsia"/>
                      <w:lang w:val="en-US" w:eastAsia="zh-CN"/>
                    </w:rPr>
                    <w:t>浆砌石排水沟</w:t>
                  </w:r>
                </w:p>
              </w:tc>
              <w:tc>
                <w:tcPr>
                  <w:tcW w:w="941" w:type="dxa"/>
                  <w:vAlign w:val="center"/>
                </w:tcPr>
                <w:p w14:paraId="226F9195">
                  <w:pPr>
                    <w:jc w:val="center"/>
                    <w:rPr>
                      <w:rFonts w:hint="eastAsia" w:eastAsia="宋体"/>
                      <w:lang w:val="en-US" w:eastAsia="zh-CN"/>
                    </w:rPr>
                  </w:pPr>
                  <w:r>
                    <w:rPr>
                      <w:rFonts w:hint="eastAsia"/>
                      <w:lang w:val="en-US" w:eastAsia="zh-CN"/>
                    </w:rPr>
                    <w:t>m</w:t>
                  </w:r>
                </w:p>
              </w:tc>
              <w:tc>
                <w:tcPr>
                  <w:tcW w:w="941" w:type="dxa"/>
                  <w:vAlign w:val="center"/>
                </w:tcPr>
                <w:p w14:paraId="2042671A">
                  <w:pPr>
                    <w:jc w:val="center"/>
                    <w:rPr>
                      <w:rFonts w:hint="default" w:eastAsia="宋体"/>
                      <w:lang w:val="en-US" w:eastAsia="zh-CN"/>
                    </w:rPr>
                  </w:pPr>
                  <w:r>
                    <w:rPr>
                      <w:rFonts w:hint="eastAsia"/>
                      <w:lang w:val="en-US" w:eastAsia="zh-CN"/>
                    </w:rPr>
                    <w:t>3000</w:t>
                  </w:r>
                </w:p>
              </w:tc>
              <w:tc>
                <w:tcPr>
                  <w:tcW w:w="941" w:type="dxa"/>
                  <w:vAlign w:val="center"/>
                </w:tcPr>
                <w:p w14:paraId="1A61A99D">
                  <w:pPr>
                    <w:jc w:val="center"/>
                    <w:rPr>
                      <w:rFonts w:hint="default" w:eastAsia="宋体"/>
                      <w:lang w:val="en-US" w:eastAsia="zh-CN"/>
                    </w:rPr>
                  </w:pPr>
                  <w:r>
                    <w:rPr>
                      <w:rFonts w:hint="eastAsia"/>
                      <w:lang w:val="en-US" w:eastAsia="zh-CN"/>
                    </w:rPr>
                    <w:t>245</w:t>
                  </w:r>
                </w:p>
              </w:tc>
              <w:tc>
                <w:tcPr>
                  <w:tcW w:w="941" w:type="dxa"/>
                  <w:vAlign w:val="center"/>
                </w:tcPr>
                <w:p w14:paraId="1C442B42">
                  <w:pPr>
                    <w:jc w:val="center"/>
                    <w:rPr>
                      <w:rFonts w:hint="default" w:eastAsia="宋体"/>
                      <w:lang w:val="en-US" w:eastAsia="zh-CN"/>
                    </w:rPr>
                  </w:pPr>
                  <w:r>
                    <w:rPr>
                      <w:rFonts w:hint="eastAsia"/>
                      <w:lang w:val="en-US" w:eastAsia="zh-CN"/>
                    </w:rPr>
                    <w:t>41050</w:t>
                  </w:r>
                </w:p>
              </w:tc>
              <w:tc>
                <w:tcPr>
                  <w:tcW w:w="941" w:type="dxa"/>
                  <w:vAlign w:val="center"/>
                </w:tcPr>
                <w:p w14:paraId="37A98DC5">
                  <w:pPr>
                    <w:jc w:val="center"/>
                    <w:rPr>
                      <w:rFonts w:hint="default" w:eastAsia="宋体"/>
                      <w:lang w:val="en-US" w:eastAsia="zh-CN"/>
                    </w:rPr>
                  </w:pPr>
                  <w:r>
                    <w:rPr>
                      <w:rFonts w:hint="eastAsia"/>
                      <w:lang w:val="en-US" w:eastAsia="zh-CN"/>
                    </w:rPr>
                    <w:t>3332</w:t>
                  </w:r>
                </w:p>
              </w:tc>
              <w:tc>
                <w:tcPr>
                  <w:tcW w:w="942" w:type="dxa"/>
                  <w:vAlign w:val="center"/>
                </w:tcPr>
                <w:p w14:paraId="6BFA246A">
                  <w:pPr>
                    <w:jc w:val="center"/>
                    <w:rPr>
                      <w:rFonts w:hint="eastAsia"/>
                    </w:rPr>
                  </w:pPr>
                </w:p>
              </w:tc>
              <w:tc>
                <w:tcPr>
                  <w:tcW w:w="943" w:type="dxa"/>
                  <w:vAlign w:val="center"/>
                </w:tcPr>
                <w:p w14:paraId="02D5A281">
                  <w:pPr>
                    <w:jc w:val="center"/>
                    <w:rPr>
                      <w:rFonts w:hint="eastAsia"/>
                    </w:rPr>
                  </w:pPr>
                </w:p>
              </w:tc>
              <w:tc>
                <w:tcPr>
                  <w:tcW w:w="943" w:type="dxa"/>
                  <w:tcBorders>
                    <w:right w:val="nil"/>
                  </w:tcBorders>
                  <w:vAlign w:val="center"/>
                </w:tcPr>
                <w:p w14:paraId="5D091DE2">
                  <w:pPr>
                    <w:jc w:val="center"/>
                    <w:rPr>
                      <w:rFonts w:hint="default" w:eastAsia="宋体"/>
                      <w:lang w:val="en-US" w:eastAsia="zh-CN"/>
                    </w:rPr>
                  </w:pPr>
                  <w:r>
                    <w:rPr>
                      <w:rFonts w:hint="eastAsia"/>
                      <w:lang w:val="en-US" w:eastAsia="zh-CN"/>
                    </w:rPr>
                    <w:t>47627</w:t>
                  </w:r>
                </w:p>
              </w:tc>
            </w:tr>
            <w:tr w14:paraId="10041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23308F20">
                  <w:pPr>
                    <w:jc w:val="center"/>
                    <w:rPr>
                      <w:rFonts w:hint="default" w:eastAsia="宋体"/>
                      <w:lang w:val="en-US" w:eastAsia="zh-CN"/>
                    </w:rPr>
                  </w:pPr>
                  <w:r>
                    <w:rPr>
                      <w:rFonts w:hint="eastAsia"/>
                      <w:lang w:val="en-US" w:eastAsia="zh-CN"/>
                    </w:rPr>
                    <w:t>浆砌石沉砂池</w:t>
                  </w:r>
                </w:p>
              </w:tc>
              <w:tc>
                <w:tcPr>
                  <w:tcW w:w="941" w:type="dxa"/>
                  <w:vAlign w:val="center"/>
                </w:tcPr>
                <w:p w14:paraId="54E43AB1">
                  <w:pPr>
                    <w:jc w:val="center"/>
                    <w:rPr>
                      <w:rFonts w:hint="eastAsia" w:eastAsia="宋体"/>
                      <w:lang w:val="en-US" w:eastAsia="zh-CN"/>
                    </w:rPr>
                  </w:pPr>
                  <w:r>
                    <w:rPr>
                      <w:rFonts w:hint="eastAsia"/>
                      <w:lang w:val="en-US" w:eastAsia="zh-CN"/>
                    </w:rPr>
                    <w:t>个</w:t>
                  </w:r>
                </w:p>
              </w:tc>
              <w:tc>
                <w:tcPr>
                  <w:tcW w:w="941" w:type="dxa"/>
                  <w:vAlign w:val="center"/>
                </w:tcPr>
                <w:p w14:paraId="50676173">
                  <w:pPr>
                    <w:jc w:val="center"/>
                    <w:rPr>
                      <w:rFonts w:hint="eastAsia"/>
                    </w:rPr>
                  </w:pPr>
                </w:p>
              </w:tc>
              <w:tc>
                <w:tcPr>
                  <w:tcW w:w="941" w:type="dxa"/>
                  <w:vAlign w:val="center"/>
                </w:tcPr>
                <w:p w14:paraId="1479F5C4">
                  <w:pPr>
                    <w:jc w:val="center"/>
                    <w:rPr>
                      <w:rFonts w:hint="eastAsia"/>
                    </w:rPr>
                  </w:pPr>
                </w:p>
              </w:tc>
              <w:tc>
                <w:tcPr>
                  <w:tcW w:w="941" w:type="dxa"/>
                  <w:vAlign w:val="center"/>
                </w:tcPr>
                <w:p w14:paraId="092640C2">
                  <w:pPr>
                    <w:jc w:val="center"/>
                    <w:rPr>
                      <w:rFonts w:hint="eastAsia"/>
                    </w:rPr>
                  </w:pPr>
                </w:p>
              </w:tc>
              <w:tc>
                <w:tcPr>
                  <w:tcW w:w="941" w:type="dxa"/>
                  <w:vAlign w:val="center"/>
                </w:tcPr>
                <w:p w14:paraId="3656AF98">
                  <w:pPr>
                    <w:jc w:val="center"/>
                    <w:rPr>
                      <w:rFonts w:hint="default" w:eastAsia="宋体"/>
                      <w:lang w:val="en-US" w:eastAsia="zh-CN"/>
                    </w:rPr>
                  </w:pPr>
                  <w:r>
                    <w:rPr>
                      <w:rFonts w:hint="eastAsia"/>
                      <w:lang w:val="en-US" w:eastAsia="zh-CN"/>
                    </w:rPr>
                    <w:t>18</w:t>
                  </w:r>
                </w:p>
              </w:tc>
              <w:tc>
                <w:tcPr>
                  <w:tcW w:w="942" w:type="dxa"/>
                  <w:vAlign w:val="center"/>
                </w:tcPr>
                <w:p w14:paraId="1CE6816B">
                  <w:pPr>
                    <w:jc w:val="center"/>
                    <w:rPr>
                      <w:rFonts w:hint="eastAsia"/>
                    </w:rPr>
                  </w:pPr>
                </w:p>
              </w:tc>
              <w:tc>
                <w:tcPr>
                  <w:tcW w:w="943" w:type="dxa"/>
                  <w:vAlign w:val="center"/>
                </w:tcPr>
                <w:p w14:paraId="26D8A95C">
                  <w:pPr>
                    <w:jc w:val="center"/>
                    <w:rPr>
                      <w:rFonts w:hint="eastAsia"/>
                    </w:rPr>
                  </w:pPr>
                </w:p>
              </w:tc>
              <w:tc>
                <w:tcPr>
                  <w:tcW w:w="943" w:type="dxa"/>
                  <w:tcBorders>
                    <w:right w:val="nil"/>
                  </w:tcBorders>
                  <w:vAlign w:val="center"/>
                </w:tcPr>
                <w:p w14:paraId="2EF21771">
                  <w:pPr>
                    <w:jc w:val="center"/>
                    <w:rPr>
                      <w:rFonts w:hint="default" w:eastAsia="宋体"/>
                      <w:lang w:val="en-US" w:eastAsia="zh-CN"/>
                    </w:rPr>
                  </w:pPr>
                  <w:r>
                    <w:rPr>
                      <w:rFonts w:hint="eastAsia"/>
                      <w:lang w:val="en-US" w:eastAsia="zh-CN"/>
                    </w:rPr>
                    <w:t>18</w:t>
                  </w:r>
                </w:p>
              </w:tc>
            </w:tr>
            <w:tr w14:paraId="5ACB7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5A4F8248">
                  <w:pPr>
                    <w:jc w:val="center"/>
                    <w:rPr>
                      <w:rFonts w:hint="default" w:eastAsia="宋体"/>
                      <w:lang w:val="en-US" w:eastAsia="zh-CN"/>
                    </w:rPr>
                  </w:pPr>
                  <w:r>
                    <w:rPr>
                      <w:rFonts w:hint="eastAsia"/>
                      <w:lang w:val="en-US" w:eastAsia="zh-CN"/>
                    </w:rPr>
                    <w:t>浆砌石挡土墙</w:t>
                  </w:r>
                </w:p>
              </w:tc>
              <w:tc>
                <w:tcPr>
                  <w:tcW w:w="941" w:type="dxa"/>
                  <w:vAlign w:val="center"/>
                </w:tcPr>
                <w:p w14:paraId="432D2898">
                  <w:pPr>
                    <w:jc w:val="center"/>
                    <w:rPr>
                      <w:rFonts w:hint="eastAsia" w:eastAsia="宋体"/>
                      <w:lang w:val="en-US" w:eastAsia="zh-CN"/>
                    </w:rPr>
                  </w:pPr>
                  <w:r>
                    <w:rPr>
                      <w:rFonts w:hint="eastAsia"/>
                      <w:lang w:val="en-US" w:eastAsia="zh-CN"/>
                    </w:rPr>
                    <w:t>m</w:t>
                  </w:r>
                </w:p>
              </w:tc>
              <w:tc>
                <w:tcPr>
                  <w:tcW w:w="941" w:type="dxa"/>
                  <w:vAlign w:val="center"/>
                </w:tcPr>
                <w:p w14:paraId="662B5158">
                  <w:pPr>
                    <w:jc w:val="center"/>
                    <w:rPr>
                      <w:rFonts w:hint="eastAsia"/>
                    </w:rPr>
                  </w:pPr>
                </w:p>
              </w:tc>
              <w:tc>
                <w:tcPr>
                  <w:tcW w:w="941" w:type="dxa"/>
                  <w:vAlign w:val="center"/>
                </w:tcPr>
                <w:p w14:paraId="1A590ECC">
                  <w:pPr>
                    <w:jc w:val="center"/>
                    <w:rPr>
                      <w:rFonts w:hint="eastAsia"/>
                    </w:rPr>
                  </w:pPr>
                </w:p>
              </w:tc>
              <w:tc>
                <w:tcPr>
                  <w:tcW w:w="941" w:type="dxa"/>
                  <w:vAlign w:val="center"/>
                </w:tcPr>
                <w:p w14:paraId="7274769E">
                  <w:pPr>
                    <w:jc w:val="center"/>
                    <w:rPr>
                      <w:rFonts w:hint="eastAsia"/>
                    </w:rPr>
                  </w:pPr>
                </w:p>
              </w:tc>
              <w:tc>
                <w:tcPr>
                  <w:tcW w:w="941" w:type="dxa"/>
                  <w:vAlign w:val="center"/>
                </w:tcPr>
                <w:p w14:paraId="2E4672F6">
                  <w:pPr>
                    <w:jc w:val="center"/>
                    <w:rPr>
                      <w:rFonts w:hint="default" w:eastAsia="宋体"/>
                      <w:lang w:val="en-US" w:eastAsia="zh-CN"/>
                    </w:rPr>
                  </w:pPr>
                  <w:r>
                    <w:rPr>
                      <w:rFonts w:hint="eastAsia"/>
                      <w:lang w:val="en-US" w:eastAsia="zh-CN"/>
                    </w:rPr>
                    <w:t>580</w:t>
                  </w:r>
                </w:p>
              </w:tc>
              <w:tc>
                <w:tcPr>
                  <w:tcW w:w="942" w:type="dxa"/>
                  <w:vAlign w:val="center"/>
                </w:tcPr>
                <w:p w14:paraId="7497040B">
                  <w:pPr>
                    <w:jc w:val="center"/>
                    <w:rPr>
                      <w:rFonts w:hint="eastAsia"/>
                    </w:rPr>
                  </w:pPr>
                </w:p>
              </w:tc>
              <w:tc>
                <w:tcPr>
                  <w:tcW w:w="943" w:type="dxa"/>
                  <w:vAlign w:val="center"/>
                </w:tcPr>
                <w:p w14:paraId="088A7AF3">
                  <w:pPr>
                    <w:jc w:val="center"/>
                    <w:rPr>
                      <w:rFonts w:hint="eastAsia"/>
                    </w:rPr>
                  </w:pPr>
                </w:p>
              </w:tc>
              <w:tc>
                <w:tcPr>
                  <w:tcW w:w="943" w:type="dxa"/>
                  <w:tcBorders>
                    <w:right w:val="nil"/>
                  </w:tcBorders>
                  <w:vAlign w:val="center"/>
                </w:tcPr>
                <w:p w14:paraId="68BEB699">
                  <w:pPr>
                    <w:jc w:val="center"/>
                    <w:rPr>
                      <w:rFonts w:hint="default" w:eastAsia="宋体"/>
                      <w:lang w:val="en-US" w:eastAsia="zh-CN"/>
                    </w:rPr>
                  </w:pPr>
                  <w:r>
                    <w:rPr>
                      <w:rFonts w:hint="eastAsia"/>
                      <w:lang w:val="en-US" w:eastAsia="zh-CN"/>
                    </w:rPr>
                    <w:t>580</w:t>
                  </w:r>
                </w:p>
              </w:tc>
            </w:tr>
            <w:tr w14:paraId="7C649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513CDF46">
                  <w:pPr>
                    <w:jc w:val="center"/>
                    <w:rPr>
                      <w:rFonts w:hint="default" w:eastAsia="宋体"/>
                      <w:lang w:val="en-US" w:eastAsia="zh-CN"/>
                    </w:rPr>
                  </w:pPr>
                  <w:r>
                    <w:rPr>
                      <w:rFonts w:hint="eastAsia"/>
                      <w:lang w:val="en-US" w:eastAsia="zh-CN"/>
                    </w:rPr>
                    <w:t>消能设施</w:t>
                  </w:r>
                </w:p>
              </w:tc>
              <w:tc>
                <w:tcPr>
                  <w:tcW w:w="941" w:type="dxa"/>
                  <w:vAlign w:val="center"/>
                </w:tcPr>
                <w:p w14:paraId="4CD37120">
                  <w:pPr>
                    <w:jc w:val="center"/>
                    <w:rPr>
                      <w:rFonts w:hint="eastAsia" w:eastAsia="宋体"/>
                      <w:lang w:val="en-US" w:eastAsia="zh-CN"/>
                    </w:rPr>
                  </w:pPr>
                  <w:r>
                    <w:rPr>
                      <w:rFonts w:hint="eastAsia"/>
                      <w:lang w:val="en-US" w:eastAsia="zh-CN"/>
                    </w:rPr>
                    <w:t>m</w:t>
                  </w:r>
                </w:p>
              </w:tc>
              <w:tc>
                <w:tcPr>
                  <w:tcW w:w="941" w:type="dxa"/>
                  <w:vAlign w:val="center"/>
                </w:tcPr>
                <w:p w14:paraId="0B806D3A">
                  <w:pPr>
                    <w:jc w:val="center"/>
                    <w:rPr>
                      <w:rFonts w:hint="default" w:eastAsia="宋体"/>
                      <w:lang w:val="en-US" w:eastAsia="zh-CN"/>
                    </w:rPr>
                  </w:pPr>
                  <w:r>
                    <w:rPr>
                      <w:rFonts w:hint="eastAsia"/>
                      <w:lang w:val="en-US" w:eastAsia="zh-CN"/>
                    </w:rPr>
                    <w:t>115</w:t>
                  </w:r>
                </w:p>
              </w:tc>
              <w:tc>
                <w:tcPr>
                  <w:tcW w:w="941" w:type="dxa"/>
                  <w:vAlign w:val="center"/>
                </w:tcPr>
                <w:p w14:paraId="11EDCA3B">
                  <w:pPr>
                    <w:jc w:val="center"/>
                    <w:rPr>
                      <w:rFonts w:hint="eastAsia"/>
                    </w:rPr>
                  </w:pPr>
                </w:p>
              </w:tc>
              <w:tc>
                <w:tcPr>
                  <w:tcW w:w="941" w:type="dxa"/>
                  <w:vAlign w:val="center"/>
                </w:tcPr>
                <w:p w14:paraId="52004738">
                  <w:pPr>
                    <w:jc w:val="center"/>
                    <w:rPr>
                      <w:rFonts w:hint="default" w:eastAsia="宋体"/>
                      <w:lang w:val="en-US" w:eastAsia="zh-CN"/>
                    </w:rPr>
                  </w:pPr>
                  <w:r>
                    <w:rPr>
                      <w:rFonts w:hint="eastAsia"/>
                      <w:lang w:val="en-US" w:eastAsia="zh-CN"/>
                    </w:rPr>
                    <w:t>3123</w:t>
                  </w:r>
                </w:p>
              </w:tc>
              <w:tc>
                <w:tcPr>
                  <w:tcW w:w="941" w:type="dxa"/>
                  <w:vAlign w:val="center"/>
                </w:tcPr>
                <w:p w14:paraId="2B96A5F7">
                  <w:pPr>
                    <w:jc w:val="center"/>
                    <w:rPr>
                      <w:rFonts w:hint="default" w:eastAsia="宋体"/>
                      <w:lang w:val="en-US" w:eastAsia="zh-CN"/>
                    </w:rPr>
                  </w:pPr>
                  <w:r>
                    <w:rPr>
                      <w:rFonts w:hint="eastAsia"/>
                      <w:lang w:val="en-US" w:eastAsia="zh-CN"/>
                    </w:rPr>
                    <w:t>532</w:t>
                  </w:r>
                </w:p>
              </w:tc>
              <w:tc>
                <w:tcPr>
                  <w:tcW w:w="942" w:type="dxa"/>
                  <w:vAlign w:val="center"/>
                </w:tcPr>
                <w:p w14:paraId="5CE0ADB3">
                  <w:pPr>
                    <w:jc w:val="center"/>
                    <w:rPr>
                      <w:rFonts w:hint="eastAsia"/>
                    </w:rPr>
                  </w:pPr>
                </w:p>
              </w:tc>
              <w:tc>
                <w:tcPr>
                  <w:tcW w:w="943" w:type="dxa"/>
                  <w:vAlign w:val="center"/>
                </w:tcPr>
                <w:p w14:paraId="68C8109F">
                  <w:pPr>
                    <w:jc w:val="center"/>
                    <w:rPr>
                      <w:rFonts w:hint="eastAsia"/>
                    </w:rPr>
                  </w:pPr>
                </w:p>
              </w:tc>
              <w:tc>
                <w:tcPr>
                  <w:tcW w:w="943" w:type="dxa"/>
                  <w:tcBorders>
                    <w:right w:val="nil"/>
                  </w:tcBorders>
                  <w:vAlign w:val="center"/>
                </w:tcPr>
                <w:p w14:paraId="66CC6F8A">
                  <w:pPr>
                    <w:jc w:val="center"/>
                    <w:rPr>
                      <w:rFonts w:hint="default" w:eastAsia="宋体"/>
                      <w:lang w:val="en-US" w:eastAsia="zh-CN"/>
                    </w:rPr>
                  </w:pPr>
                  <w:r>
                    <w:rPr>
                      <w:rFonts w:hint="eastAsia"/>
                      <w:lang w:val="en-US" w:eastAsia="zh-CN"/>
                    </w:rPr>
                    <w:t>3770</w:t>
                  </w:r>
                </w:p>
              </w:tc>
            </w:tr>
            <w:tr w14:paraId="7A844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349FF603">
                  <w:pPr>
                    <w:jc w:val="center"/>
                    <w:rPr>
                      <w:rFonts w:hint="default" w:eastAsia="宋体"/>
                      <w:lang w:val="en-US" w:eastAsia="zh-CN"/>
                    </w:rPr>
                  </w:pPr>
                  <w:r>
                    <w:rPr>
                      <w:rFonts w:hint="eastAsia"/>
                      <w:lang w:val="en-US" w:eastAsia="zh-CN"/>
                    </w:rPr>
                    <w:t>土地平整</w:t>
                  </w:r>
                </w:p>
              </w:tc>
              <w:tc>
                <w:tcPr>
                  <w:tcW w:w="941" w:type="dxa"/>
                  <w:vAlign w:val="center"/>
                </w:tcPr>
                <w:p w14:paraId="7588C3C2">
                  <w:pPr>
                    <w:jc w:val="center"/>
                    <w:rPr>
                      <w:rFonts w:hint="default" w:eastAsia="宋体"/>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16CD1533">
                  <w:pPr>
                    <w:jc w:val="center"/>
                    <w:rPr>
                      <w:rFonts w:hint="default" w:eastAsia="宋体"/>
                      <w:lang w:val="en-US" w:eastAsia="zh-CN"/>
                    </w:rPr>
                  </w:pPr>
                  <w:r>
                    <w:rPr>
                      <w:rFonts w:hint="eastAsia"/>
                      <w:lang w:val="en-US" w:eastAsia="zh-CN"/>
                    </w:rPr>
                    <w:t>6.67</w:t>
                  </w:r>
                </w:p>
              </w:tc>
              <w:tc>
                <w:tcPr>
                  <w:tcW w:w="941" w:type="dxa"/>
                  <w:vAlign w:val="center"/>
                </w:tcPr>
                <w:p w14:paraId="7A80A276">
                  <w:pPr>
                    <w:jc w:val="center"/>
                    <w:rPr>
                      <w:rFonts w:hint="default" w:eastAsia="宋体"/>
                      <w:lang w:val="en-US" w:eastAsia="zh-CN"/>
                    </w:rPr>
                  </w:pPr>
                  <w:r>
                    <w:rPr>
                      <w:rFonts w:hint="eastAsia"/>
                      <w:lang w:val="en-US" w:eastAsia="zh-CN"/>
                    </w:rPr>
                    <w:t>0.15</w:t>
                  </w:r>
                </w:p>
              </w:tc>
              <w:tc>
                <w:tcPr>
                  <w:tcW w:w="941" w:type="dxa"/>
                  <w:vAlign w:val="center"/>
                </w:tcPr>
                <w:p w14:paraId="693B5A81">
                  <w:pPr>
                    <w:jc w:val="center"/>
                    <w:rPr>
                      <w:rFonts w:hint="default" w:eastAsia="宋体"/>
                      <w:lang w:val="en-US" w:eastAsia="zh-CN"/>
                    </w:rPr>
                  </w:pPr>
                  <w:r>
                    <w:rPr>
                      <w:rFonts w:hint="eastAsia"/>
                      <w:lang w:val="en-US" w:eastAsia="zh-CN"/>
                    </w:rPr>
                    <w:t>24.66</w:t>
                  </w:r>
                </w:p>
              </w:tc>
              <w:tc>
                <w:tcPr>
                  <w:tcW w:w="941" w:type="dxa"/>
                  <w:vAlign w:val="center"/>
                </w:tcPr>
                <w:p w14:paraId="7BAF1D4C">
                  <w:pPr>
                    <w:jc w:val="center"/>
                    <w:rPr>
                      <w:rFonts w:hint="default" w:eastAsia="宋体"/>
                      <w:lang w:val="en-US" w:eastAsia="zh-CN"/>
                    </w:rPr>
                  </w:pPr>
                  <w:r>
                    <w:rPr>
                      <w:rFonts w:hint="eastAsia"/>
                      <w:lang w:val="en-US" w:eastAsia="zh-CN"/>
                    </w:rPr>
                    <w:t>5.96</w:t>
                  </w:r>
                </w:p>
              </w:tc>
              <w:tc>
                <w:tcPr>
                  <w:tcW w:w="942" w:type="dxa"/>
                  <w:vAlign w:val="center"/>
                </w:tcPr>
                <w:p w14:paraId="5F211350">
                  <w:pPr>
                    <w:jc w:val="center"/>
                    <w:rPr>
                      <w:rFonts w:hint="default" w:eastAsia="宋体"/>
                      <w:lang w:val="en-US" w:eastAsia="zh-CN"/>
                    </w:rPr>
                  </w:pPr>
                  <w:r>
                    <w:rPr>
                      <w:rFonts w:hint="eastAsia"/>
                      <w:lang w:val="en-US" w:eastAsia="zh-CN"/>
                    </w:rPr>
                    <w:t>0.4</w:t>
                  </w:r>
                </w:p>
              </w:tc>
              <w:tc>
                <w:tcPr>
                  <w:tcW w:w="943" w:type="dxa"/>
                  <w:vAlign w:val="center"/>
                </w:tcPr>
                <w:p w14:paraId="428803B7">
                  <w:pPr>
                    <w:jc w:val="center"/>
                    <w:rPr>
                      <w:rFonts w:hint="default" w:eastAsia="宋体"/>
                      <w:lang w:val="en-US" w:eastAsia="zh-CN"/>
                    </w:rPr>
                  </w:pPr>
                  <w:r>
                    <w:rPr>
                      <w:rFonts w:hint="eastAsia"/>
                      <w:lang w:val="en-US" w:eastAsia="zh-CN"/>
                    </w:rPr>
                    <w:t>0.1</w:t>
                  </w:r>
                </w:p>
              </w:tc>
              <w:tc>
                <w:tcPr>
                  <w:tcW w:w="943" w:type="dxa"/>
                  <w:tcBorders>
                    <w:right w:val="nil"/>
                  </w:tcBorders>
                  <w:vAlign w:val="center"/>
                </w:tcPr>
                <w:p w14:paraId="21CD71F6">
                  <w:pPr>
                    <w:jc w:val="center"/>
                    <w:rPr>
                      <w:rFonts w:hint="default" w:eastAsia="宋体"/>
                      <w:lang w:val="en-US" w:eastAsia="zh-CN"/>
                    </w:rPr>
                  </w:pPr>
                  <w:r>
                    <w:rPr>
                      <w:rFonts w:hint="eastAsia"/>
                      <w:lang w:val="en-US" w:eastAsia="zh-CN"/>
                    </w:rPr>
                    <w:t>37.94</w:t>
                  </w:r>
                </w:p>
              </w:tc>
            </w:tr>
            <w:tr w14:paraId="29E90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A3F589B">
                  <w:pPr>
                    <w:jc w:val="center"/>
                    <w:rPr>
                      <w:rFonts w:hint="default" w:eastAsia="宋体"/>
                      <w:lang w:val="en-US" w:eastAsia="zh-CN"/>
                    </w:rPr>
                  </w:pPr>
                  <w:r>
                    <w:rPr>
                      <w:rFonts w:hint="eastAsia"/>
                      <w:lang w:val="en-US" w:eastAsia="zh-CN"/>
                    </w:rPr>
                    <w:t>表土剥离</w:t>
                  </w:r>
                </w:p>
              </w:tc>
              <w:tc>
                <w:tcPr>
                  <w:tcW w:w="941" w:type="dxa"/>
                  <w:vAlign w:val="center"/>
                </w:tcPr>
                <w:p w14:paraId="08045890">
                  <w:pPr>
                    <w:jc w:val="center"/>
                    <w:rPr>
                      <w:rFonts w:hint="default" w:eastAsia="宋体"/>
                      <w:lang w:val="en-US" w:eastAsia="zh-CN"/>
                    </w:rPr>
                  </w:pPr>
                  <w:r>
                    <w:rPr>
                      <w:rFonts w:hint="eastAsia"/>
                      <w:lang w:val="en-US" w:eastAsia="zh-CN"/>
                    </w:rPr>
                    <w:t>m</w:t>
                  </w:r>
                  <w:r>
                    <w:rPr>
                      <w:rFonts w:hint="eastAsia"/>
                      <w:vertAlign w:val="superscript"/>
                      <w:lang w:val="en-US" w:eastAsia="zh-CN"/>
                    </w:rPr>
                    <w:t>3</w:t>
                  </w:r>
                </w:p>
              </w:tc>
              <w:tc>
                <w:tcPr>
                  <w:tcW w:w="941" w:type="dxa"/>
                  <w:vAlign w:val="center"/>
                </w:tcPr>
                <w:p w14:paraId="6C58B38B">
                  <w:pPr>
                    <w:jc w:val="center"/>
                    <w:rPr>
                      <w:rFonts w:hint="default" w:eastAsia="宋体"/>
                      <w:lang w:val="en-US" w:eastAsia="zh-CN"/>
                    </w:rPr>
                  </w:pPr>
                  <w:r>
                    <w:rPr>
                      <w:rFonts w:hint="eastAsia"/>
                      <w:lang w:val="en-US" w:eastAsia="zh-CN"/>
                    </w:rPr>
                    <w:t>9499</w:t>
                  </w:r>
                </w:p>
              </w:tc>
              <w:tc>
                <w:tcPr>
                  <w:tcW w:w="941" w:type="dxa"/>
                  <w:vAlign w:val="center"/>
                </w:tcPr>
                <w:p w14:paraId="0D116CD9">
                  <w:pPr>
                    <w:jc w:val="center"/>
                    <w:rPr>
                      <w:rFonts w:hint="default" w:eastAsia="宋体"/>
                      <w:lang w:val="en-US" w:eastAsia="zh-CN"/>
                    </w:rPr>
                  </w:pPr>
                  <w:r>
                    <w:rPr>
                      <w:rFonts w:hint="eastAsia"/>
                      <w:lang w:val="en-US" w:eastAsia="zh-CN"/>
                    </w:rPr>
                    <w:t>1300</w:t>
                  </w:r>
                </w:p>
              </w:tc>
              <w:tc>
                <w:tcPr>
                  <w:tcW w:w="941" w:type="dxa"/>
                  <w:vAlign w:val="center"/>
                </w:tcPr>
                <w:p w14:paraId="27C3307E">
                  <w:pPr>
                    <w:jc w:val="center"/>
                    <w:rPr>
                      <w:rFonts w:hint="default" w:eastAsia="宋体"/>
                      <w:lang w:val="en-US" w:eastAsia="zh-CN"/>
                    </w:rPr>
                  </w:pPr>
                  <w:r>
                    <w:rPr>
                      <w:rFonts w:hint="eastAsia"/>
                      <w:lang w:val="en-US" w:eastAsia="zh-CN"/>
                    </w:rPr>
                    <w:t>45943</w:t>
                  </w:r>
                </w:p>
              </w:tc>
              <w:tc>
                <w:tcPr>
                  <w:tcW w:w="941" w:type="dxa"/>
                  <w:vAlign w:val="center"/>
                </w:tcPr>
                <w:p w14:paraId="56EDB7C1">
                  <w:pPr>
                    <w:jc w:val="center"/>
                    <w:rPr>
                      <w:rFonts w:hint="default" w:eastAsia="宋体"/>
                      <w:lang w:val="en-US" w:eastAsia="zh-CN"/>
                    </w:rPr>
                  </w:pPr>
                  <w:r>
                    <w:rPr>
                      <w:rFonts w:hint="eastAsia"/>
                      <w:lang w:val="en-US" w:eastAsia="zh-CN"/>
                    </w:rPr>
                    <w:t>8400</w:t>
                  </w:r>
                </w:p>
              </w:tc>
              <w:tc>
                <w:tcPr>
                  <w:tcW w:w="942" w:type="dxa"/>
                  <w:vAlign w:val="center"/>
                </w:tcPr>
                <w:p w14:paraId="62C8CB24">
                  <w:pPr>
                    <w:jc w:val="center"/>
                    <w:rPr>
                      <w:rFonts w:hint="default" w:eastAsia="宋体"/>
                      <w:lang w:val="en-US" w:eastAsia="zh-CN"/>
                    </w:rPr>
                  </w:pPr>
                  <w:r>
                    <w:rPr>
                      <w:rFonts w:hint="eastAsia"/>
                      <w:lang w:val="en-US" w:eastAsia="zh-CN"/>
                    </w:rPr>
                    <w:t>600</w:t>
                  </w:r>
                </w:p>
              </w:tc>
              <w:tc>
                <w:tcPr>
                  <w:tcW w:w="943" w:type="dxa"/>
                  <w:vAlign w:val="center"/>
                </w:tcPr>
                <w:p w14:paraId="68FC8E3E">
                  <w:pPr>
                    <w:jc w:val="center"/>
                    <w:rPr>
                      <w:rFonts w:hint="default" w:eastAsia="宋体"/>
                      <w:lang w:val="en-US" w:eastAsia="zh-CN"/>
                    </w:rPr>
                  </w:pPr>
                  <w:r>
                    <w:rPr>
                      <w:rFonts w:hint="eastAsia"/>
                      <w:lang w:val="en-US" w:eastAsia="zh-CN"/>
                    </w:rPr>
                    <w:t>100</w:t>
                  </w:r>
                </w:p>
              </w:tc>
              <w:tc>
                <w:tcPr>
                  <w:tcW w:w="943" w:type="dxa"/>
                  <w:tcBorders>
                    <w:right w:val="nil"/>
                  </w:tcBorders>
                  <w:vAlign w:val="center"/>
                </w:tcPr>
                <w:p w14:paraId="3C9C2F33">
                  <w:pPr>
                    <w:jc w:val="center"/>
                    <w:rPr>
                      <w:rFonts w:hint="default" w:eastAsia="宋体"/>
                      <w:lang w:val="en-US" w:eastAsia="zh-CN"/>
                    </w:rPr>
                  </w:pPr>
                  <w:r>
                    <w:rPr>
                      <w:rFonts w:hint="eastAsia"/>
                      <w:lang w:val="en-US" w:eastAsia="zh-CN"/>
                    </w:rPr>
                    <w:t>65842</w:t>
                  </w:r>
                </w:p>
              </w:tc>
            </w:tr>
            <w:tr w14:paraId="27370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7126108F">
                  <w:pPr>
                    <w:jc w:val="center"/>
                    <w:rPr>
                      <w:rFonts w:hint="default" w:eastAsia="宋体"/>
                      <w:lang w:val="en-US" w:eastAsia="zh-CN"/>
                    </w:rPr>
                  </w:pPr>
                  <w:r>
                    <w:rPr>
                      <w:rFonts w:hint="eastAsia"/>
                      <w:lang w:val="en-US" w:eastAsia="zh-CN"/>
                    </w:rPr>
                    <w:t>表土回填</w:t>
                  </w:r>
                </w:p>
              </w:tc>
              <w:tc>
                <w:tcPr>
                  <w:tcW w:w="941" w:type="dxa"/>
                  <w:vAlign w:val="center"/>
                </w:tcPr>
                <w:p w14:paraId="224D58EA">
                  <w:pPr>
                    <w:jc w:val="center"/>
                    <w:rPr>
                      <w:rFonts w:hint="default" w:eastAsia="宋体"/>
                      <w:lang w:val="en-US" w:eastAsia="zh-CN"/>
                    </w:rPr>
                  </w:pPr>
                  <w:r>
                    <w:rPr>
                      <w:rFonts w:hint="eastAsia"/>
                      <w:lang w:val="en-US" w:eastAsia="zh-CN"/>
                    </w:rPr>
                    <w:t>m</w:t>
                  </w:r>
                  <w:r>
                    <w:rPr>
                      <w:rFonts w:hint="eastAsia"/>
                      <w:vertAlign w:val="superscript"/>
                      <w:lang w:val="en-US" w:eastAsia="zh-CN"/>
                    </w:rPr>
                    <w:t>3</w:t>
                  </w:r>
                </w:p>
              </w:tc>
              <w:tc>
                <w:tcPr>
                  <w:tcW w:w="941" w:type="dxa"/>
                  <w:vAlign w:val="center"/>
                </w:tcPr>
                <w:p w14:paraId="4CB69A35">
                  <w:pPr>
                    <w:jc w:val="center"/>
                    <w:rPr>
                      <w:rFonts w:hint="default" w:eastAsia="宋体"/>
                      <w:lang w:val="en-US" w:eastAsia="zh-CN"/>
                    </w:rPr>
                  </w:pPr>
                  <w:r>
                    <w:rPr>
                      <w:rFonts w:hint="eastAsia"/>
                      <w:lang w:val="en-US" w:eastAsia="zh-CN"/>
                    </w:rPr>
                    <w:t>20102</w:t>
                  </w:r>
                </w:p>
              </w:tc>
              <w:tc>
                <w:tcPr>
                  <w:tcW w:w="941" w:type="dxa"/>
                  <w:vAlign w:val="center"/>
                </w:tcPr>
                <w:p w14:paraId="669FDE2A">
                  <w:pPr>
                    <w:jc w:val="center"/>
                    <w:rPr>
                      <w:rFonts w:hint="default" w:eastAsia="宋体"/>
                      <w:lang w:val="en-US" w:eastAsia="zh-CN"/>
                    </w:rPr>
                  </w:pPr>
                  <w:r>
                    <w:rPr>
                      <w:rFonts w:hint="eastAsia"/>
                      <w:lang w:val="en-US" w:eastAsia="zh-CN"/>
                    </w:rPr>
                    <w:t>1300</w:t>
                  </w:r>
                </w:p>
              </w:tc>
              <w:tc>
                <w:tcPr>
                  <w:tcW w:w="941" w:type="dxa"/>
                  <w:vAlign w:val="center"/>
                </w:tcPr>
                <w:p w14:paraId="7047D296">
                  <w:pPr>
                    <w:jc w:val="center"/>
                    <w:rPr>
                      <w:rFonts w:hint="default" w:eastAsia="宋体"/>
                      <w:lang w:val="en-US" w:eastAsia="zh-CN"/>
                    </w:rPr>
                  </w:pPr>
                  <w:r>
                    <w:rPr>
                      <w:rFonts w:hint="eastAsia"/>
                      <w:lang w:val="en-US" w:eastAsia="zh-CN"/>
                    </w:rPr>
                    <w:t>35263</w:t>
                  </w:r>
                </w:p>
              </w:tc>
              <w:tc>
                <w:tcPr>
                  <w:tcW w:w="941" w:type="dxa"/>
                  <w:vAlign w:val="center"/>
                </w:tcPr>
                <w:p w14:paraId="21B39FFB">
                  <w:pPr>
                    <w:jc w:val="center"/>
                    <w:rPr>
                      <w:rFonts w:hint="default" w:eastAsia="宋体"/>
                      <w:lang w:val="en-US" w:eastAsia="zh-CN"/>
                    </w:rPr>
                  </w:pPr>
                  <w:r>
                    <w:rPr>
                      <w:rFonts w:hint="eastAsia"/>
                      <w:lang w:val="en-US" w:eastAsia="zh-CN"/>
                    </w:rPr>
                    <w:t>8400</w:t>
                  </w:r>
                </w:p>
              </w:tc>
              <w:tc>
                <w:tcPr>
                  <w:tcW w:w="942" w:type="dxa"/>
                  <w:vAlign w:val="center"/>
                </w:tcPr>
                <w:p w14:paraId="5930DBE4">
                  <w:pPr>
                    <w:jc w:val="center"/>
                    <w:rPr>
                      <w:rFonts w:hint="default" w:eastAsia="宋体"/>
                      <w:lang w:val="en-US" w:eastAsia="zh-CN"/>
                    </w:rPr>
                  </w:pPr>
                  <w:r>
                    <w:rPr>
                      <w:rFonts w:hint="eastAsia"/>
                      <w:lang w:val="en-US" w:eastAsia="zh-CN"/>
                    </w:rPr>
                    <w:t>600</w:t>
                  </w:r>
                </w:p>
              </w:tc>
              <w:tc>
                <w:tcPr>
                  <w:tcW w:w="943" w:type="dxa"/>
                  <w:vAlign w:val="center"/>
                </w:tcPr>
                <w:p w14:paraId="07111839">
                  <w:pPr>
                    <w:jc w:val="center"/>
                    <w:rPr>
                      <w:rFonts w:hint="default" w:eastAsia="宋体"/>
                      <w:lang w:val="en-US" w:eastAsia="zh-CN"/>
                    </w:rPr>
                  </w:pPr>
                  <w:r>
                    <w:rPr>
                      <w:rFonts w:hint="eastAsia"/>
                      <w:lang w:val="en-US" w:eastAsia="zh-CN"/>
                    </w:rPr>
                    <w:t>100</w:t>
                  </w:r>
                </w:p>
              </w:tc>
              <w:tc>
                <w:tcPr>
                  <w:tcW w:w="943" w:type="dxa"/>
                  <w:tcBorders>
                    <w:right w:val="nil"/>
                  </w:tcBorders>
                  <w:vAlign w:val="center"/>
                </w:tcPr>
                <w:p w14:paraId="398774E5">
                  <w:pPr>
                    <w:jc w:val="center"/>
                    <w:rPr>
                      <w:rFonts w:hint="default" w:eastAsia="宋体"/>
                      <w:lang w:val="en-US" w:eastAsia="zh-CN"/>
                    </w:rPr>
                  </w:pPr>
                  <w:r>
                    <w:rPr>
                      <w:rFonts w:hint="eastAsia"/>
                      <w:lang w:val="en-US" w:eastAsia="zh-CN"/>
                    </w:rPr>
                    <w:t>65842</w:t>
                  </w:r>
                </w:p>
              </w:tc>
            </w:tr>
            <w:tr w14:paraId="71658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5" w:type="dxa"/>
                  <w:gridSpan w:val="9"/>
                  <w:tcBorders>
                    <w:left w:val="nil"/>
                    <w:right w:val="nil"/>
                  </w:tcBorders>
                  <w:vAlign w:val="center"/>
                </w:tcPr>
                <w:p w14:paraId="19348A73">
                  <w:pPr>
                    <w:jc w:val="center"/>
                    <w:rPr>
                      <w:rFonts w:hint="default" w:eastAsia="宋体"/>
                      <w:lang w:val="en-US" w:eastAsia="zh-CN"/>
                    </w:rPr>
                  </w:pPr>
                  <w:r>
                    <w:rPr>
                      <w:rFonts w:hint="eastAsia"/>
                      <w:lang w:val="en-US" w:eastAsia="zh-CN"/>
                    </w:rPr>
                    <w:t>二、植物措施</w:t>
                  </w:r>
                </w:p>
              </w:tc>
            </w:tr>
            <w:tr w14:paraId="694B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31B19954">
                  <w:pPr>
                    <w:jc w:val="center"/>
                    <w:rPr>
                      <w:rFonts w:hint="eastAsia" w:eastAsia="宋体"/>
                      <w:lang w:val="en-US" w:eastAsia="zh-CN"/>
                    </w:rPr>
                  </w:pPr>
                  <w:r>
                    <w:rPr>
                      <w:rFonts w:hint="eastAsia"/>
                      <w:lang w:val="en-US" w:eastAsia="zh-CN"/>
                    </w:rPr>
                    <w:t>骨架护坡</w:t>
                  </w:r>
                </w:p>
              </w:tc>
              <w:tc>
                <w:tcPr>
                  <w:tcW w:w="941" w:type="dxa"/>
                  <w:vAlign w:val="center"/>
                </w:tcPr>
                <w:p w14:paraId="150D2222">
                  <w:pPr>
                    <w:jc w:val="center"/>
                    <w:rPr>
                      <w:rFonts w:hint="default" w:eastAsia="宋体"/>
                      <w:lang w:val="en-US" w:eastAsia="zh-CN"/>
                    </w:rPr>
                  </w:pPr>
                  <w:r>
                    <w:rPr>
                      <w:rFonts w:hint="eastAsia"/>
                      <w:lang w:val="en-US" w:eastAsia="zh-CN"/>
                    </w:rPr>
                    <w:t>m</w:t>
                  </w:r>
                  <w:r>
                    <w:rPr>
                      <w:rFonts w:hint="eastAsia"/>
                      <w:vertAlign w:val="superscript"/>
                      <w:lang w:val="en-US" w:eastAsia="zh-CN"/>
                    </w:rPr>
                    <w:t>2</w:t>
                  </w:r>
                </w:p>
              </w:tc>
              <w:tc>
                <w:tcPr>
                  <w:tcW w:w="941" w:type="dxa"/>
                  <w:vAlign w:val="center"/>
                </w:tcPr>
                <w:p w14:paraId="242133AD">
                  <w:pPr>
                    <w:jc w:val="center"/>
                    <w:rPr>
                      <w:rFonts w:hint="eastAsia"/>
                    </w:rPr>
                  </w:pPr>
                </w:p>
              </w:tc>
              <w:tc>
                <w:tcPr>
                  <w:tcW w:w="941" w:type="dxa"/>
                  <w:vAlign w:val="center"/>
                </w:tcPr>
                <w:p w14:paraId="47DF6EF3">
                  <w:pPr>
                    <w:jc w:val="center"/>
                    <w:rPr>
                      <w:rFonts w:hint="default" w:eastAsia="宋体"/>
                      <w:lang w:val="en-US" w:eastAsia="zh-CN"/>
                    </w:rPr>
                  </w:pPr>
                  <w:r>
                    <w:rPr>
                      <w:rFonts w:hint="eastAsia"/>
                      <w:lang w:val="en-US" w:eastAsia="zh-CN"/>
                    </w:rPr>
                    <w:t>1520</w:t>
                  </w:r>
                </w:p>
              </w:tc>
              <w:tc>
                <w:tcPr>
                  <w:tcW w:w="941" w:type="dxa"/>
                  <w:vAlign w:val="center"/>
                </w:tcPr>
                <w:p w14:paraId="13C26A14">
                  <w:pPr>
                    <w:jc w:val="center"/>
                    <w:rPr>
                      <w:rFonts w:hint="eastAsia"/>
                    </w:rPr>
                  </w:pPr>
                </w:p>
              </w:tc>
              <w:tc>
                <w:tcPr>
                  <w:tcW w:w="941" w:type="dxa"/>
                  <w:vAlign w:val="center"/>
                </w:tcPr>
                <w:p w14:paraId="160B0E60">
                  <w:pPr>
                    <w:jc w:val="center"/>
                    <w:rPr>
                      <w:rFonts w:hint="eastAsia"/>
                    </w:rPr>
                  </w:pPr>
                </w:p>
              </w:tc>
              <w:tc>
                <w:tcPr>
                  <w:tcW w:w="942" w:type="dxa"/>
                  <w:vAlign w:val="center"/>
                </w:tcPr>
                <w:p w14:paraId="25860AD9">
                  <w:pPr>
                    <w:jc w:val="center"/>
                    <w:rPr>
                      <w:rFonts w:hint="eastAsia"/>
                    </w:rPr>
                  </w:pPr>
                </w:p>
              </w:tc>
              <w:tc>
                <w:tcPr>
                  <w:tcW w:w="943" w:type="dxa"/>
                  <w:vAlign w:val="center"/>
                </w:tcPr>
                <w:p w14:paraId="5A82682A">
                  <w:pPr>
                    <w:jc w:val="center"/>
                    <w:rPr>
                      <w:rFonts w:hint="eastAsia"/>
                    </w:rPr>
                  </w:pPr>
                </w:p>
              </w:tc>
              <w:tc>
                <w:tcPr>
                  <w:tcW w:w="943" w:type="dxa"/>
                  <w:tcBorders>
                    <w:right w:val="nil"/>
                  </w:tcBorders>
                  <w:vAlign w:val="center"/>
                </w:tcPr>
                <w:p w14:paraId="70C17679">
                  <w:pPr>
                    <w:jc w:val="center"/>
                    <w:rPr>
                      <w:rFonts w:hint="default" w:eastAsia="宋体"/>
                      <w:lang w:val="en-US" w:eastAsia="zh-CN"/>
                    </w:rPr>
                  </w:pPr>
                  <w:r>
                    <w:rPr>
                      <w:rFonts w:hint="eastAsia"/>
                      <w:lang w:val="en-US" w:eastAsia="zh-CN"/>
                    </w:rPr>
                    <w:t>1520</w:t>
                  </w:r>
                </w:p>
              </w:tc>
            </w:tr>
            <w:tr w14:paraId="16A38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7750AD90">
                  <w:pPr>
                    <w:jc w:val="center"/>
                    <w:rPr>
                      <w:rFonts w:hint="default" w:eastAsia="宋体"/>
                      <w:lang w:val="en-US" w:eastAsia="zh-CN"/>
                    </w:rPr>
                  </w:pPr>
                  <w:r>
                    <w:rPr>
                      <w:rFonts w:hint="eastAsia"/>
                      <w:lang w:val="en-US" w:eastAsia="zh-CN"/>
                    </w:rPr>
                    <w:t>草皮护坡</w:t>
                  </w:r>
                </w:p>
              </w:tc>
              <w:tc>
                <w:tcPr>
                  <w:tcW w:w="941" w:type="dxa"/>
                  <w:vAlign w:val="center"/>
                </w:tcPr>
                <w:p w14:paraId="2ED33863">
                  <w:pPr>
                    <w:jc w:val="center"/>
                    <w:rPr>
                      <w:rFonts w:hint="default" w:eastAsia="宋体"/>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08939CE1">
                  <w:pPr>
                    <w:jc w:val="center"/>
                    <w:rPr>
                      <w:rFonts w:hint="eastAsia"/>
                    </w:rPr>
                  </w:pPr>
                </w:p>
              </w:tc>
              <w:tc>
                <w:tcPr>
                  <w:tcW w:w="941" w:type="dxa"/>
                  <w:vAlign w:val="center"/>
                </w:tcPr>
                <w:p w14:paraId="3A7C6CF3">
                  <w:pPr>
                    <w:jc w:val="center"/>
                    <w:rPr>
                      <w:rFonts w:hint="eastAsia"/>
                    </w:rPr>
                  </w:pPr>
                </w:p>
              </w:tc>
              <w:tc>
                <w:tcPr>
                  <w:tcW w:w="941" w:type="dxa"/>
                  <w:vAlign w:val="center"/>
                </w:tcPr>
                <w:p w14:paraId="439F5989">
                  <w:pPr>
                    <w:jc w:val="center"/>
                    <w:rPr>
                      <w:rFonts w:hint="eastAsia"/>
                    </w:rPr>
                  </w:pPr>
                </w:p>
              </w:tc>
              <w:tc>
                <w:tcPr>
                  <w:tcW w:w="941" w:type="dxa"/>
                  <w:vAlign w:val="center"/>
                </w:tcPr>
                <w:p w14:paraId="75CEA424">
                  <w:pPr>
                    <w:jc w:val="center"/>
                    <w:rPr>
                      <w:rFonts w:hint="default" w:eastAsia="宋体"/>
                      <w:lang w:val="en-US" w:eastAsia="zh-CN"/>
                    </w:rPr>
                  </w:pPr>
                  <w:r>
                    <w:rPr>
                      <w:rFonts w:hint="eastAsia"/>
                      <w:lang w:val="en-US" w:eastAsia="zh-CN"/>
                    </w:rPr>
                    <w:t>1.49</w:t>
                  </w:r>
                </w:p>
              </w:tc>
              <w:tc>
                <w:tcPr>
                  <w:tcW w:w="942" w:type="dxa"/>
                  <w:vAlign w:val="center"/>
                </w:tcPr>
                <w:p w14:paraId="55307D82">
                  <w:pPr>
                    <w:jc w:val="center"/>
                    <w:rPr>
                      <w:rFonts w:hint="eastAsia"/>
                    </w:rPr>
                  </w:pPr>
                </w:p>
              </w:tc>
              <w:tc>
                <w:tcPr>
                  <w:tcW w:w="943" w:type="dxa"/>
                  <w:vAlign w:val="center"/>
                </w:tcPr>
                <w:p w14:paraId="3F8B8BCD">
                  <w:pPr>
                    <w:jc w:val="center"/>
                    <w:rPr>
                      <w:rFonts w:hint="eastAsia"/>
                    </w:rPr>
                  </w:pPr>
                </w:p>
              </w:tc>
              <w:tc>
                <w:tcPr>
                  <w:tcW w:w="943" w:type="dxa"/>
                  <w:tcBorders>
                    <w:right w:val="nil"/>
                  </w:tcBorders>
                  <w:vAlign w:val="center"/>
                </w:tcPr>
                <w:p w14:paraId="37ED4CB6">
                  <w:pPr>
                    <w:jc w:val="center"/>
                    <w:rPr>
                      <w:rFonts w:hint="default" w:eastAsia="宋体"/>
                      <w:lang w:val="en-US" w:eastAsia="zh-CN"/>
                    </w:rPr>
                  </w:pPr>
                  <w:r>
                    <w:rPr>
                      <w:rFonts w:hint="eastAsia"/>
                      <w:lang w:val="en-US" w:eastAsia="zh-CN"/>
                    </w:rPr>
                    <w:t>1.49</w:t>
                  </w:r>
                </w:p>
              </w:tc>
            </w:tr>
            <w:tr w14:paraId="5B4B8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1D145AD">
                  <w:pPr>
                    <w:jc w:val="center"/>
                    <w:rPr>
                      <w:rFonts w:hint="default"/>
                      <w:lang w:val="en-US" w:eastAsia="zh-CN"/>
                    </w:rPr>
                  </w:pPr>
                  <w:r>
                    <w:rPr>
                      <w:rFonts w:hint="eastAsia"/>
                      <w:lang w:val="en-US" w:eastAsia="zh-CN"/>
                    </w:rPr>
                    <w:t>喷播植草</w:t>
                  </w:r>
                </w:p>
              </w:tc>
              <w:tc>
                <w:tcPr>
                  <w:tcW w:w="941" w:type="dxa"/>
                  <w:vAlign w:val="center"/>
                </w:tcPr>
                <w:p w14:paraId="6919120B">
                  <w:pPr>
                    <w:jc w:val="center"/>
                    <w:rPr>
                      <w:rFonts w:hint="eastAsia"/>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55E07FCE">
                  <w:pPr>
                    <w:jc w:val="center"/>
                    <w:rPr>
                      <w:rFonts w:hint="eastAsia"/>
                    </w:rPr>
                  </w:pPr>
                </w:p>
              </w:tc>
              <w:tc>
                <w:tcPr>
                  <w:tcW w:w="941" w:type="dxa"/>
                  <w:vAlign w:val="center"/>
                </w:tcPr>
                <w:p w14:paraId="045422AB">
                  <w:pPr>
                    <w:jc w:val="center"/>
                    <w:rPr>
                      <w:rFonts w:hint="eastAsia"/>
                    </w:rPr>
                  </w:pPr>
                </w:p>
              </w:tc>
              <w:tc>
                <w:tcPr>
                  <w:tcW w:w="941" w:type="dxa"/>
                  <w:vAlign w:val="center"/>
                </w:tcPr>
                <w:p w14:paraId="139B1AF2">
                  <w:pPr>
                    <w:jc w:val="center"/>
                    <w:rPr>
                      <w:rFonts w:hint="default" w:eastAsia="宋体"/>
                      <w:lang w:val="en-US" w:eastAsia="zh-CN"/>
                    </w:rPr>
                  </w:pPr>
                  <w:r>
                    <w:rPr>
                      <w:rFonts w:hint="eastAsia"/>
                      <w:lang w:val="en-US" w:eastAsia="zh-CN"/>
                    </w:rPr>
                    <w:t>8.65</w:t>
                  </w:r>
                </w:p>
              </w:tc>
              <w:tc>
                <w:tcPr>
                  <w:tcW w:w="941" w:type="dxa"/>
                  <w:vAlign w:val="center"/>
                </w:tcPr>
                <w:p w14:paraId="70DCF328">
                  <w:pPr>
                    <w:jc w:val="center"/>
                    <w:rPr>
                      <w:rFonts w:hint="eastAsia"/>
                      <w:lang w:val="en-US" w:eastAsia="zh-CN"/>
                    </w:rPr>
                  </w:pPr>
                </w:p>
              </w:tc>
              <w:tc>
                <w:tcPr>
                  <w:tcW w:w="942" w:type="dxa"/>
                  <w:vAlign w:val="center"/>
                </w:tcPr>
                <w:p w14:paraId="424DCE30">
                  <w:pPr>
                    <w:jc w:val="center"/>
                    <w:rPr>
                      <w:rFonts w:hint="eastAsia"/>
                    </w:rPr>
                  </w:pPr>
                </w:p>
              </w:tc>
              <w:tc>
                <w:tcPr>
                  <w:tcW w:w="943" w:type="dxa"/>
                  <w:vAlign w:val="center"/>
                </w:tcPr>
                <w:p w14:paraId="69921F2B">
                  <w:pPr>
                    <w:jc w:val="center"/>
                    <w:rPr>
                      <w:rFonts w:hint="eastAsia"/>
                    </w:rPr>
                  </w:pPr>
                </w:p>
              </w:tc>
              <w:tc>
                <w:tcPr>
                  <w:tcW w:w="943" w:type="dxa"/>
                  <w:tcBorders>
                    <w:right w:val="nil"/>
                  </w:tcBorders>
                  <w:vAlign w:val="center"/>
                </w:tcPr>
                <w:p w14:paraId="0C19DCF4">
                  <w:pPr>
                    <w:jc w:val="center"/>
                    <w:rPr>
                      <w:rFonts w:hint="default"/>
                      <w:lang w:val="en-US" w:eastAsia="zh-CN"/>
                    </w:rPr>
                  </w:pPr>
                  <w:r>
                    <w:rPr>
                      <w:rFonts w:hint="eastAsia"/>
                      <w:lang w:val="en-US" w:eastAsia="zh-CN"/>
                    </w:rPr>
                    <w:t>8.65</w:t>
                  </w:r>
                </w:p>
              </w:tc>
            </w:tr>
            <w:tr w14:paraId="1D4AF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51B1D330">
                  <w:pPr>
                    <w:jc w:val="center"/>
                    <w:rPr>
                      <w:rFonts w:hint="default" w:eastAsia="宋体"/>
                      <w:lang w:val="en-US" w:eastAsia="zh-CN"/>
                    </w:rPr>
                  </w:pPr>
                  <w:r>
                    <w:rPr>
                      <w:rFonts w:hint="eastAsia"/>
                      <w:lang w:val="en-US" w:eastAsia="zh-CN"/>
                    </w:rPr>
                    <w:t>挂网喷播植草</w:t>
                  </w:r>
                </w:p>
              </w:tc>
              <w:tc>
                <w:tcPr>
                  <w:tcW w:w="941" w:type="dxa"/>
                  <w:vAlign w:val="center"/>
                </w:tcPr>
                <w:p w14:paraId="4990280B">
                  <w:pPr>
                    <w:jc w:val="center"/>
                    <w:rPr>
                      <w:rFonts w:hint="default" w:eastAsia="宋体"/>
                      <w:lang w:val="en-US" w:eastAsia="zh-CN"/>
                    </w:rPr>
                  </w:pPr>
                  <w:r>
                    <w:rPr>
                      <w:rFonts w:hint="eastAsia"/>
                      <w:lang w:val="en-US" w:eastAsia="zh-CN"/>
                    </w:rPr>
                    <w:t>hm</w:t>
                  </w:r>
                  <w:r>
                    <w:rPr>
                      <w:rFonts w:hint="eastAsia"/>
                      <w:vertAlign w:val="superscript"/>
                      <w:lang w:val="en-US" w:eastAsia="zh-CN"/>
                    </w:rPr>
                    <w:t>2</w:t>
                  </w:r>
                </w:p>
              </w:tc>
              <w:tc>
                <w:tcPr>
                  <w:tcW w:w="941" w:type="dxa"/>
                  <w:vAlign w:val="center"/>
                </w:tcPr>
                <w:p w14:paraId="21C32867">
                  <w:pPr>
                    <w:jc w:val="center"/>
                    <w:rPr>
                      <w:rFonts w:hint="default" w:eastAsia="宋体"/>
                      <w:lang w:val="en-US" w:eastAsia="zh-CN"/>
                    </w:rPr>
                  </w:pPr>
                  <w:r>
                    <w:rPr>
                      <w:rFonts w:hint="eastAsia"/>
                      <w:lang w:val="en-US" w:eastAsia="zh-CN"/>
                    </w:rPr>
                    <w:t>1.12</w:t>
                  </w:r>
                </w:p>
              </w:tc>
              <w:tc>
                <w:tcPr>
                  <w:tcW w:w="941" w:type="dxa"/>
                  <w:vAlign w:val="center"/>
                </w:tcPr>
                <w:p w14:paraId="60A3A306">
                  <w:pPr>
                    <w:jc w:val="center"/>
                    <w:rPr>
                      <w:rFonts w:hint="eastAsia"/>
                    </w:rPr>
                  </w:pPr>
                </w:p>
              </w:tc>
              <w:tc>
                <w:tcPr>
                  <w:tcW w:w="941" w:type="dxa"/>
                  <w:vAlign w:val="center"/>
                </w:tcPr>
                <w:p w14:paraId="6121CA67">
                  <w:pPr>
                    <w:jc w:val="center"/>
                    <w:rPr>
                      <w:rFonts w:hint="default" w:eastAsia="宋体"/>
                      <w:lang w:val="en-US" w:eastAsia="zh-CN"/>
                    </w:rPr>
                  </w:pPr>
                  <w:r>
                    <w:rPr>
                      <w:rFonts w:hint="eastAsia"/>
                      <w:lang w:val="en-US" w:eastAsia="zh-CN"/>
                    </w:rPr>
                    <w:t>5.34</w:t>
                  </w:r>
                </w:p>
              </w:tc>
              <w:tc>
                <w:tcPr>
                  <w:tcW w:w="941" w:type="dxa"/>
                  <w:vAlign w:val="center"/>
                </w:tcPr>
                <w:p w14:paraId="7E81603C">
                  <w:pPr>
                    <w:jc w:val="center"/>
                    <w:rPr>
                      <w:rFonts w:hint="eastAsia"/>
                    </w:rPr>
                  </w:pPr>
                </w:p>
              </w:tc>
              <w:tc>
                <w:tcPr>
                  <w:tcW w:w="942" w:type="dxa"/>
                  <w:vAlign w:val="center"/>
                </w:tcPr>
                <w:p w14:paraId="5E5CDC38">
                  <w:pPr>
                    <w:jc w:val="center"/>
                    <w:rPr>
                      <w:rFonts w:hint="eastAsia"/>
                    </w:rPr>
                  </w:pPr>
                </w:p>
              </w:tc>
              <w:tc>
                <w:tcPr>
                  <w:tcW w:w="943" w:type="dxa"/>
                  <w:vAlign w:val="center"/>
                </w:tcPr>
                <w:p w14:paraId="3698C8FF">
                  <w:pPr>
                    <w:jc w:val="center"/>
                    <w:rPr>
                      <w:rFonts w:hint="eastAsia"/>
                    </w:rPr>
                  </w:pPr>
                </w:p>
              </w:tc>
              <w:tc>
                <w:tcPr>
                  <w:tcW w:w="943" w:type="dxa"/>
                  <w:tcBorders>
                    <w:right w:val="nil"/>
                  </w:tcBorders>
                  <w:vAlign w:val="center"/>
                </w:tcPr>
                <w:p w14:paraId="5AA9D937">
                  <w:pPr>
                    <w:jc w:val="center"/>
                    <w:rPr>
                      <w:rFonts w:hint="default" w:eastAsia="宋体"/>
                      <w:lang w:val="en-US" w:eastAsia="zh-CN"/>
                    </w:rPr>
                  </w:pPr>
                  <w:r>
                    <w:rPr>
                      <w:rFonts w:hint="eastAsia"/>
                      <w:lang w:val="en-US" w:eastAsia="zh-CN"/>
                    </w:rPr>
                    <w:t>6.46</w:t>
                  </w:r>
                </w:p>
              </w:tc>
            </w:tr>
            <w:tr w14:paraId="5BCDB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46CECB1">
                  <w:pPr>
                    <w:jc w:val="center"/>
                    <w:rPr>
                      <w:rFonts w:hint="default" w:eastAsia="宋体"/>
                      <w:lang w:val="en-US" w:eastAsia="zh-CN"/>
                    </w:rPr>
                  </w:pPr>
                  <w:r>
                    <w:rPr>
                      <w:rFonts w:hint="eastAsia"/>
                      <w:lang w:val="en-US" w:eastAsia="zh-CN"/>
                    </w:rPr>
                    <w:t>播撒草籽</w:t>
                  </w:r>
                </w:p>
              </w:tc>
              <w:tc>
                <w:tcPr>
                  <w:tcW w:w="941" w:type="dxa"/>
                  <w:vAlign w:val="center"/>
                </w:tcPr>
                <w:p w14:paraId="13110CA0">
                  <w:pPr>
                    <w:jc w:val="center"/>
                    <w:rPr>
                      <w:rFonts w:hint="eastAsia"/>
                    </w:rPr>
                  </w:pPr>
                  <w:r>
                    <w:rPr>
                      <w:rFonts w:hint="eastAsia"/>
                      <w:lang w:val="en-US" w:eastAsia="zh-CN"/>
                    </w:rPr>
                    <w:t>hm</w:t>
                  </w:r>
                  <w:r>
                    <w:rPr>
                      <w:rFonts w:hint="eastAsia"/>
                      <w:vertAlign w:val="superscript"/>
                      <w:lang w:val="en-US" w:eastAsia="zh-CN"/>
                    </w:rPr>
                    <w:t>2</w:t>
                  </w:r>
                </w:p>
              </w:tc>
              <w:tc>
                <w:tcPr>
                  <w:tcW w:w="941" w:type="dxa"/>
                  <w:vAlign w:val="center"/>
                </w:tcPr>
                <w:p w14:paraId="1408261C">
                  <w:pPr>
                    <w:jc w:val="center"/>
                    <w:rPr>
                      <w:rFonts w:hint="eastAsia" w:eastAsia="宋体"/>
                      <w:lang w:val="en-US" w:eastAsia="zh-CN"/>
                    </w:rPr>
                  </w:pPr>
                  <w:r>
                    <w:rPr>
                      <w:rFonts w:hint="eastAsia"/>
                      <w:lang w:val="en-US" w:eastAsia="zh-CN"/>
                    </w:rPr>
                    <w:t>4</w:t>
                  </w:r>
                </w:p>
              </w:tc>
              <w:tc>
                <w:tcPr>
                  <w:tcW w:w="941" w:type="dxa"/>
                  <w:vAlign w:val="center"/>
                </w:tcPr>
                <w:p w14:paraId="176913B9">
                  <w:pPr>
                    <w:jc w:val="center"/>
                    <w:rPr>
                      <w:rFonts w:hint="eastAsia"/>
                    </w:rPr>
                  </w:pPr>
                </w:p>
              </w:tc>
              <w:tc>
                <w:tcPr>
                  <w:tcW w:w="941" w:type="dxa"/>
                  <w:vAlign w:val="center"/>
                </w:tcPr>
                <w:p w14:paraId="4AD13767">
                  <w:pPr>
                    <w:jc w:val="center"/>
                    <w:rPr>
                      <w:rFonts w:hint="default" w:eastAsia="宋体"/>
                      <w:lang w:val="en-US" w:eastAsia="zh-CN"/>
                    </w:rPr>
                  </w:pPr>
                  <w:r>
                    <w:rPr>
                      <w:rFonts w:hint="eastAsia"/>
                      <w:lang w:val="en-US" w:eastAsia="zh-CN"/>
                    </w:rPr>
                    <w:t>10.41</w:t>
                  </w:r>
                </w:p>
              </w:tc>
              <w:tc>
                <w:tcPr>
                  <w:tcW w:w="941" w:type="dxa"/>
                  <w:vAlign w:val="center"/>
                </w:tcPr>
                <w:p w14:paraId="3F2B71F2">
                  <w:pPr>
                    <w:jc w:val="center"/>
                    <w:rPr>
                      <w:rFonts w:hint="default" w:eastAsia="宋体"/>
                      <w:lang w:val="en-US" w:eastAsia="zh-CN"/>
                    </w:rPr>
                  </w:pPr>
                  <w:r>
                    <w:rPr>
                      <w:rFonts w:hint="eastAsia"/>
                      <w:lang w:val="en-US" w:eastAsia="zh-CN"/>
                    </w:rPr>
                    <w:t>5.96</w:t>
                  </w:r>
                </w:p>
              </w:tc>
              <w:tc>
                <w:tcPr>
                  <w:tcW w:w="942" w:type="dxa"/>
                  <w:vAlign w:val="center"/>
                </w:tcPr>
                <w:p w14:paraId="4301F9F5">
                  <w:pPr>
                    <w:jc w:val="center"/>
                    <w:rPr>
                      <w:rFonts w:hint="default" w:eastAsia="宋体"/>
                      <w:lang w:val="en-US" w:eastAsia="zh-CN"/>
                    </w:rPr>
                  </w:pPr>
                  <w:r>
                    <w:rPr>
                      <w:rFonts w:hint="eastAsia"/>
                      <w:lang w:val="en-US" w:eastAsia="zh-CN"/>
                    </w:rPr>
                    <w:t>0.4</w:t>
                  </w:r>
                </w:p>
              </w:tc>
              <w:tc>
                <w:tcPr>
                  <w:tcW w:w="943" w:type="dxa"/>
                  <w:vAlign w:val="center"/>
                </w:tcPr>
                <w:p w14:paraId="013BC52A">
                  <w:pPr>
                    <w:jc w:val="center"/>
                    <w:rPr>
                      <w:rFonts w:hint="default" w:eastAsia="宋体"/>
                      <w:lang w:val="en-US" w:eastAsia="zh-CN"/>
                    </w:rPr>
                  </w:pPr>
                  <w:r>
                    <w:rPr>
                      <w:rFonts w:hint="eastAsia"/>
                      <w:lang w:val="en-US" w:eastAsia="zh-CN"/>
                    </w:rPr>
                    <w:t>0.1</w:t>
                  </w:r>
                </w:p>
              </w:tc>
              <w:tc>
                <w:tcPr>
                  <w:tcW w:w="943" w:type="dxa"/>
                  <w:tcBorders>
                    <w:right w:val="nil"/>
                  </w:tcBorders>
                  <w:vAlign w:val="center"/>
                </w:tcPr>
                <w:p w14:paraId="34308379">
                  <w:pPr>
                    <w:jc w:val="center"/>
                    <w:rPr>
                      <w:rFonts w:hint="default" w:eastAsia="宋体"/>
                      <w:lang w:val="en-US" w:eastAsia="zh-CN"/>
                    </w:rPr>
                  </w:pPr>
                  <w:r>
                    <w:rPr>
                      <w:rFonts w:hint="eastAsia"/>
                      <w:lang w:val="en-US" w:eastAsia="zh-CN"/>
                    </w:rPr>
                    <w:t>20.87</w:t>
                  </w:r>
                </w:p>
              </w:tc>
            </w:tr>
            <w:tr w14:paraId="16E72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47DD3516">
                  <w:pPr>
                    <w:jc w:val="center"/>
                    <w:rPr>
                      <w:rFonts w:hint="default" w:eastAsia="宋体"/>
                      <w:lang w:val="en-US" w:eastAsia="zh-CN"/>
                    </w:rPr>
                  </w:pPr>
                  <w:r>
                    <w:rPr>
                      <w:rFonts w:hint="eastAsia"/>
                      <w:lang w:val="en-US" w:eastAsia="zh-CN"/>
                    </w:rPr>
                    <w:t>园林绿化</w:t>
                  </w:r>
                </w:p>
              </w:tc>
              <w:tc>
                <w:tcPr>
                  <w:tcW w:w="941" w:type="dxa"/>
                  <w:vAlign w:val="center"/>
                </w:tcPr>
                <w:p w14:paraId="1849BFDD">
                  <w:pPr>
                    <w:jc w:val="center"/>
                    <w:rPr>
                      <w:rFonts w:hint="eastAsia"/>
                    </w:rPr>
                  </w:pPr>
                  <w:r>
                    <w:rPr>
                      <w:rFonts w:hint="eastAsia"/>
                      <w:lang w:val="en-US" w:eastAsia="zh-CN"/>
                    </w:rPr>
                    <w:t>hm</w:t>
                  </w:r>
                  <w:r>
                    <w:rPr>
                      <w:rFonts w:hint="eastAsia"/>
                      <w:vertAlign w:val="superscript"/>
                      <w:lang w:val="en-US" w:eastAsia="zh-CN"/>
                    </w:rPr>
                    <w:t>2</w:t>
                  </w:r>
                </w:p>
              </w:tc>
              <w:tc>
                <w:tcPr>
                  <w:tcW w:w="941" w:type="dxa"/>
                  <w:vAlign w:val="center"/>
                </w:tcPr>
                <w:p w14:paraId="7A993FA7">
                  <w:pPr>
                    <w:jc w:val="center"/>
                    <w:rPr>
                      <w:rFonts w:hint="eastAsia"/>
                    </w:rPr>
                  </w:pPr>
                </w:p>
              </w:tc>
              <w:tc>
                <w:tcPr>
                  <w:tcW w:w="941" w:type="dxa"/>
                  <w:vAlign w:val="center"/>
                </w:tcPr>
                <w:p w14:paraId="460A3F85">
                  <w:pPr>
                    <w:jc w:val="center"/>
                    <w:rPr>
                      <w:rFonts w:hint="default" w:eastAsia="宋体"/>
                      <w:lang w:val="en-US" w:eastAsia="zh-CN"/>
                    </w:rPr>
                  </w:pPr>
                  <w:r>
                    <w:rPr>
                      <w:rFonts w:hint="eastAsia"/>
                      <w:lang w:val="en-US" w:eastAsia="zh-CN"/>
                    </w:rPr>
                    <w:t>0.15</w:t>
                  </w:r>
                </w:p>
              </w:tc>
              <w:tc>
                <w:tcPr>
                  <w:tcW w:w="941" w:type="dxa"/>
                  <w:vAlign w:val="center"/>
                </w:tcPr>
                <w:p w14:paraId="731302DE">
                  <w:pPr>
                    <w:jc w:val="center"/>
                    <w:rPr>
                      <w:rFonts w:hint="eastAsia"/>
                    </w:rPr>
                  </w:pPr>
                </w:p>
              </w:tc>
              <w:tc>
                <w:tcPr>
                  <w:tcW w:w="941" w:type="dxa"/>
                  <w:vAlign w:val="center"/>
                </w:tcPr>
                <w:p w14:paraId="48E6B3C5">
                  <w:pPr>
                    <w:jc w:val="center"/>
                    <w:rPr>
                      <w:rFonts w:hint="eastAsia"/>
                    </w:rPr>
                  </w:pPr>
                </w:p>
              </w:tc>
              <w:tc>
                <w:tcPr>
                  <w:tcW w:w="942" w:type="dxa"/>
                  <w:vAlign w:val="center"/>
                </w:tcPr>
                <w:p w14:paraId="3213A406">
                  <w:pPr>
                    <w:jc w:val="center"/>
                    <w:rPr>
                      <w:rFonts w:hint="eastAsia"/>
                    </w:rPr>
                  </w:pPr>
                </w:p>
              </w:tc>
              <w:tc>
                <w:tcPr>
                  <w:tcW w:w="943" w:type="dxa"/>
                  <w:vAlign w:val="center"/>
                </w:tcPr>
                <w:p w14:paraId="46BB007B">
                  <w:pPr>
                    <w:jc w:val="center"/>
                    <w:rPr>
                      <w:rFonts w:hint="eastAsia"/>
                    </w:rPr>
                  </w:pPr>
                </w:p>
              </w:tc>
              <w:tc>
                <w:tcPr>
                  <w:tcW w:w="943" w:type="dxa"/>
                  <w:tcBorders>
                    <w:right w:val="nil"/>
                  </w:tcBorders>
                  <w:vAlign w:val="center"/>
                </w:tcPr>
                <w:p w14:paraId="50276CF6">
                  <w:pPr>
                    <w:jc w:val="center"/>
                    <w:rPr>
                      <w:rFonts w:hint="default" w:eastAsia="宋体"/>
                      <w:lang w:val="en-US" w:eastAsia="zh-CN"/>
                    </w:rPr>
                  </w:pPr>
                  <w:r>
                    <w:rPr>
                      <w:rFonts w:hint="eastAsia"/>
                      <w:lang w:val="en-US" w:eastAsia="zh-CN"/>
                    </w:rPr>
                    <w:t>0.15</w:t>
                  </w:r>
                </w:p>
              </w:tc>
            </w:tr>
            <w:tr w14:paraId="77471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63EEC657">
                  <w:pPr>
                    <w:jc w:val="center"/>
                    <w:rPr>
                      <w:rFonts w:hint="default" w:eastAsia="宋体"/>
                      <w:lang w:val="en-US" w:eastAsia="zh-CN"/>
                    </w:rPr>
                  </w:pPr>
                  <w:r>
                    <w:rPr>
                      <w:rFonts w:hint="eastAsia"/>
                      <w:lang w:val="en-US" w:eastAsia="zh-CN"/>
                    </w:rPr>
                    <w:t>栽植迎春花</w:t>
                  </w:r>
                </w:p>
              </w:tc>
              <w:tc>
                <w:tcPr>
                  <w:tcW w:w="941" w:type="dxa"/>
                  <w:vAlign w:val="center"/>
                </w:tcPr>
                <w:p w14:paraId="46BD67FA">
                  <w:pPr>
                    <w:jc w:val="center"/>
                    <w:rPr>
                      <w:rFonts w:hint="eastAsia" w:eastAsia="宋体"/>
                      <w:lang w:val="en-US" w:eastAsia="zh-CN"/>
                    </w:rPr>
                  </w:pPr>
                  <w:r>
                    <w:rPr>
                      <w:rFonts w:hint="eastAsia"/>
                      <w:lang w:val="en-US" w:eastAsia="zh-CN"/>
                    </w:rPr>
                    <w:t>株</w:t>
                  </w:r>
                </w:p>
              </w:tc>
              <w:tc>
                <w:tcPr>
                  <w:tcW w:w="941" w:type="dxa"/>
                  <w:vAlign w:val="center"/>
                </w:tcPr>
                <w:p w14:paraId="0704F56E">
                  <w:pPr>
                    <w:jc w:val="center"/>
                    <w:rPr>
                      <w:rFonts w:hint="eastAsia"/>
                    </w:rPr>
                  </w:pPr>
                </w:p>
              </w:tc>
              <w:tc>
                <w:tcPr>
                  <w:tcW w:w="941" w:type="dxa"/>
                  <w:vAlign w:val="center"/>
                </w:tcPr>
                <w:p w14:paraId="5B0CF7B8">
                  <w:pPr>
                    <w:jc w:val="center"/>
                    <w:rPr>
                      <w:rFonts w:hint="eastAsia"/>
                    </w:rPr>
                  </w:pPr>
                </w:p>
              </w:tc>
              <w:tc>
                <w:tcPr>
                  <w:tcW w:w="941" w:type="dxa"/>
                  <w:vAlign w:val="center"/>
                </w:tcPr>
                <w:p w14:paraId="20F68413">
                  <w:pPr>
                    <w:jc w:val="center"/>
                    <w:rPr>
                      <w:rFonts w:hint="default" w:eastAsia="宋体"/>
                      <w:lang w:val="en-US" w:eastAsia="zh-CN"/>
                    </w:rPr>
                  </w:pPr>
                  <w:r>
                    <w:rPr>
                      <w:rFonts w:hint="eastAsia"/>
                      <w:lang w:val="en-US" w:eastAsia="zh-CN"/>
                    </w:rPr>
                    <w:t>2894</w:t>
                  </w:r>
                </w:p>
              </w:tc>
              <w:tc>
                <w:tcPr>
                  <w:tcW w:w="941" w:type="dxa"/>
                  <w:vAlign w:val="center"/>
                </w:tcPr>
                <w:p w14:paraId="328453B4">
                  <w:pPr>
                    <w:jc w:val="center"/>
                    <w:rPr>
                      <w:rFonts w:hint="default" w:eastAsia="宋体"/>
                      <w:lang w:val="en-US" w:eastAsia="zh-CN"/>
                    </w:rPr>
                  </w:pPr>
                  <w:r>
                    <w:rPr>
                      <w:rFonts w:hint="eastAsia"/>
                      <w:lang w:val="en-US" w:eastAsia="zh-CN"/>
                    </w:rPr>
                    <w:t>1724</w:t>
                  </w:r>
                </w:p>
              </w:tc>
              <w:tc>
                <w:tcPr>
                  <w:tcW w:w="942" w:type="dxa"/>
                  <w:vAlign w:val="center"/>
                </w:tcPr>
                <w:p w14:paraId="2C5790EE">
                  <w:pPr>
                    <w:jc w:val="center"/>
                    <w:rPr>
                      <w:rFonts w:hint="eastAsia"/>
                    </w:rPr>
                  </w:pPr>
                </w:p>
              </w:tc>
              <w:tc>
                <w:tcPr>
                  <w:tcW w:w="943" w:type="dxa"/>
                  <w:vAlign w:val="center"/>
                </w:tcPr>
                <w:p w14:paraId="3CA7D039">
                  <w:pPr>
                    <w:jc w:val="center"/>
                    <w:rPr>
                      <w:rFonts w:hint="eastAsia"/>
                    </w:rPr>
                  </w:pPr>
                </w:p>
              </w:tc>
              <w:tc>
                <w:tcPr>
                  <w:tcW w:w="943" w:type="dxa"/>
                  <w:tcBorders>
                    <w:right w:val="nil"/>
                  </w:tcBorders>
                  <w:vAlign w:val="center"/>
                </w:tcPr>
                <w:p w14:paraId="0C6579F2">
                  <w:pPr>
                    <w:jc w:val="center"/>
                    <w:rPr>
                      <w:rFonts w:hint="default" w:eastAsia="宋体"/>
                      <w:lang w:val="en-US" w:eastAsia="zh-CN"/>
                    </w:rPr>
                  </w:pPr>
                  <w:r>
                    <w:rPr>
                      <w:rFonts w:hint="eastAsia"/>
                      <w:lang w:val="en-US" w:eastAsia="zh-CN"/>
                    </w:rPr>
                    <w:t>4618</w:t>
                  </w:r>
                </w:p>
              </w:tc>
            </w:tr>
            <w:tr w14:paraId="1351A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100A83CB">
                  <w:pPr>
                    <w:jc w:val="center"/>
                    <w:rPr>
                      <w:rFonts w:hint="default" w:eastAsia="宋体"/>
                      <w:lang w:val="en-US" w:eastAsia="zh-CN"/>
                    </w:rPr>
                  </w:pPr>
                  <w:r>
                    <w:rPr>
                      <w:rFonts w:hint="eastAsia"/>
                      <w:lang w:val="en-US" w:eastAsia="zh-CN"/>
                    </w:rPr>
                    <w:t>栽植爬山虎</w:t>
                  </w:r>
                </w:p>
              </w:tc>
              <w:tc>
                <w:tcPr>
                  <w:tcW w:w="941" w:type="dxa"/>
                  <w:vAlign w:val="center"/>
                </w:tcPr>
                <w:p w14:paraId="3E70AD1A">
                  <w:pPr>
                    <w:jc w:val="center"/>
                    <w:rPr>
                      <w:rFonts w:hint="eastAsia"/>
                    </w:rPr>
                  </w:pPr>
                  <w:r>
                    <w:rPr>
                      <w:rFonts w:hint="eastAsia"/>
                      <w:lang w:val="en-US" w:eastAsia="zh-CN"/>
                    </w:rPr>
                    <w:t>株</w:t>
                  </w:r>
                </w:p>
              </w:tc>
              <w:tc>
                <w:tcPr>
                  <w:tcW w:w="941" w:type="dxa"/>
                  <w:vAlign w:val="center"/>
                </w:tcPr>
                <w:p w14:paraId="13576202">
                  <w:pPr>
                    <w:jc w:val="center"/>
                    <w:rPr>
                      <w:rFonts w:hint="eastAsia"/>
                    </w:rPr>
                  </w:pPr>
                </w:p>
              </w:tc>
              <w:tc>
                <w:tcPr>
                  <w:tcW w:w="941" w:type="dxa"/>
                  <w:vAlign w:val="center"/>
                </w:tcPr>
                <w:p w14:paraId="1F1C4E86">
                  <w:pPr>
                    <w:jc w:val="center"/>
                    <w:rPr>
                      <w:rFonts w:hint="eastAsia"/>
                    </w:rPr>
                  </w:pPr>
                </w:p>
              </w:tc>
              <w:tc>
                <w:tcPr>
                  <w:tcW w:w="941" w:type="dxa"/>
                  <w:vAlign w:val="center"/>
                </w:tcPr>
                <w:p w14:paraId="7E27CE3F">
                  <w:pPr>
                    <w:jc w:val="center"/>
                    <w:rPr>
                      <w:rFonts w:hint="eastAsia"/>
                    </w:rPr>
                  </w:pPr>
                </w:p>
              </w:tc>
              <w:tc>
                <w:tcPr>
                  <w:tcW w:w="941" w:type="dxa"/>
                  <w:vAlign w:val="center"/>
                </w:tcPr>
                <w:p w14:paraId="04F1076A">
                  <w:pPr>
                    <w:jc w:val="center"/>
                    <w:rPr>
                      <w:rFonts w:hint="default" w:eastAsia="宋体"/>
                      <w:lang w:val="en-US" w:eastAsia="zh-CN"/>
                    </w:rPr>
                  </w:pPr>
                  <w:r>
                    <w:rPr>
                      <w:rFonts w:hint="eastAsia"/>
                      <w:lang w:val="en-US" w:eastAsia="zh-CN"/>
                    </w:rPr>
                    <w:t>2907</w:t>
                  </w:r>
                </w:p>
              </w:tc>
              <w:tc>
                <w:tcPr>
                  <w:tcW w:w="942" w:type="dxa"/>
                  <w:vAlign w:val="center"/>
                </w:tcPr>
                <w:p w14:paraId="257C2D4E">
                  <w:pPr>
                    <w:jc w:val="center"/>
                    <w:rPr>
                      <w:rFonts w:hint="eastAsia"/>
                    </w:rPr>
                  </w:pPr>
                </w:p>
              </w:tc>
              <w:tc>
                <w:tcPr>
                  <w:tcW w:w="943" w:type="dxa"/>
                  <w:vAlign w:val="center"/>
                </w:tcPr>
                <w:p w14:paraId="7AD8E308">
                  <w:pPr>
                    <w:jc w:val="center"/>
                    <w:rPr>
                      <w:rFonts w:hint="eastAsia"/>
                    </w:rPr>
                  </w:pPr>
                </w:p>
              </w:tc>
              <w:tc>
                <w:tcPr>
                  <w:tcW w:w="943" w:type="dxa"/>
                  <w:tcBorders>
                    <w:right w:val="nil"/>
                  </w:tcBorders>
                  <w:vAlign w:val="center"/>
                </w:tcPr>
                <w:p w14:paraId="38E9F89F">
                  <w:pPr>
                    <w:jc w:val="center"/>
                    <w:rPr>
                      <w:rFonts w:hint="default" w:eastAsia="宋体"/>
                      <w:lang w:val="en-US" w:eastAsia="zh-CN"/>
                    </w:rPr>
                  </w:pPr>
                  <w:r>
                    <w:rPr>
                      <w:rFonts w:hint="eastAsia"/>
                      <w:lang w:val="en-US" w:eastAsia="zh-CN"/>
                    </w:rPr>
                    <w:t>2907</w:t>
                  </w:r>
                </w:p>
              </w:tc>
            </w:tr>
            <w:tr w14:paraId="58684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1B278619">
                  <w:pPr>
                    <w:jc w:val="center"/>
                    <w:rPr>
                      <w:rFonts w:hint="default" w:eastAsia="宋体"/>
                      <w:lang w:val="en-US" w:eastAsia="zh-CN"/>
                    </w:rPr>
                  </w:pPr>
                  <w:r>
                    <w:rPr>
                      <w:rFonts w:hint="eastAsia"/>
                      <w:lang w:val="en-US" w:eastAsia="zh-CN"/>
                    </w:rPr>
                    <w:t>栽植胡枝子</w:t>
                  </w:r>
                </w:p>
              </w:tc>
              <w:tc>
                <w:tcPr>
                  <w:tcW w:w="941" w:type="dxa"/>
                  <w:vAlign w:val="center"/>
                </w:tcPr>
                <w:p w14:paraId="53547D7E">
                  <w:pPr>
                    <w:jc w:val="center"/>
                    <w:rPr>
                      <w:rFonts w:hint="eastAsia"/>
                    </w:rPr>
                  </w:pPr>
                  <w:r>
                    <w:rPr>
                      <w:rFonts w:hint="eastAsia"/>
                      <w:lang w:val="en-US" w:eastAsia="zh-CN"/>
                    </w:rPr>
                    <w:t>株</w:t>
                  </w:r>
                </w:p>
              </w:tc>
              <w:tc>
                <w:tcPr>
                  <w:tcW w:w="941" w:type="dxa"/>
                  <w:vAlign w:val="center"/>
                </w:tcPr>
                <w:p w14:paraId="583E469D">
                  <w:pPr>
                    <w:jc w:val="center"/>
                    <w:rPr>
                      <w:rFonts w:hint="eastAsia"/>
                    </w:rPr>
                  </w:pPr>
                </w:p>
              </w:tc>
              <w:tc>
                <w:tcPr>
                  <w:tcW w:w="941" w:type="dxa"/>
                  <w:vAlign w:val="center"/>
                </w:tcPr>
                <w:p w14:paraId="41877B64">
                  <w:pPr>
                    <w:jc w:val="center"/>
                    <w:rPr>
                      <w:rFonts w:hint="eastAsia"/>
                    </w:rPr>
                  </w:pPr>
                </w:p>
              </w:tc>
              <w:tc>
                <w:tcPr>
                  <w:tcW w:w="941" w:type="dxa"/>
                  <w:vAlign w:val="center"/>
                </w:tcPr>
                <w:p w14:paraId="221D0021">
                  <w:pPr>
                    <w:jc w:val="center"/>
                    <w:rPr>
                      <w:rFonts w:hint="default" w:eastAsia="宋体"/>
                      <w:lang w:val="en-US" w:eastAsia="zh-CN"/>
                    </w:rPr>
                  </w:pPr>
                  <w:r>
                    <w:rPr>
                      <w:rFonts w:hint="eastAsia"/>
                      <w:lang w:val="en-US" w:eastAsia="zh-CN"/>
                    </w:rPr>
                    <w:t>2551</w:t>
                  </w:r>
                </w:p>
              </w:tc>
              <w:tc>
                <w:tcPr>
                  <w:tcW w:w="941" w:type="dxa"/>
                  <w:vAlign w:val="center"/>
                </w:tcPr>
                <w:p w14:paraId="2C1592DC">
                  <w:pPr>
                    <w:jc w:val="center"/>
                    <w:rPr>
                      <w:rFonts w:hint="default" w:eastAsia="宋体"/>
                      <w:lang w:val="en-US" w:eastAsia="zh-CN"/>
                    </w:rPr>
                  </w:pPr>
                  <w:r>
                    <w:rPr>
                      <w:rFonts w:hint="eastAsia"/>
                      <w:lang w:val="en-US" w:eastAsia="zh-CN"/>
                    </w:rPr>
                    <w:t>2520</w:t>
                  </w:r>
                </w:p>
              </w:tc>
              <w:tc>
                <w:tcPr>
                  <w:tcW w:w="942" w:type="dxa"/>
                  <w:vAlign w:val="center"/>
                </w:tcPr>
                <w:p w14:paraId="3D3DEA10">
                  <w:pPr>
                    <w:jc w:val="center"/>
                    <w:rPr>
                      <w:rFonts w:hint="eastAsia"/>
                    </w:rPr>
                  </w:pPr>
                </w:p>
              </w:tc>
              <w:tc>
                <w:tcPr>
                  <w:tcW w:w="943" w:type="dxa"/>
                  <w:vAlign w:val="center"/>
                </w:tcPr>
                <w:p w14:paraId="28C19C32">
                  <w:pPr>
                    <w:jc w:val="center"/>
                    <w:rPr>
                      <w:rFonts w:hint="eastAsia"/>
                    </w:rPr>
                  </w:pPr>
                </w:p>
              </w:tc>
              <w:tc>
                <w:tcPr>
                  <w:tcW w:w="943" w:type="dxa"/>
                  <w:tcBorders>
                    <w:right w:val="nil"/>
                  </w:tcBorders>
                  <w:vAlign w:val="center"/>
                </w:tcPr>
                <w:p w14:paraId="648370CB">
                  <w:pPr>
                    <w:jc w:val="center"/>
                    <w:rPr>
                      <w:rFonts w:hint="default" w:eastAsia="宋体"/>
                      <w:lang w:val="en-US" w:eastAsia="zh-CN"/>
                    </w:rPr>
                  </w:pPr>
                  <w:r>
                    <w:rPr>
                      <w:rFonts w:hint="eastAsia"/>
                      <w:lang w:val="en-US" w:eastAsia="zh-CN"/>
                    </w:rPr>
                    <w:t>5071</w:t>
                  </w:r>
                </w:p>
              </w:tc>
            </w:tr>
            <w:tr w14:paraId="6EE6D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4DA7C4E5">
                  <w:pPr>
                    <w:jc w:val="center"/>
                    <w:rPr>
                      <w:rFonts w:hint="default" w:eastAsia="宋体"/>
                      <w:lang w:val="en-US" w:eastAsia="zh-CN"/>
                    </w:rPr>
                  </w:pPr>
                  <w:r>
                    <w:rPr>
                      <w:rFonts w:hint="eastAsia"/>
                      <w:lang w:val="en-US" w:eastAsia="zh-CN"/>
                    </w:rPr>
                    <w:t>栽植杜鹃</w:t>
                  </w:r>
                </w:p>
              </w:tc>
              <w:tc>
                <w:tcPr>
                  <w:tcW w:w="941" w:type="dxa"/>
                  <w:vAlign w:val="center"/>
                </w:tcPr>
                <w:p w14:paraId="00CDDB7D">
                  <w:pPr>
                    <w:jc w:val="center"/>
                    <w:rPr>
                      <w:rFonts w:hint="eastAsia"/>
                    </w:rPr>
                  </w:pPr>
                  <w:r>
                    <w:rPr>
                      <w:rFonts w:hint="eastAsia"/>
                      <w:lang w:val="en-US" w:eastAsia="zh-CN"/>
                    </w:rPr>
                    <w:t>株</w:t>
                  </w:r>
                </w:p>
              </w:tc>
              <w:tc>
                <w:tcPr>
                  <w:tcW w:w="941" w:type="dxa"/>
                  <w:vAlign w:val="center"/>
                </w:tcPr>
                <w:p w14:paraId="5D637CF3">
                  <w:pPr>
                    <w:jc w:val="center"/>
                    <w:rPr>
                      <w:rFonts w:hint="eastAsia"/>
                    </w:rPr>
                  </w:pPr>
                </w:p>
              </w:tc>
              <w:tc>
                <w:tcPr>
                  <w:tcW w:w="941" w:type="dxa"/>
                  <w:vAlign w:val="center"/>
                </w:tcPr>
                <w:p w14:paraId="6696FEAA">
                  <w:pPr>
                    <w:jc w:val="center"/>
                    <w:rPr>
                      <w:rFonts w:hint="eastAsia"/>
                    </w:rPr>
                  </w:pPr>
                </w:p>
              </w:tc>
              <w:tc>
                <w:tcPr>
                  <w:tcW w:w="941" w:type="dxa"/>
                  <w:vAlign w:val="center"/>
                </w:tcPr>
                <w:p w14:paraId="031E72FA">
                  <w:pPr>
                    <w:jc w:val="center"/>
                    <w:rPr>
                      <w:rFonts w:hint="default" w:eastAsia="宋体"/>
                      <w:lang w:val="en-US" w:eastAsia="zh-CN"/>
                    </w:rPr>
                  </w:pPr>
                  <w:r>
                    <w:rPr>
                      <w:rFonts w:hint="eastAsia"/>
                      <w:lang w:val="en-US" w:eastAsia="zh-CN"/>
                    </w:rPr>
                    <w:t>2551</w:t>
                  </w:r>
                </w:p>
              </w:tc>
              <w:tc>
                <w:tcPr>
                  <w:tcW w:w="941" w:type="dxa"/>
                  <w:vAlign w:val="center"/>
                </w:tcPr>
                <w:p w14:paraId="304B33B1">
                  <w:pPr>
                    <w:jc w:val="center"/>
                    <w:rPr>
                      <w:rFonts w:hint="default" w:eastAsia="宋体"/>
                      <w:lang w:val="en-US" w:eastAsia="zh-CN"/>
                    </w:rPr>
                  </w:pPr>
                  <w:r>
                    <w:rPr>
                      <w:rFonts w:hint="eastAsia"/>
                      <w:lang w:val="en-US" w:eastAsia="zh-CN"/>
                    </w:rPr>
                    <w:t>2047</w:t>
                  </w:r>
                </w:p>
              </w:tc>
              <w:tc>
                <w:tcPr>
                  <w:tcW w:w="942" w:type="dxa"/>
                  <w:vAlign w:val="center"/>
                </w:tcPr>
                <w:p w14:paraId="5A59209F">
                  <w:pPr>
                    <w:jc w:val="center"/>
                    <w:rPr>
                      <w:rFonts w:hint="default" w:eastAsia="宋体"/>
                      <w:lang w:val="en-US" w:eastAsia="zh-CN"/>
                    </w:rPr>
                  </w:pPr>
                  <w:r>
                    <w:rPr>
                      <w:rFonts w:hint="eastAsia"/>
                      <w:lang w:val="en-US" w:eastAsia="zh-CN"/>
                    </w:rPr>
                    <w:t>800</w:t>
                  </w:r>
                </w:p>
              </w:tc>
              <w:tc>
                <w:tcPr>
                  <w:tcW w:w="943" w:type="dxa"/>
                  <w:vAlign w:val="center"/>
                </w:tcPr>
                <w:p w14:paraId="1814F342">
                  <w:pPr>
                    <w:jc w:val="center"/>
                    <w:rPr>
                      <w:rFonts w:hint="eastAsia"/>
                    </w:rPr>
                  </w:pPr>
                </w:p>
              </w:tc>
              <w:tc>
                <w:tcPr>
                  <w:tcW w:w="943" w:type="dxa"/>
                  <w:tcBorders>
                    <w:right w:val="nil"/>
                  </w:tcBorders>
                  <w:vAlign w:val="center"/>
                </w:tcPr>
                <w:p w14:paraId="7E2EFE73">
                  <w:pPr>
                    <w:jc w:val="center"/>
                    <w:rPr>
                      <w:rFonts w:hint="default" w:eastAsia="宋体"/>
                      <w:lang w:val="en-US" w:eastAsia="zh-CN"/>
                    </w:rPr>
                  </w:pPr>
                  <w:r>
                    <w:rPr>
                      <w:rFonts w:hint="eastAsia"/>
                      <w:lang w:val="en-US" w:eastAsia="zh-CN"/>
                    </w:rPr>
                    <w:t>5398</w:t>
                  </w:r>
                </w:p>
              </w:tc>
            </w:tr>
            <w:tr w14:paraId="4F786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5" w:type="dxa"/>
                  <w:gridSpan w:val="9"/>
                  <w:tcBorders>
                    <w:left w:val="nil"/>
                    <w:right w:val="nil"/>
                  </w:tcBorders>
                  <w:vAlign w:val="center"/>
                </w:tcPr>
                <w:p w14:paraId="080D66ED">
                  <w:pPr>
                    <w:jc w:val="center"/>
                    <w:rPr>
                      <w:rFonts w:hint="default" w:eastAsia="宋体"/>
                      <w:lang w:val="en-US" w:eastAsia="zh-CN"/>
                    </w:rPr>
                  </w:pPr>
                  <w:r>
                    <w:rPr>
                      <w:rFonts w:hint="eastAsia"/>
                      <w:lang w:val="en-US" w:eastAsia="zh-CN"/>
                    </w:rPr>
                    <w:t>三、临时工程措施</w:t>
                  </w:r>
                </w:p>
              </w:tc>
            </w:tr>
            <w:tr w14:paraId="4CB0F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09C15642">
                  <w:pPr>
                    <w:jc w:val="center"/>
                    <w:rPr>
                      <w:rFonts w:hint="default" w:eastAsia="宋体"/>
                      <w:lang w:val="en-US" w:eastAsia="zh-CN"/>
                    </w:rPr>
                  </w:pPr>
                  <w:r>
                    <w:rPr>
                      <w:rFonts w:hint="eastAsia"/>
                      <w:lang w:val="en-US" w:eastAsia="zh-CN"/>
                    </w:rPr>
                    <w:t>临时排水沟</w:t>
                  </w:r>
                </w:p>
              </w:tc>
              <w:tc>
                <w:tcPr>
                  <w:tcW w:w="941" w:type="dxa"/>
                  <w:vAlign w:val="center"/>
                </w:tcPr>
                <w:p w14:paraId="759E4529">
                  <w:pPr>
                    <w:jc w:val="center"/>
                    <w:rPr>
                      <w:rFonts w:hint="eastAsia" w:eastAsia="宋体"/>
                      <w:lang w:val="en-US" w:eastAsia="zh-CN"/>
                    </w:rPr>
                  </w:pPr>
                  <w:r>
                    <w:rPr>
                      <w:rFonts w:hint="eastAsia"/>
                      <w:lang w:val="en-US" w:eastAsia="zh-CN"/>
                    </w:rPr>
                    <w:t>m</w:t>
                  </w:r>
                </w:p>
              </w:tc>
              <w:tc>
                <w:tcPr>
                  <w:tcW w:w="941" w:type="dxa"/>
                  <w:vAlign w:val="center"/>
                </w:tcPr>
                <w:p w14:paraId="5F0A5822">
                  <w:pPr>
                    <w:jc w:val="center"/>
                    <w:rPr>
                      <w:rFonts w:hint="default" w:eastAsia="宋体"/>
                      <w:lang w:val="en-US" w:eastAsia="zh-CN"/>
                    </w:rPr>
                  </w:pPr>
                  <w:r>
                    <w:rPr>
                      <w:rFonts w:hint="eastAsia"/>
                      <w:lang w:val="en-US" w:eastAsia="zh-CN"/>
                    </w:rPr>
                    <w:t>2340</w:t>
                  </w:r>
                </w:p>
              </w:tc>
              <w:tc>
                <w:tcPr>
                  <w:tcW w:w="941" w:type="dxa"/>
                  <w:vAlign w:val="center"/>
                </w:tcPr>
                <w:p w14:paraId="19E5449C">
                  <w:pPr>
                    <w:jc w:val="center"/>
                    <w:rPr>
                      <w:rFonts w:hint="default" w:eastAsia="宋体"/>
                      <w:lang w:val="en-US" w:eastAsia="zh-CN"/>
                    </w:rPr>
                  </w:pPr>
                  <w:r>
                    <w:rPr>
                      <w:rFonts w:hint="eastAsia"/>
                      <w:lang w:val="en-US" w:eastAsia="zh-CN"/>
                    </w:rPr>
                    <w:t>168</w:t>
                  </w:r>
                </w:p>
              </w:tc>
              <w:tc>
                <w:tcPr>
                  <w:tcW w:w="941" w:type="dxa"/>
                  <w:vAlign w:val="center"/>
                </w:tcPr>
                <w:p w14:paraId="5FC782F1">
                  <w:pPr>
                    <w:jc w:val="center"/>
                    <w:rPr>
                      <w:rFonts w:hint="default" w:eastAsia="宋体"/>
                      <w:lang w:val="en-US" w:eastAsia="zh-CN"/>
                    </w:rPr>
                  </w:pPr>
                  <w:r>
                    <w:rPr>
                      <w:rFonts w:hint="eastAsia"/>
                      <w:lang w:val="en-US" w:eastAsia="zh-CN"/>
                    </w:rPr>
                    <w:t>32263</w:t>
                  </w:r>
                </w:p>
              </w:tc>
              <w:tc>
                <w:tcPr>
                  <w:tcW w:w="941" w:type="dxa"/>
                  <w:vAlign w:val="center"/>
                </w:tcPr>
                <w:p w14:paraId="06222FB6">
                  <w:pPr>
                    <w:jc w:val="center"/>
                    <w:rPr>
                      <w:rFonts w:hint="eastAsia"/>
                    </w:rPr>
                  </w:pPr>
                </w:p>
              </w:tc>
              <w:tc>
                <w:tcPr>
                  <w:tcW w:w="942" w:type="dxa"/>
                  <w:vAlign w:val="center"/>
                </w:tcPr>
                <w:p w14:paraId="701B24C6">
                  <w:pPr>
                    <w:jc w:val="center"/>
                    <w:rPr>
                      <w:rFonts w:hint="default" w:eastAsia="宋体"/>
                      <w:lang w:val="en-US" w:eastAsia="zh-CN"/>
                    </w:rPr>
                  </w:pPr>
                  <w:r>
                    <w:rPr>
                      <w:rFonts w:hint="eastAsia"/>
                      <w:lang w:val="en-US" w:eastAsia="zh-CN"/>
                    </w:rPr>
                    <w:t>220</w:t>
                  </w:r>
                </w:p>
              </w:tc>
              <w:tc>
                <w:tcPr>
                  <w:tcW w:w="943" w:type="dxa"/>
                  <w:vAlign w:val="center"/>
                </w:tcPr>
                <w:p w14:paraId="47634438">
                  <w:pPr>
                    <w:jc w:val="center"/>
                    <w:rPr>
                      <w:rFonts w:hint="eastAsia"/>
                    </w:rPr>
                  </w:pPr>
                </w:p>
              </w:tc>
              <w:tc>
                <w:tcPr>
                  <w:tcW w:w="943" w:type="dxa"/>
                  <w:tcBorders>
                    <w:right w:val="nil"/>
                  </w:tcBorders>
                  <w:vAlign w:val="center"/>
                </w:tcPr>
                <w:p w14:paraId="41A44D9F">
                  <w:pPr>
                    <w:jc w:val="center"/>
                    <w:rPr>
                      <w:rFonts w:hint="default" w:eastAsia="宋体"/>
                      <w:lang w:val="en-US" w:eastAsia="zh-CN"/>
                    </w:rPr>
                  </w:pPr>
                  <w:r>
                    <w:rPr>
                      <w:rFonts w:hint="eastAsia"/>
                      <w:lang w:val="en-US" w:eastAsia="zh-CN"/>
                    </w:rPr>
                    <w:t>34991</w:t>
                  </w:r>
                </w:p>
              </w:tc>
            </w:tr>
            <w:tr w14:paraId="10D08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56B95B46">
                  <w:pPr>
                    <w:jc w:val="center"/>
                    <w:rPr>
                      <w:rFonts w:hint="default" w:eastAsia="宋体"/>
                      <w:lang w:val="en-US" w:eastAsia="zh-CN"/>
                    </w:rPr>
                  </w:pPr>
                  <w:r>
                    <w:rPr>
                      <w:rFonts w:hint="eastAsia"/>
                      <w:lang w:val="en-US" w:eastAsia="zh-CN"/>
                    </w:rPr>
                    <w:t>临时沉砂池</w:t>
                  </w:r>
                </w:p>
              </w:tc>
              <w:tc>
                <w:tcPr>
                  <w:tcW w:w="941" w:type="dxa"/>
                  <w:vAlign w:val="center"/>
                </w:tcPr>
                <w:p w14:paraId="20CB80BE">
                  <w:pPr>
                    <w:jc w:val="center"/>
                    <w:rPr>
                      <w:rFonts w:hint="eastAsia" w:eastAsia="宋体"/>
                      <w:lang w:val="en-US" w:eastAsia="zh-CN"/>
                    </w:rPr>
                  </w:pPr>
                  <w:r>
                    <w:rPr>
                      <w:rFonts w:hint="eastAsia"/>
                      <w:lang w:val="en-US" w:eastAsia="zh-CN"/>
                    </w:rPr>
                    <w:t>个</w:t>
                  </w:r>
                </w:p>
              </w:tc>
              <w:tc>
                <w:tcPr>
                  <w:tcW w:w="941" w:type="dxa"/>
                  <w:vAlign w:val="center"/>
                </w:tcPr>
                <w:p w14:paraId="387D4342">
                  <w:pPr>
                    <w:jc w:val="center"/>
                    <w:rPr>
                      <w:rFonts w:hint="default" w:eastAsia="宋体"/>
                      <w:lang w:val="en-US" w:eastAsia="zh-CN"/>
                    </w:rPr>
                  </w:pPr>
                  <w:r>
                    <w:rPr>
                      <w:rFonts w:hint="eastAsia"/>
                      <w:lang w:val="en-US" w:eastAsia="zh-CN"/>
                    </w:rPr>
                    <w:t>46</w:t>
                  </w:r>
                </w:p>
              </w:tc>
              <w:tc>
                <w:tcPr>
                  <w:tcW w:w="941" w:type="dxa"/>
                  <w:vAlign w:val="center"/>
                </w:tcPr>
                <w:p w14:paraId="0ADA1B5B">
                  <w:pPr>
                    <w:jc w:val="center"/>
                    <w:rPr>
                      <w:rFonts w:hint="eastAsia" w:eastAsia="宋体"/>
                      <w:lang w:val="en-US" w:eastAsia="zh-CN"/>
                    </w:rPr>
                  </w:pPr>
                  <w:r>
                    <w:rPr>
                      <w:rFonts w:hint="eastAsia"/>
                      <w:lang w:val="en-US" w:eastAsia="zh-CN"/>
                    </w:rPr>
                    <w:t>2</w:t>
                  </w:r>
                </w:p>
              </w:tc>
              <w:tc>
                <w:tcPr>
                  <w:tcW w:w="941" w:type="dxa"/>
                  <w:vAlign w:val="center"/>
                </w:tcPr>
                <w:p w14:paraId="37B6643F">
                  <w:pPr>
                    <w:jc w:val="center"/>
                    <w:rPr>
                      <w:rFonts w:hint="default" w:eastAsia="宋体"/>
                      <w:lang w:val="en-US" w:eastAsia="zh-CN"/>
                    </w:rPr>
                  </w:pPr>
                  <w:r>
                    <w:rPr>
                      <w:rFonts w:hint="eastAsia"/>
                      <w:lang w:val="en-US" w:eastAsia="zh-CN"/>
                    </w:rPr>
                    <w:t>167</w:t>
                  </w:r>
                </w:p>
              </w:tc>
              <w:tc>
                <w:tcPr>
                  <w:tcW w:w="941" w:type="dxa"/>
                  <w:vAlign w:val="center"/>
                </w:tcPr>
                <w:p w14:paraId="3153641D">
                  <w:pPr>
                    <w:jc w:val="center"/>
                    <w:rPr>
                      <w:rFonts w:hint="eastAsia"/>
                    </w:rPr>
                  </w:pPr>
                </w:p>
              </w:tc>
              <w:tc>
                <w:tcPr>
                  <w:tcW w:w="942" w:type="dxa"/>
                  <w:vAlign w:val="center"/>
                </w:tcPr>
                <w:p w14:paraId="785E72FC">
                  <w:pPr>
                    <w:jc w:val="center"/>
                    <w:rPr>
                      <w:rFonts w:hint="eastAsia" w:eastAsia="宋体"/>
                      <w:lang w:val="en-US" w:eastAsia="zh-CN"/>
                    </w:rPr>
                  </w:pPr>
                  <w:r>
                    <w:rPr>
                      <w:rFonts w:hint="eastAsia"/>
                      <w:lang w:val="en-US" w:eastAsia="zh-CN"/>
                    </w:rPr>
                    <w:t>2</w:t>
                  </w:r>
                </w:p>
              </w:tc>
              <w:tc>
                <w:tcPr>
                  <w:tcW w:w="943" w:type="dxa"/>
                  <w:vAlign w:val="center"/>
                </w:tcPr>
                <w:p w14:paraId="7189307D">
                  <w:pPr>
                    <w:jc w:val="center"/>
                    <w:rPr>
                      <w:rFonts w:hint="eastAsia"/>
                    </w:rPr>
                  </w:pPr>
                </w:p>
              </w:tc>
              <w:tc>
                <w:tcPr>
                  <w:tcW w:w="943" w:type="dxa"/>
                  <w:tcBorders>
                    <w:right w:val="nil"/>
                  </w:tcBorders>
                  <w:vAlign w:val="center"/>
                </w:tcPr>
                <w:p w14:paraId="6BFD991C">
                  <w:pPr>
                    <w:jc w:val="center"/>
                    <w:rPr>
                      <w:rFonts w:hint="default" w:eastAsia="宋体"/>
                      <w:lang w:val="en-US" w:eastAsia="zh-CN"/>
                    </w:rPr>
                  </w:pPr>
                  <w:r>
                    <w:rPr>
                      <w:rFonts w:hint="eastAsia"/>
                      <w:lang w:val="en-US" w:eastAsia="zh-CN"/>
                    </w:rPr>
                    <w:t>217</w:t>
                  </w:r>
                </w:p>
              </w:tc>
            </w:tr>
            <w:tr w14:paraId="0BAD4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4A1B8125">
                  <w:pPr>
                    <w:jc w:val="center"/>
                    <w:rPr>
                      <w:rFonts w:hint="default" w:eastAsia="宋体"/>
                      <w:lang w:val="en-US" w:eastAsia="zh-CN"/>
                    </w:rPr>
                  </w:pPr>
                  <w:r>
                    <w:rPr>
                      <w:rFonts w:hint="eastAsia"/>
                      <w:lang w:val="en-US" w:eastAsia="zh-CN"/>
                    </w:rPr>
                    <w:t>袋装土垒砌</w:t>
                  </w:r>
                </w:p>
              </w:tc>
              <w:tc>
                <w:tcPr>
                  <w:tcW w:w="941" w:type="dxa"/>
                  <w:vAlign w:val="center"/>
                </w:tcPr>
                <w:p w14:paraId="5E7D6F14">
                  <w:pPr>
                    <w:jc w:val="center"/>
                    <w:rPr>
                      <w:rFonts w:hint="default" w:eastAsia="宋体"/>
                      <w:lang w:val="en-US" w:eastAsia="zh-CN"/>
                    </w:rPr>
                  </w:pPr>
                  <w:r>
                    <w:rPr>
                      <w:rFonts w:hint="eastAsia"/>
                      <w:lang w:val="en-US" w:eastAsia="zh-CN"/>
                    </w:rPr>
                    <w:t>m</w:t>
                  </w:r>
                  <w:r>
                    <w:rPr>
                      <w:rFonts w:hint="eastAsia"/>
                      <w:vertAlign w:val="superscript"/>
                      <w:lang w:val="en-US" w:eastAsia="zh-CN"/>
                    </w:rPr>
                    <w:t>3</w:t>
                  </w:r>
                </w:p>
              </w:tc>
              <w:tc>
                <w:tcPr>
                  <w:tcW w:w="941" w:type="dxa"/>
                  <w:vAlign w:val="center"/>
                </w:tcPr>
                <w:p w14:paraId="04C30E6B">
                  <w:pPr>
                    <w:jc w:val="center"/>
                    <w:rPr>
                      <w:rFonts w:hint="default" w:eastAsia="宋体"/>
                      <w:lang w:val="en-US" w:eastAsia="zh-CN"/>
                    </w:rPr>
                  </w:pPr>
                  <w:r>
                    <w:rPr>
                      <w:rFonts w:hint="eastAsia"/>
                      <w:lang w:val="en-US" w:eastAsia="zh-CN"/>
                    </w:rPr>
                    <w:t>644</w:t>
                  </w:r>
                </w:p>
              </w:tc>
              <w:tc>
                <w:tcPr>
                  <w:tcW w:w="941" w:type="dxa"/>
                  <w:vAlign w:val="center"/>
                </w:tcPr>
                <w:p w14:paraId="38A1450E">
                  <w:pPr>
                    <w:jc w:val="center"/>
                    <w:rPr>
                      <w:rFonts w:hint="default" w:eastAsia="宋体"/>
                      <w:lang w:val="en-US" w:eastAsia="zh-CN"/>
                    </w:rPr>
                  </w:pPr>
                  <w:r>
                    <w:rPr>
                      <w:rFonts w:hint="eastAsia"/>
                      <w:lang w:val="en-US" w:eastAsia="zh-CN"/>
                    </w:rPr>
                    <w:t>37</w:t>
                  </w:r>
                </w:p>
              </w:tc>
              <w:tc>
                <w:tcPr>
                  <w:tcW w:w="941" w:type="dxa"/>
                  <w:vAlign w:val="center"/>
                </w:tcPr>
                <w:p w14:paraId="5F3E096F">
                  <w:pPr>
                    <w:jc w:val="center"/>
                    <w:rPr>
                      <w:rFonts w:hint="default" w:eastAsia="宋体"/>
                      <w:lang w:val="en-US" w:eastAsia="zh-CN"/>
                    </w:rPr>
                  </w:pPr>
                  <w:r>
                    <w:rPr>
                      <w:rFonts w:hint="eastAsia"/>
                      <w:lang w:val="en-US" w:eastAsia="zh-CN"/>
                    </w:rPr>
                    <w:t>668</w:t>
                  </w:r>
                </w:p>
              </w:tc>
              <w:tc>
                <w:tcPr>
                  <w:tcW w:w="941" w:type="dxa"/>
                  <w:vAlign w:val="center"/>
                </w:tcPr>
                <w:p w14:paraId="2E62DD68">
                  <w:pPr>
                    <w:jc w:val="center"/>
                    <w:rPr>
                      <w:rFonts w:hint="eastAsia"/>
                    </w:rPr>
                  </w:pPr>
                </w:p>
              </w:tc>
              <w:tc>
                <w:tcPr>
                  <w:tcW w:w="942" w:type="dxa"/>
                  <w:vAlign w:val="center"/>
                </w:tcPr>
                <w:p w14:paraId="228F75BB">
                  <w:pPr>
                    <w:jc w:val="center"/>
                    <w:rPr>
                      <w:rFonts w:hint="default" w:eastAsia="宋体"/>
                      <w:lang w:val="en-US" w:eastAsia="zh-CN"/>
                    </w:rPr>
                  </w:pPr>
                  <w:r>
                    <w:rPr>
                      <w:rFonts w:hint="eastAsia"/>
                      <w:lang w:val="en-US" w:eastAsia="zh-CN"/>
                    </w:rPr>
                    <w:t>15</w:t>
                  </w:r>
                </w:p>
              </w:tc>
              <w:tc>
                <w:tcPr>
                  <w:tcW w:w="943" w:type="dxa"/>
                  <w:vAlign w:val="center"/>
                </w:tcPr>
                <w:p w14:paraId="7819AAA8">
                  <w:pPr>
                    <w:jc w:val="center"/>
                    <w:rPr>
                      <w:rFonts w:hint="default" w:eastAsia="宋体"/>
                      <w:lang w:val="en-US" w:eastAsia="zh-CN"/>
                    </w:rPr>
                  </w:pPr>
                  <w:r>
                    <w:rPr>
                      <w:rFonts w:hint="eastAsia"/>
                      <w:lang w:val="en-US" w:eastAsia="zh-CN"/>
                    </w:rPr>
                    <w:t>24</w:t>
                  </w:r>
                </w:p>
              </w:tc>
              <w:tc>
                <w:tcPr>
                  <w:tcW w:w="943" w:type="dxa"/>
                  <w:tcBorders>
                    <w:right w:val="nil"/>
                  </w:tcBorders>
                  <w:vAlign w:val="center"/>
                </w:tcPr>
                <w:p w14:paraId="3C3E1A82">
                  <w:pPr>
                    <w:jc w:val="center"/>
                    <w:rPr>
                      <w:rFonts w:hint="default" w:eastAsia="宋体"/>
                      <w:lang w:val="en-US" w:eastAsia="zh-CN"/>
                    </w:rPr>
                  </w:pPr>
                  <w:r>
                    <w:rPr>
                      <w:rFonts w:hint="eastAsia"/>
                      <w:lang w:val="en-US" w:eastAsia="zh-CN"/>
                    </w:rPr>
                    <w:t>1388</w:t>
                  </w:r>
                </w:p>
              </w:tc>
            </w:tr>
            <w:tr w14:paraId="5AC49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tcBorders>
                  <w:vAlign w:val="center"/>
                </w:tcPr>
                <w:p w14:paraId="57556911">
                  <w:pPr>
                    <w:jc w:val="center"/>
                    <w:rPr>
                      <w:rFonts w:hint="default" w:eastAsia="宋体"/>
                      <w:lang w:val="en-US" w:eastAsia="zh-CN"/>
                    </w:rPr>
                  </w:pPr>
                  <w:r>
                    <w:rPr>
                      <w:rFonts w:hint="eastAsia"/>
                      <w:lang w:val="en-US" w:eastAsia="zh-CN"/>
                    </w:rPr>
                    <w:t>防尘网覆盖</w:t>
                  </w:r>
                </w:p>
              </w:tc>
              <w:tc>
                <w:tcPr>
                  <w:tcW w:w="941" w:type="dxa"/>
                  <w:vAlign w:val="center"/>
                </w:tcPr>
                <w:p w14:paraId="55000786">
                  <w:pPr>
                    <w:jc w:val="center"/>
                    <w:rPr>
                      <w:rFonts w:hint="default" w:eastAsia="宋体"/>
                      <w:lang w:val="en-US" w:eastAsia="zh-CN"/>
                    </w:rPr>
                  </w:pPr>
                  <w:r>
                    <w:rPr>
                      <w:rFonts w:hint="eastAsia"/>
                      <w:lang w:val="en-US" w:eastAsia="zh-CN"/>
                    </w:rPr>
                    <w:t>m</w:t>
                  </w:r>
                  <w:r>
                    <w:rPr>
                      <w:rFonts w:hint="eastAsia"/>
                      <w:vertAlign w:val="superscript"/>
                      <w:lang w:val="en-US" w:eastAsia="zh-CN"/>
                    </w:rPr>
                    <w:t>2</w:t>
                  </w:r>
                </w:p>
              </w:tc>
              <w:tc>
                <w:tcPr>
                  <w:tcW w:w="941" w:type="dxa"/>
                  <w:vAlign w:val="center"/>
                </w:tcPr>
                <w:p w14:paraId="5099A67A">
                  <w:pPr>
                    <w:jc w:val="center"/>
                    <w:rPr>
                      <w:rFonts w:hint="default" w:eastAsia="宋体"/>
                      <w:lang w:val="en-US" w:eastAsia="zh-CN"/>
                    </w:rPr>
                  </w:pPr>
                  <w:r>
                    <w:rPr>
                      <w:rFonts w:hint="eastAsia"/>
                      <w:lang w:val="en-US" w:eastAsia="zh-CN"/>
                    </w:rPr>
                    <w:t>3552</w:t>
                  </w:r>
                </w:p>
              </w:tc>
              <w:tc>
                <w:tcPr>
                  <w:tcW w:w="941" w:type="dxa"/>
                  <w:vAlign w:val="center"/>
                </w:tcPr>
                <w:p w14:paraId="5739690E">
                  <w:pPr>
                    <w:jc w:val="center"/>
                    <w:rPr>
                      <w:rFonts w:hint="default" w:eastAsia="宋体"/>
                      <w:lang w:val="en-US" w:eastAsia="zh-CN"/>
                    </w:rPr>
                  </w:pPr>
                  <w:r>
                    <w:rPr>
                      <w:rFonts w:hint="eastAsia"/>
                      <w:lang w:val="en-US" w:eastAsia="zh-CN"/>
                    </w:rPr>
                    <w:t>2132</w:t>
                  </w:r>
                </w:p>
              </w:tc>
              <w:tc>
                <w:tcPr>
                  <w:tcW w:w="941" w:type="dxa"/>
                  <w:vAlign w:val="center"/>
                </w:tcPr>
                <w:p w14:paraId="10DEF89B">
                  <w:pPr>
                    <w:jc w:val="center"/>
                    <w:rPr>
                      <w:rFonts w:hint="default" w:eastAsia="宋体"/>
                      <w:lang w:val="en-US" w:eastAsia="zh-CN"/>
                    </w:rPr>
                  </w:pPr>
                  <w:r>
                    <w:rPr>
                      <w:rFonts w:hint="eastAsia"/>
                      <w:lang w:val="en-US" w:eastAsia="zh-CN"/>
                    </w:rPr>
                    <w:t>44091</w:t>
                  </w:r>
                </w:p>
              </w:tc>
              <w:tc>
                <w:tcPr>
                  <w:tcW w:w="941" w:type="dxa"/>
                  <w:vAlign w:val="center"/>
                </w:tcPr>
                <w:p w14:paraId="1F155201">
                  <w:pPr>
                    <w:jc w:val="center"/>
                    <w:rPr>
                      <w:rFonts w:hint="default" w:eastAsia="宋体"/>
                      <w:lang w:val="en-US" w:eastAsia="zh-CN"/>
                    </w:rPr>
                  </w:pPr>
                  <w:r>
                    <w:rPr>
                      <w:rFonts w:hint="eastAsia"/>
                      <w:lang w:val="en-US" w:eastAsia="zh-CN"/>
                    </w:rPr>
                    <w:t>59600</w:t>
                  </w:r>
                </w:p>
              </w:tc>
              <w:tc>
                <w:tcPr>
                  <w:tcW w:w="942" w:type="dxa"/>
                  <w:vAlign w:val="center"/>
                </w:tcPr>
                <w:p w14:paraId="7A3231A5">
                  <w:pPr>
                    <w:jc w:val="center"/>
                    <w:rPr>
                      <w:rFonts w:hint="default" w:eastAsia="宋体"/>
                      <w:lang w:val="en-US" w:eastAsia="zh-CN"/>
                    </w:rPr>
                  </w:pPr>
                  <w:r>
                    <w:rPr>
                      <w:rFonts w:hint="eastAsia"/>
                      <w:lang w:val="en-US" w:eastAsia="zh-CN"/>
                    </w:rPr>
                    <w:t>700</w:t>
                  </w:r>
                </w:p>
              </w:tc>
              <w:tc>
                <w:tcPr>
                  <w:tcW w:w="943" w:type="dxa"/>
                  <w:vAlign w:val="center"/>
                </w:tcPr>
                <w:p w14:paraId="03D31293">
                  <w:pPr>
                    <w:jc w:val="center"/>
                    <w:rPr>
                      <w:rFonts w:hint="default" w:eastAsia="宋体"/>
                      <w:lang w:val="en-US" w:eastAsia="zh-CN"/>
                    </w:rPr>
                  </w:pPr>
                  <w:r>
                    <w:rPr>
                      <w:rFonts w:hint="eastAsia"/>
                      <w:lang w:val="en-US" w:eastAsia="zh-CN"/>
                    </w:rPr>
                    <w:t>1000</w:t>
                  </w:r>
                </w:p>
              </w:tc>
              <w:tc>
                <w:tcPr>
                  <w:tcW w:w="943" w:type="dxa"/>
                  <w:tcBorders>
                    <w:right w:val="nil"/>
                  </w:tcBorders>
                  <w:vAlign w:val="center"/>
                </w:tcPr>
                <w:p w14:paraId="40993709">
                  <w:pPr>
                    <w:jc w:val="center"/>
                    <w:rPr>
                      <w:rFonts w:hint="default" w:eastAsia="宋体"/>
                      <w:lang w:val="en-US" w:eastAsia="zh-CN"/>
                    </w:rPr>
                  </w:pPr>
                  <w:r>
                    <w:rPr>
                      <w:rFonts w:hint="eastAsia"/>
                      <w:lang w:val="en-US" w:eastAsia="zh-CN"/>
                    </w:rPr>
                    <w:t>111045</w:t>
                  </w:r>
                </w:p>
              </w:tc>
            </w:tr>
            <w:tr w14:paraId="57811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2" w:type="dxa"/>
                  <w:tcBorders>
                    <w:left w:val="nil"/>
                    <w:bottom w:val="single" w:color="auto" w:sz="12" w:space="0"/>
                  </w:tcBorders>
                  <w:vAlign w:val="center"/>
                </w:tcPr>
                <w:p w14:paraId="2064F728">
                  <w:pPr>
                    <w:jc w:val="center"/>
                    <w:rPr>
                      <w:rFonts w:hint="eastAsia" w:ascii="Times New Roman" w:hAnsi="Times New Roman" w:eastAsia="宋体" w:cs="Times New Roman"/>
                      <w:kern w:val="2"/>
                      <w:sz w:val="21"/>
                      <w:szCs w:val="24"/>
                      <w:lang w:val="en-US" w:eastAsia="zh-CN" w:bidi="ar-SA"/>
                    </w:rPr>
                  </w:pPr>
                  <w:r>
                    <w:rPr>
                      <w:rFonts w:hint="eastAsia"/>
                      <w:lang w:val="en-US" w:eastAsia="zh-CN"/>
                    </w:rPr>
                    <w:t>竹甲板</w:t>
                  </w:r>
                </w:p>
              </w:tc>
              <w:tc>
                <w:tcPr>
                  <w:tcW w:w="941" w:type="dxa"/>
                  <w:tcBorders>
                    <w:bottom w:val="single" w:color="auto" w:sz="12" w:space="0"/>
                  </w:tcBorders>
                  <w:vAlign w:val="center"/>
                </w:tcPr>
                <w:p w14:paraId="3C9EA5CB">
                  <w:pPr>
                    <w:jc w:val="center"/>
                    <w:rPr>
                      <w:rFonts w:hint="eastAsia" w:ascii="Times New Roman" w:hAnsi="Times New Roman" w:eastAsia="宋体" w:cs="Times New Roman"/>
                      <w:kern w:val="2"/>
                      <w:sz w:val="21"/>
                      <w:szCs w:val="24"/>
                      <w:lang w:val="en-US" w:eastAsia="zh-CN" w:bidi="ar-SA"/>
                    </w:rPr>
                  </w:pPr>
                  <w:r>
                    <w:rPr>
                      <w:rFonts w:hint="eastAsia"/>
                      <w:lang w:val="en-US" w:eastAsia="zh-CN"/>
                    </w:rPr>
                    <w:t>m</w:t>
                  </w:r>
                </w:p>
              </w:tc>
              <w:tc>
                <w:tcPr>
                  <w:tcW w:w="941" w:type="dxa"/>
                  <w:tcBorders>
                    <w:bottom w:val="single" w:color="auto" w:sz="12" w:space="0"/>
                  </w:tcBorders>
                  <w:vAlign w:val="center"/>
                </w:tcPr>
                <w:p w14:paraId="60D180DF">
                  <w:pPr>
                    <w:jc w:val="center"/>
                    <w:rPr>
                      <w:rFonts w:hint="eastAsia"/>
                    </w:rPr>
                  </w:pPr>
                </w:p>
              </w:tc>
              <w:tc>
                <w:tcPr>
                  <w:tcW w:w="941" w:type="dxa"/>
                  <w:tcBorders>
                    <w:bottom w:val="single" w:color="auto" w:sz="12" w:space="0"/>
                  </w:tcBorders>
                  <w:vAlign w:val="center"/>
                </w:tcPr>
                <w:p w14:paraId="0297AA3E">
                  <w:pPr>
                    <w:jc w:val="center"/>
                    <w:rPr>
                      <w:rFonts w:hint="eastAsia"/>
                    </w:rPr>
                  </w:pPr>
                </w:p>
              </w:tc>
              <w:tc>
                <w:tcPr>
                  <w:tcW w:w="941" w:type="dxa"/>
                  <w:tcBorders>
                    <w:bottom w:val="single" w:color="auto" w:sz="12" w:space="0"/>
                  </w:tcBorders>
                  <w:vAlign w:val="center"/>
                </w:tcPr>
                <w:p w14:paraId="79C4E86F">
                  <w:pPr>
                    <w:jc w:val="center"/>
                    <w:rPr>
                      <w:rFonts w:hint="default" w:eastAsia="宋体"/>
                      <w:lang w:val="en-US" w:eastAsia="zh-CN"/>
                    </w:rPr>
                  </w:pPr>
                  <w:r>
                    <w:rPr>
                      <w:rFonts w:hint="eastAsia"/>
                      <w:lang w:val="en-US" w:eastAsia="zh-CN"/>
                    </w:rPr>
                    <w:t>4926</w:t>
                  </w:r>
                </w:p>
              </w:tc>
              <w:tc>
                <w:tcPr>
                  <w:tcW w:w="941" w:type="dxa"/>
                  <w:tcBorders>
                    <w:bottom w:val="single" w:color="auto" w:sz="12" w:space="0"/>
                  </w:tcBorders>
                  <w:vAlign w:val="center"/>
                </w:tcPr>
                <w:p w14:paraId="09CBBCE5">
                  <w:pPr>
                    <w:jc w:val="center"/>
                    <w:rPr>
                      <w:rFonts w:hint="eastAsia"/>
                    </w:rPr>
                  </w:pPr>
                </w:p>
              </w:tc>
              <w:tc>
                <w:tcPr>
                  <w:tcW w:w="942" w:type="dxa"/>
                  <w:tcBorders>
                    <w:bottom w:val="single" w:color="auto" w:sz="12" w:space="0"/>
                  </w:tcBorders>
                  <w:vAlign w:val="center"/>
                </w:tcPr>
                <w:p w14:paraId="755A6862">
                  <w:pPr>
                    <w:jc w:val="center"/>
                    <w:rPr>
                      <w:rFonts w:hint="eastAsia"/>
                    </w:rPr>
                  </w:pPr>
                </w:p>
              </w:tc>
              <w:tc>
                <w:tcPr>
                  <w:tcW w:w="943" w:type="dxa"/>
                  <w:tcBorders>
                    <w:bottom w:val="single" w:color="auto" w:sz="12" w:space="0"/>
                  </w:tcBorders>
                  <w:vAlign w:val="center"/>
                </w:tcPr>
                <w:p w14:paraId="769540A3">
                  <w:pPr>
                    <w:jc w:val="center"/>
                    <w:rPr>
                      <w:rFonts w:hint="eastAsia"/>
                    </w:rPr>
                  </w:pPr>
                </w:p>
              </w:tc>
              <w:tc>
                <w:tcPr>
                  <w:tcW w:w="943" w:type="dxa"/>
                  <w:tcBorders>
                    <w:bottom w:val="single" w:color="auto" w:sz="12" w:space="0"/>
                    <w:right w:val="nil"/>
                  </w:tcBorders>
                  <w:vAlign w:val="center"/>
                </w:tcPr>
                <w:p w14:paraId="485F0A62">
                  <w:pPr>
                    <w:jc w:val="center"/>
                    <w:rPr>
                      <w:rFonts w:hint="default" w:eastAsia="宋体"/>
                      <w:lang w:val="en-US" w:eastAsia="zh-CN"/>
                    </w:rPr>
                  </w:pPr>
                  <w:r>
                    <w:rPr>
                      <w:rFonts w:hint="eastAsia"/>
                      <w:lang w:val="en-US" w:eastAsia="zh-CN"/>
                    </w:rPr>
                    <w:t>4926</w:t>
                  </w:r>
                </w:p>
              </w:tc>
            </w:tr>
          </w:tbl>
          <w:p w14:paraId="2072272B">
            <w:pPr>
              <w:pStyle w:val="58"/>
              <w:adjustRightInd w:val="0"/>
              <w:snapToGrid w:val="0"/>
              <w:ind w:firstLine="0" w:firstLineChars="0"/>
              <w:jc w:val="left"/>
              <w:rPr>
                <w:u w:val="none"/>
              </w:rPr>
            </w:pPr>
            <w:r>
              <w:rPr>
                <w:rFonts w:hint="eastAsia"/>
                <w:b/>
                <w:bCs/>
                <w:u w:val="none"/>
              </w:rPr>
              <w:t>5.7施工期环境监理</w:t>
            </w:r>
          </w:p>
          <w:p w14:paraId="1ECCD91B">
            <w:pPr>
              <w:pStyle w:val="58"/>
              <w:adjustRightInd w:val="0"/>
              <w:snapToGrid w:val="0"/>
              <w:jc w:val="left"/>
              <w:rPr>
                <w:rFonts w:hAnsi="Times New Roman"/>
                <w:szCs w:val="24"/>
                <w:u w:val="none"/>
              </w:rPr>
            </w:pPr>
            <w:r>
              <w:rPr>
                <w:rFonts w:hAnsi="Times New Roman"/>
                <w:szCs w:val="24"/>
                <w:u w:val="none"/>
              </w:rPr>
              <w:t>为确保本项目的各项环境保护措施落到实处，施工期建设单位必须成立环境管理机构，设专人负责环境管理，必须委托有资质的单位实施环境监理。</w:t>
            </w:r>
          </w:p>
          <w:p w14:paraId="302E16CC">
            <w:pPr>
              <w:adjustRightInd w:val="0"/>
              <w:snapToGrid w:val="0"/>
              <w:spacing w:line="360" w:lineRule="auto"/>
              <w:ind w:firstLine="480" w:firstLineChars="200"/>
              <w:jc w:val="left"/>
              <w:rPr>
                <w:sz w:val="24"/>
                <w:u w:val="none"/>
              </w:rPr>
            </w:pPr>
            <w:r>
              <w:rPr>
                <w:sz w:val="24"/>
                <w:u w:val="none"/>
              </w:rPr>
              <w:t>（1）监理目的</w:t>
            </w:r>
          </w:p>
          <w:p w14:paraId="74827631">
            <w:pPr>
              <w:adjustRightInd w:val="0"/>
              <w:snapToGrid w:val="0"/>
              <w:spacing w:line="360" w:lineRule="auto"/>
              <w:ind w:firstLine="480" w:firstLineChars="200"/>
              <w:jc w:val="left"/>
              <w:rPr>
                <w:sz w:val="24"/>
                <w:u w:val="none"/>
              </w:rPr>
            </w:pPr>
            <w:r>
              <w:rPr>
                <w:sz w:val="24"/>
                <w:u w:val="none"/>
              </w:rPr>
              <w:t>对本项目在设计、施工、试生产（运行）、验收各阶段环境保护设施及配套采取的环境保护措施落实情况进行全过程监督与督促。</w:t>
            </w:r>
          </w:p>
          <w:p w14:paraId="05ACA3C5">
            <w:pPr>
              <w:adjustRightInd w:val="0"/>
              <w:snapToGrid w:val="0"/>
              <w:spacing w:line="360" w:lineRule="auto"/>
              <w:ind w:firstLine="480" w:firstLineChars="200"/>
              <w:jc w:val="left"/>
              <w:rPr>
                <w:sz w:val="24"/>
                <w:u w:val="none"/>
              </w:rPr>
            </w:pPr>
            <w:r>
              <w:rPr>
                <w:sz w:val="24"/>
                <w:u w:val="none"/>
              </w:rPr>
              <w:t>（2）监理模式</w:t>
            </w:r>
          </w:p>
          <w:p w14:paraId="42E06B4F">
            <w:pPr>
              <w:adjustRightInd w:val="0"/>
              <w:snapToGrid w:val="0"/>
              <w:spacing w:line="360" w:lineRule="auto"/>
              <w:ind w:firstLine="480" w:firstLineChars="200"/>
              <w:jc w:val="left"/>
              <w:rPr>
                <w:sz w:val="24"/>
                <w:u w:val="none"/>
              </w:rPr>
            </w:pPr>
            <w:r>
              <w:rPr>
                <w:sz w:val="24"/>
                <w:u w:val="none"/>
              </w:rPr>
              <w:t>本项目环境监理单位受建设单位委托，以驻场、旁站或巡查方式实行本项目的环境监理。</w:t>
            </w:r>
          </w:p>
          <w:p w14:paraId="28C22A9C">
            <w:pPr>
              <w:adjustRightInd w:val="0"/>
              <w:snapToGrid w:val="0"/>
              <w:spacing w:line="360" w:lineRule="auto"/>
              <w:ind w:firstLine="480" w:firstLineChars="200"/>
              <w:jc w:val="left"/>
              <w:rPr>
                <w:sz w:val="24"/>
                <w:u w:val="none"/>
              </w:rPr>
            </w:pPr>
            <w:r>
              <w:rPr>
                <w:sz w:val="24"/>
                <w:u w:val="none"/>
              </w:rPr>
              <w:t>（3）监理内容</w:t>
            </w:r>
          </w:p>
          <w:p w14:paraId="259602A4">
            <w:pPr>
              <w:adjustRightInd w:val="0"/>
              <w:snapToGrid w:val="0"/>
              <w:spacing w:line="360" w:lineRule="auto"/>
              <w:ind w:firstLine="480" w:firstLineChars="200"/>
              <w:jc w:val="left"/>
              <w:rPr>
                <w:sz w:val="24"/>
                <w:u w:val="none"/>
              </w:rPr>
            </w:pPr>
            <w:r>
              <w:rPr>
                <w:sz w:val="24"/>
                <w:u w:val="none"/>
              </w:rPr>
              <w:t>环境监理单位从设计、施工、试生产（运行）到竣工环境保护验收各个环节环境保护设施措施落实情况，开展如下环境监理工作。</w:t>
            </w:r>
          </w:p>
          <w:p w14:paraId="6C014CFC">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GB3 </w:instrText>
            </w:r>
            <w:r>
              <w:rPr>
                <w:sz w:val="24"/>
                <w:u w:val="none"/>
              </w:rPr>
              <w:fldChar w:fldCharType="separate"/>
            </w:r>
            <w:r>
              <w:rPr>
                <w:rFonts w:hint="eastAsia" w:ascii="宋体" w:hAnsi="宋体" w:cs="宋体"/>
                <w:sz w:val="24"/>
                <w:u w:val="none"/>
              </w:rPr>
              <w:t>①</w:t>
            </w:r>
            <w:r>
              <w:rPr>
                <w:sz w:val="24"/>
                <w:u w:val="none"/>
              </w:rPr>
              <w:fldChar w:fldCharType="end"/>
            </w:r>
            <w:r>
              <w:rPr>
                <w:sz w:val="24"/>
                <w:u w:val="none"/>
              </w:rPr>
              <w:t>设计阶段的环境监理</w:t>
            </w:r>
          </w:p>
          <w:p w14:paraId="65BBBB82">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alphabetic </w:instrText>
            </w:r>
            <w:r>
              <w:rPr>
                <w:sz w:val="24"/>
                <w:u w:val="none"/>
              </w:rPr>
              <w:fldChar w:fldCharType="separate"/>
            </w:r>
            <w:r>
              <w:rPr>
                <w:sz w:val="24"/>
                <w:u w:val="none"/>
              </w:rPr>
              <w:t>a</w:t>
            </w:r>
            <w:r>
              <w:rPr>
                <w:sz w:val="24"/>
                <w:u w:val="none"/>
              </w:rPr>
              <w:fldChar w:fldCharType="end"/>
            </w:r>
            <w:r>
              <w:rPr>
                <w:sz w:val="24"/>
                <w:u w:val="none"/>
              </w:rPr>
              <w:t>、环境监理单位依据环境影响评价文件及审批文件对环境保护设施设计文件内容进行全面核对，并出具核对意见，随环境保护设施设计文件一同上报建设项目环境影响评价文件审批机构。上报后的环境保护设施设计文件和核对意见不得擅自变更。因特殊情况确需变更的，须向环境影响评价文件审批机构提出申请，经同意后重新上报。</w:t>
            </w:r>
          </w:p>
          <w:p w14:paraId="1674B7C2">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alphabetic </w:instrText>
            </w:r>
            <w:r>
              <w:rPr>
                <w:sz w:val="24"/>
                <w:u w:val="none"/>
              </w:rPr>
              <w:fldChar w:fldCharType="separate"/>
            </w:r>
            <w:r>
              <w:rPr>
                <w:sz w:val="24"/>
                <w:u w:val="none"/>
              </w:rPr>
              <w:t>b</w:t>
            </w:r>
            <w:r>
              <w:rPr>
                <w:sz w:val="24"/>
                <w:u w:val="none"/>
              </w:rPr>
              <w:fldChar w:fldCharType="end"/>
            </w:r>
            <w:r>
              <w:rPr>
                <w:sz w:val="24"/>
                <w:u w:val="none"/>
              </w:rPr>
              <w:t>、审核施工合同中环境保护条款、施工单位环境管理计划和施工组织设计中的环保措施，核实工程占地和准备工作。</w:t>
            </w:r>
          </w:p>
          <w:p w14:paraId="656BCC26">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3 \* alphabetic </w:instrText>
            </w:r>
            <w:r>
              <w:rPr>
                <w:sz w:val="24"/>
                <w:u w:val="none"/>
              </w:rPr>
              <w:fldChar w:fldCharType="separate"/>
            </w:r>
            <w:r>
              <w:rPr>
                <w:sz w:val="24"/>
                <w:u w:val="none"/>
              </w:rPr>
              <w:t>c</w:t>
            </w:r>
            <w:r>
              <w:rPr>
                <w:sz w:val="24"/>
                <w:u w:val="none"/>
              </w:rPr>
              <w:fldChar w:fldCharType="end"/>
            </w:r>
            <w:r>
              <w:rPr>
                <w:sz w:val="24"/>
                <w:u w:val="none"/>
              </w:rPr>
              <w:t>、督促建设单位本项目环境影响评价文件及其审批文件抄送至当地环境保护行政主管部门。</w:t>
            </w:r>
          </w:p>
          <w:p w14:paraId="1848BFBB">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GB3 </w:instrText>
            </w:r>
            <w:r>
              <w:rPr>
                <w:sz w:val="24"/>
                <w:u w:val="none"/>
              </w:rPr>
              <w:fldChar w:fldCharType="separate"/>
            </w:r>
            <w:r>
              <w:rPr>
                <w:rFonts w:hint="eastAsia" w:ascii="宋体" w:hAnsi="宋体" w:cs="宋体"/>
                <w:sz w:val="24"/>
                <w:u w:val="none"/>
              </w:rPr>
              <w:t>②</w:t>
            </w:r>
            <w:r>
              <w:rPr>
                <w:sz w:val="24"/>
                <w:u w:val="none"/>
              </w:rPr>
              <w:fldChar w:fldCharType="end"/>
            </w:r>
            <w:r>
              <w:rPr>
                <w:sz w:val="24"/>
                <w:u w:val="none"/>
              </w:rPr>
              <w:t>施工阶段的环境监理</w:t>
            </w:r>
          </w:p>
          <w:p w14:paraId="33BF497B">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alphabetic </w:instrText>
            </w:r>
            <w:r>
              <w:rPr>
                <w:sz w:val="24"/>
                <w:u w:val="none"/>
              </w:rPr>
              <w:fldChar w:fldCharType="separate"/>
            </w:r>
            <w:r>
              <w:rPr>
                <w:sz w:val="24"/>
                <w:u w:val="none"/>
              </w:rPr>
              <w:t>a</w:t>
            </w:r>
            <w:r>
              <w:rPr>
                <w:sz w:val="24"/>
                <w:u w:val="none"/>
              </w:rPr>
              <w:fldChar w:fldCharType="end"/>
            </w:r>
            <w:r>
              <w:rPr>
                <w:sz w:val="24"/>
                <w:u w:val="none"/>
              </w:rPr>
              <w:t>、环境监理单位根据本项目类别、规模、技术复杂程度等因素现场派驻项目监理机构或满足专业工作要求的监理人员，建立工程环境监理日志、巡视及旁站记录、环境监理会议纪要、环境监理定期报告和专题报告等环境监理档案，监督和记录环境保护设施建设情况，及时纠正与环境影响评价文件及审批文件不符的问题，并向环境保护行政主管部门报告。</w:t>
            </w:r>
          </w:p>
          <w:p w14:paraId="5912EBF0">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alphabetic </w:instrText>
            </w:r>
            <w:r>
              <w:rPr>
                <w:sz w:val="24"/>
                <w:u w:val="none"/>
              </w:rPr>
              <w:fldChar w:fldCharType="separate"/>
            </w:r>
            <w:r>
              <w:rPr>
                <w:sz w:val="24"/>
                <w:u w:val="none"/>
              </w:rPr>
              <w:t>b</w:t>
            </w:r>
            <w:r>
              <w:rPr>
                <w:sz w:val="24"/>
                <w:u w:val="none"/>
              </w:rPr>
              <w:fldChar w:fldCharType="end"/>
            </w:r>
            <w:r>
              <w:rPr>
                <w:sz w:val="24"/>
                <w:u w:val="none"/>
              </w:rPr>
              <w:t>、环境监理单位督促建设单位在建设项目施工前向当地环境保护行政主管部门报告施工进度安排。</w:t>
            </w:r>
          </w:p>
          <w:p w14:paraId="0D800B3E">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3 \* alphabetic </w:instrText>
            </w:r>
            <w:r>
              <w:rPr>
                <w:sz w:val="24"/>
                <w:u w:val="none"/>
              </w:rPr>
              <w:fldChar w:fldCharType="separate"/>
            </w:r>
            <w:r>
              <w:rPr>
                <w:sz w:val="24"/>
                <w:u w:val="none"/>
              </w:rPr>
              <w:t>c</w:t>
            </w:r>
            <w:r>
              <w:rPr>
                <w:sz w:val="24"/>
                <w:u w:val="none"/>
              </w:rPr>
              <w:fldChar w:fldCharType="end"/>
            </w:r>
            <w:r>
              <w:rPr>
                <w:sz w:val="24"/>
                <w:u w:val="none"/>
              </w:rPr>
              <w:t>、环境监理单位依据环境影响评价文件及审批文件，督查本项目施工过程中各项环境保护措施的落实情况，及时纠正与环境影响评价文件及审批文件不符的问题。</w:t>
            </w:r>
          </w:p>
          <w:p w14:paraId="65F5F182">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3 \* GB3 </w:instrText>
            </w:r>
            <w:r>
              <w:rPr>
                <w:sz w:val="24"/>
                <w:u w:val="none"/>
              </w:rPr>
              <w:fldChar w:fldCharType="separate"/>
            </w:r>
            <w:r>
              <w:rPr>
                <w:rFonts w:hint="eastAsia" w:ascii="宋体" w:hAnsi="宋体" w:cs="宋体"/>
                <w:sz w:val="24"/>
                <w:u w:val="none"/>
              </w:rPr>
              <w:t>③</w:t>
            </w:r>
            <w:r>
              <w:rPr>
                <w:sz w:val="24"/>
                <w:u w:val="none"/>
              </w:rPr>
              <w:fldChar w:fldCharType="end"/>
            </w:r>
            <w:r>
              <w:rPr>
                <w:sz w:val="24"/>
                <w:u w:val="none"/>
              </w:rPr>
              <w:t>竣工环境保护验收阶段的环境监理</w:t>
            </w:r>
          </w:p>
          <w:p w14:paraId="51D4C583">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1 \* alphabetic </w:instrText>
            </w:r>
            <w:r>
              <w:rPr>
                <w:sz w:val="24"/>
                <w:u w:val="none"/>
              </w:rPr>
              <w:fldChar w:fldCharType="separate"/>
            </w:r>
            <w:r>
              <w:rPr>
                <w:sz w:val="24"/>
                <w:u w:val="none"/>
              </w:rPr>
              <w:t>a</w:t>
            </w:r>
            <w:r>
              <w:rPr>
                <w:sz w:val="24"/>
                <w:u w:val="none"/>
              </w:rPr>
              <w:fldChar w:fldCharType="end"/>
            </w:r>
            <w:r>
              <w:rPr>
                <w:sz w:val="24"/>
                <w:u w:val="none"/>
              </w:rPr>
              <w:t>、协助建设单位应具有审批权的环境保护部门申请本项目配套环境保护设施竣工验收。需要延期的，协助建设单位申请延期验收。</w:t>
            </w:r>
          </w:p>
          <w:p w14:paraId="1DA8E46C">
            <w:pPr>
              <w:adjustRightInd w:val="0"/>
              <w:snapToGrid w:val="0"/>
              <w:spacing w:line="360" w:lineRule="auto"/>
              <w:ind w:firstLine="480" w:firstLineChars="200"/>
              <w:jc w:val="left"/>
              <w:rPr>
                <w:sz w:val="24"/>
                <w:u w:val="none"/>
              </w:rPr>
            </w:pPr>
            <w:r>
              <w:rPr>
                <w:sz w:val="24"/>
                <w:u w:val="none"/>
              </w:rPr>
              <w:fldChar w:fldCharType="begin"/>
            </w:r>
            <w:r>
              <w:rPr>
                <w:sz w:val="24"/>
                <w:u w:val="none"/>
              </w:rPr>
              <w:instrText xml:space="preserve"> = 2 \* alphabetic </w:instrText>
            </w:r>
            <w:r>
              <w:rPr>
                <w:sz w:val="24"/>
                <w:u w:val="none"/>
              </w:rPr>
              <w:fldChar w:fldCharType="separate"/>
            </w:r>
            <w:r>
              <w:rPr>
                <w:sz w:val="24"/>
                <w:u w:val="none"/>
              </w:rPr>
              <w:t>b</w:t>
            </w:r>
            <w:r>
              <w:rPr>
                <w:sz w:val="24"/>
                <w:u w:val="none"/>
              </w:rPr>
              <w:fldChar w:fldCharType="end"/>
            </w:r>
            <w:r>
              <w:rPr>
                <w:sz w:val="24"/>
                <w:u w:val="none"/>
              </w:rPr>
              <w:t>、监督试运行至竣工环境保护验收期间建设单位正常运行和维护本项目的环境保护设施。</w:t>
            </w:r>
          </w:p>
          <w:p w14:paraId="1C7A2BC7">
            <w:pPr>
              <w:pStyle w:val="58"/>
              <w:adjustRightInd w:val="0"/>
              <w:snapToGrid w:val="0"/>
              <w:jc w:val="left"/>
              <w:rPr>
                <w:rFonts w:hAnsi="Times New Roman"/>
                <w:szCs w:val="24"/>
                <w:u w:val="none"/>
              </w:rPr>
            </w:pPr>
            <w:r>
              <w:rPr>
                <w:rFonts w:hAnsi="Times New Roman"/>
                <w:szCs w:val="24"/>
                <w:u w:val="none"/>
              </w:rPr>
              <w:fldChar w:fldCharType="begin"/>
            </w:r>
            <w:r>
              <w:rPr>
                <w:rFonts w:hAnsi="Times New Roman"/>
                <w:szCs w:val="24"/>
                <w:u w:val="none"/>
              </w:rPr>
              <w:instrText xml:space="preserve"> = 3 \* alphabetic </w:instrText>
            </w:r>
            <w:r>
              <w:rPr>
                <w:rFonts w:hAnsi="Times New Roman"/>
                <w:szCs w:val="24"/>
                <w:u w:val="none"/>
              </w:rPr>
              <w:fldChar w:fldCharType="separate"/>
            </w:r>
            <w:r>
              <w:rPr>
                <w:rFonts w:hAnsi="Times New Roman"/>
                <w:szCs w:val="24"/>
                <w:u w:val="none"/>
              </w:rPr>
              <w:t>c</w:t>
            </w:r>
            <w:r>
              <w:rPr>
                <w:rFonts w:hAnsi="Times New Roman"/>
                <w:szCs w:val="24"/>
                <w:u w:val="none"/>
              </w:rPr>
              <w:fldChar w:fldCharType="end"/>
            </w:r>
            <w:r>
              <w:rPr>
                <w:rFonts w:hAnsi="Times New Roman"/>
                <w:szCs w:val="24"/>
                <w:u w:val="none"/>
              </w:rPr>
              <w:t>、竣工环境保护验收前向具有审批权的环境保护部门提交本项目环境监理报告。</w:t>
            </w:r>
          </w:p>
          <w:p w14:paraId="4AFF8E5E">
            <w:pPr>
              <w:pStyle w:val="58"/>
              <w:adjustRightInd w:val="0"/>
              <w:snapToGrid w:val="0"/>
              <w:jc w:val="left"/>
              <w:rPr>
                <w:rFonts w:hint="default" w:hAnsi="Times New Roman" w:eastAsia="宋体"/>
                <w:szCs w:val="24"/>
                <w:u w:val="none"/>
                <w:lang w:val="en-US" w:eastAsia="zh-CN"/>
              </w:rPr>
            </w:pPr>
            <w:r>
              <w:rPr>
                <w:rFonts w:hint="eastAsia" w:hAnsi="Times New Roman"/>
                <w:szCs w:val="24"/>
                <w:u w:val="none"/>
                <w:lang w:val="en-US" w:eastAsia="zh-CN"/>
              </w:rPr>
              <w:t>施工期监理的主要要点如下：</w:t>
            </w:r>
          </w:p>
          <w:p w14:paraId="64541881">
            <w:pPr>
              <w:autoSpaceDE w:val="0"/>
              <w:spacing w:line="240" w:lineRule="auto"/>
              <w:ind w:firstLine="0" w:firstLineChars="0"/>
              <w:jc w:val="center"/>
              <w:rPr>
                <w:rFonts w:hAnsi="宋体"/>
                <w:b/>
                <w:color w:val="FF0000"/>
                <w:u w:val="none"/>
              </w:rPr>
            </w:pPr>
            <w:r>
              <w:rPr>
                <w:rFonts w:hint="eastAsia" w:hAnsi="宋体"/>
                <w:b/>
                <w:color w:val="FF0000"/>
                <w:u w:val="none"/>
              </w:rPr>
              <w:t>表</w:t>
            </w:r>
            <w:r>
              <w:rPr>
                <w:rFonts w:hint="eastAsia" w:hAnsi="宋体"/>
                <w:b/>
                <w:color w:val="FF0000"/>
                <w:u w:val="none"/>
                <w:lang w:val="en-US" w:eastAsia="zh-CN"/>
              </w:rPr>
              <w:t>5-2</w:t>
            </w:r>
            <w:r>
              <w:rPr>
                <w:rFonts w:hAnsi="宋体"/>
                <w:b/>
                <w:color w:val="FF0000"/>
                <w:u w:val="none"/>
              </w:rPr>
              <w:t xml:space="preserve">  </w:t>
            </w:r>
            <w:r>
              <w:rPr>
                <w:rFonts w:hint="eastAsia" w:hAnsi="宋体"/>
                <w:b/>
                <w:color w:val="FF0000"/>
                <w:u w:val="none"/>
              </w:rPr>
              <w:t>施工期环境监理一览表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7055"/>
            </w:tblGrid>
            <w:tr w14:paraId="6BBCEA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35" w:type="dxa"/>
                  <w:tcBorders>
                    <w:tl2br w:val="nil"/>
                    <w:tr2bl w:val="nil"/>
                  </w:tcBorders>
                  <w:vAlign w:val="center"/>
                </w:tcPr>
                <w:p w14:paraId="38912526">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项目</w:t>
                  </w:r>
                </w:p>
              </w:tc>
              <w:tc>
                <w:tcPr>
                  <w:tcW w:w="7055" w:type="dxa"/>
                  <w:tcBorders>
                    <w:tl2br w:val="nil"/>
                    <w:tr2bl w:val="nil"/>
                  </w:tcBorders>
                  <w:vAlign w:val="center"/>
                </w:tcPr>
                <w:p w14:paraId="105FE42A">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环境监理要点</w:t>
                  </w:r>
                </w:p>
              </w:tc>
            </w:tr>
            <w:tr w14:paraId="1D716A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4419E67C">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施工活动生态保护</w:t>
                  </w:r>
                </w:p>
              </w:tc>
              <w:tc>
                <w:tcPr>
                  <w:tcW w:w="7055" w:type="dxa"/>
                  <w:tcBorders>
                    <w:tl2br w:val="nil"/>
                    <w:tr2bl w:val="nil"/>
                  </w:tcBorders>
                  <w:vAlign w:val="center"/>
                </w:tcPr>
                <w:p w14:paraId="4731F747">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（1）施工方式的合理性、要求采取符合环保要求和生态景观保护的施工工艺和施工方法。</w:t>
                  </w:r>
                </w:p>
                <w:p w14:paraId="661364DB">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（2）控制施工作业区面积，限制施工活动扰动范围区域，禁止施工人员随意到非施工区域。</w:t>
                  </w:r>
                </w:p>
                <w:p w14:paraId="3BD22CE4">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（3）施工车辆必须沿规定运输路线行驶，不得随意越界行驶。</w:t>
                  </w:r>
                </w:p>
                <w:p w14:paraId="5E15DBC5">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（4）施工开挖表土和弃渣应就近集中分开堆存，以利于回填。</w:t>
                  </w:r>
                </w:p>
                <w:p w14:paraId="2877CCC6">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（5）场内道路、施工生产设施、弃渣场等区域水土保持工程防护措施须落实。</w:t>
                  </w:r>
                </w:p>
              </w:tc>
            </w:tr>
            <w:tr w14:paraId="5CAA6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2908CBB8">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施工后期生态恢复</w:t>
                  </w:r>
                </w:p>
              </w:tc>
              <w:tc>
                <w:tcPr>
                  <w:tcW w:w="7055" w:type="dxa"/>
                  <w:tcBorders>
                    <w:tl2br w:val="nil"/>
                    <w:tr2bl w:val="nil"/>
                  </w:tcBorders>
                  <w:vAlign w:val="center"/>
                </w:tcPr>
                <w:p w14:paraId="3EF64814">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（1）场内道路区：要求清理公路沿线渣料，对沿线裸露区域覆土恢复植被。</w:t>
                  </w:r>
                </w:p>
                <w:p w14:paraId="5938A6B9">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（2）施工营地：要求施工结束后清理场地，再覆土恢复植被。</w:t>
                  </w:r>
                </w:p>
                <w:p w14:paraId="4F262F7A">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（3）主体工程区：风机基础区覆土植草，电缆沟沿线整地恢复植被。</w:t>
                  </w:r>
                </w:p>
              </w:tc>
            </w:tr>
            <w:tr w14:paraId="2A0A7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194D3FB2">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废水</w:t>
                  </w:r>
                </w:p>
              </w:tc>
              <w:tc>
                <w:tcPr>
                  <w:tcW w:w="7055" w:type="dxa"/>
                  <w:tcBorders>
                    <w:tl2br w:val="nil"/>
                    <w:tr2bl w:val="nil"/>
                  </w:tcBorders>
                  <w:vAlign w:val="center"/>
                </w:tcPr>
                <w:p w14:paraId="55D34A5B">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（1）施工废水通过沉砂池进行澄清处理后回用于洒水抑尘；</w:t>
                  </w:r>
                </w:p>
                <w:p w14:paraId="231EC978">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（2）施工生活污水通经化粪池处理后用于林地浇灌；</w:t>
                  </w:r>
                </w:p>
              </w:tc>
            </w:tr>
            <w:tr w14:paraId="7719F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1843BE45">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固废</w:t>
                  </w:r>
                </w:p>
              </w:tc>
              <w:tc>
                <w:tcPr>
                  <w:tcW w:w="7055" w:type="dxa"/>
                  <w:tcBorders>
                    <w:tl2br w:val="nil"/>
                    <w:tr2bl w:val="nil"/>
                  </w:tcBorders>
                  <w:vAlign w:val="center"/>
                </w:tcPr>
                <w:p w14:paraId="2053814C">
                  <w:pPr>
                    <w:adjustRightInd w:val="0"/>
                    <w:snapToGrid w:val="0"/>
                    <w:spacing w:line="240" w:lineRule="auto"/>
                    <w:ind w:firstLine="0" w:firstLineChars="0"/>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（1）设置</w:t>
                  </w:r>
                  <w:r>
                    <w:rPr>
                      <w:rFonts w:hint="eastAsia" w:ascii="Times New Roman" w:hAnsi="Times New Roman" w:cs="Times New Roman"/>
                      <w:color w:val="000000" w:themeColor="text1"/>
                      <w:kern w:val="0"/>
                      <w:sz w:val="21"/>
                      <w:szCs w:val="21"/>
                      <w:u w:val="none"/>
                      <w:lang w:val="en-US" w:eastAsia="zh-CN"/>
                      <w14:textFill>
                        <w14:solidFill>
                          <w14:schemeClr w14:val="tx1"/>
                        </w14:solidFill>
                      </w14:textFill>
                    </w:rPr>
                    <w:t>12</w:t>
                  </w:r>
                  <w:r>
                    <w:rPr>
                      <w:rFonts w:hint="default" w:ascii="Times New Roman" w:hAnsi="Times New Roman" w:cs="Times New Roman"/>
                      <w:color w:val="000000" w:themeColor="text1"/>
                      <w:kern w:val="0"/>
                      <w:sz w:val="21"/>
                      <w:szCs w:val="21"/>
                      <w:u w:val="none"/>
                      <w14:textFill>
                        <w14:solidFill>
                          <w14:schemeClr w14:val="tx1"/>
                        </w14:solidFill>
                      </w14:textFill>
                    </w:rPr>
                    <w:t>处弃渣场集中处理弃渣、不得随意堆弃；</w:t>
                  </w:r>
                </w:p>
                <w:p w14:paraId="60C38D9D">
                  <w:pPr>
                    <w:adjustRightInd w:val="0"/>
                    <w:snapToGrid w:val="0"/>
                    <w:spacing w:line="240" w:lineRule="auto"/>
                    <w:ind w:firstLine="0" w:firstLineChars="0"/>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（2）表土就近设置临时堆土场，上覆土工布，或弃渣场设置临时表土贮存区，施工结束后表土用于植被恢复；</w:t>
                  </w:r>
                </w:p>
                <w:p w14:paraId="45703077">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（3）生活垃圾采用垃圾桶收集后定期清交由环卫部门处理。</w:t>
                  </w:r>
                </w:p>
              </w:tc>
            </w:tr>
            <w:tr w14:paraId="75403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5EBB3627">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噪声</w:t>
                  </w:r>
                </w:p>
              </w:tc>
              <w:tc>
                <w:tcPr>
                  <w:tcW w:w="7055" w:type="dxa"/>
                  <w:tcBorders>
                    <w:tl2br w:val="nil"/>
                    <w:tr2bl w:val="nil"/>
                  </w:tcBorders>
                  <w:vAlign w:val="center"/>
                </w:tcPr>
                <w:p w14:paraId="49B1F527">
                  <w:pPr>
                    <w:adjustRightInd w:val="0"/>
                    <w:snapToGrid w:val="0"/>
                    <w:spacing w:line="240" w:lineRule="auto"/>
                    <w:ind w:firstLine="0" w:firstLineChars="0"/>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（1）高噪声设备远离场界布置，合理安排施工作业时间；</w:t>
                  </w:r>
                </w:p>
                <w:p w14:paraId="4C86F781">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（2）在道路沿线居民点处设置减速墩和禁鸣标志，对距离较近的</w:t>
                  </w:r>
                  <w:r>
                    <w:rPr>
                      <w:rFonts w:hint="eastAsia" w:ascii="Times New Roman" w:hAnsi="Times New Roman" w:cs="Times New Roman"/>
                      <w:color w:val="000000" w:themeColor="text1"/>
                      <w:kern w:val="0"/>
                      <w:sz w:val="21"/>
                      <w:szCs w:val="21"/>
                      <w:u w:val="none"/>
                      <w:lang w:eastAsia="zh-CN"/>
                      <w14:textFill>
                        <w14:solidFill>
                          <w14:schemeClr w14:val="tx1"/>
                        </w14:solidFill>
                      </w14:textFill>
                    </w:rPr>
                    <w:t>石门山</w:t>
                  </w:r>
                  <w:r>
                    <w:rPr>
                      <w:rFonts w:hint="default" w:ascii="Times New Roman" w:hAnsi="Times New Roman" w:cs="Times New Roman"/>
                      <w:color w:val="000000" w:themeColor="text1"/>
                      <w:kern w:val="0"/>
                      <w:sz w:val="21"/>
                      <w:szCs w:val="21"/>
                      <w:u w:val="none"/>
                      <w14:textFill>
                        <w14:solidFill>
                          <w14:schemeClr w14:val="tx1"/>
                        </w14:solidFill>
                      </w14:textFill>
                    </w:rPr>
                    <w:t>村进行监测。</w:t>
                  </w:r>
                </w:p>
              </w:tc>
            </w:tr>
            <w:tr w14:paraId="6C557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41B7F210">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废气</w:t>
                  </w:r>
                </w:p>
              </w:tc>
              <w:tc>
                <w:tcPr>
                  <w:tcW w:w="7055" w:type="dxa"/>
                  <w:tcBorders>
                    <w:tl2br w:val="nil"/>
                    <w:tr2bl w:val="nil"/>
                  </w:tcBorders>
                  <w:vAlign w:val="center"/>
                </w:tcPr>
                <w:p w14:paraId="0495C6C4">
                  <w:pPr>
                    <w:autoSpaceDE w:val="0"/>
                    <w:autoSpaceDN w:val="0"/>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（1）施工营地的施工场地采取洒水抑尘和堆场临时遮盖等措施；对施工机械定期进行检修保养。</w:t>
                  </w:r>
                </w:p>
                <w:p w14:paraId="37CF160B">
                  <w:pPr>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（2）居民点附近加强洒水降尘。</w:t>
                  </w:r>
                </w:p>
              </w:tc>
            </w:tr>
            <w:tr w14:paraId="177C2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5" w:type="dxa"/>
                  <w:tcBorders>
                    <w:tl2br w:val="nil"/>
                    <w:tr2bl w:val="nil"/>
                  </w:tcBorders>
                  <w:vAlign w:val="center"/>
                </w:tcPr>
                <w:p w14:paraId="6A9996FD">
                  <w:pPr>
                    <w:adjustRightInd w:val="0"/>
                    <w:snapToGrid w:val="0"/>
                    <w:spacing w:line="240" w:lineRule="auto"/>
                    <w:ind w:firstLine="0" w:firstLineChars="0"/>
                    <w:jc w:val="center"/>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环境风险</w:t>
                  </w:r>
                </w:p>
              </w:tc>
              <w:tc>
                <w:tcPr>
                  <w:tcW w:w="7055" w:type="dxa"/>
                  <w:tcBorders>
                    <w:tl2br w:val="nil"/>
                    <w:tr2bl w:val="nil"/>
                  </w:tcBorders>
                  <w:vAlign w:val="center"/>
                </w:tcPr>
                <w:p w14:paraId="318363F4">
                  <w:pPr>
                    <w:autoSpaceDE w:val="0"/>
                    <w:autoSpaceDN w:val="0"/>
                    <w:adjustRightInd w:val="0"/>
                    <w:snapToGrid w:val="0"/>
                    <w:spacing w:line="240" w:lineRule="auto"/>
                    <w:ind w:firstLine="0" w:firstLineChars="0"/>
                    <w:jc w:val="left"/>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（1）加强防火宣传，提高施工人员的防火意识。</w:t>
                  </w:r>
                </w:p>
                <w:p w14:paraId="526D8788">
                  <w:pPr>
                    <w:autoSpaceDE w:val="0"/>
                    <w:autoSpaceDN w:val="0"/>
                    <w:adjustRightInd w:val="0"/>
                    <w:snapToGrid w:val="0"/>
                    <w:spacing w:line="240" w:lineRule="auto"/>
                    <w:ind w:firstLine="0" w:firstLineChars="0"/>
                    <w:jc w:val="left"/>
                    <w:rPr>
                      <w:rFonts w:hint="default" w:ascii="Times New Roman" w:hAnsi="Times New Roman" w:cs="Times New Roman"/>
                      <w:color w:val="000000" w:themeColor="text1"/>
                      <w:kern w:val="0"/>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（2）加强组织领导，建立健全防火组织机构。</w:t>
                  </w:r>
                </w:p>
                <w:p w14:paraId="5AE6B310">
                  <w:pPr>
                    <w:autoSpaceDE w:val="0"/>
                    <w:autoSpaceDN w:val="0"/>
                    <w:adjustRightInd w:val="0"/>
                    <w:snapToGrid w:val="0"/>
                    <w:spacing w:line="240" w:lineRule="auto"/>
                    <w:ind w:firstLine="0" w:firstLineChars="0"/>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kern w:val="0"/>
                      <w:sz w:val="21"/>
                      <w:szCs w:val="21"/>
                      <w:u w:val="none"/>
                      <w14:textFill>
                        <w14:solidFill>
                          <w14:schemeClr w14:val="tx1"/>
                        </w14:solidFill>
                      </w14:textFill>
                    </w:rPr>
                    <w:t>（3）设置防火隔离带，构建防火通信网络，配备相应数量的灭火器材。</w:t>
                  </w:r>
                </w:p>
              </w:tc>
            </w:tr>
          </w:tbl>
          <w:p w14:paraId="305C3E92">
            <w:pPr>
              <w:pStyle w:val="58"/>
              <w:adjustRightInd w:val="0"/>
              <w:snapToGrid w:val="0"/>
              <w:ind w:left="0" w:leftChars="0" w:firstLine="0" w:firstLineChars="0"/>
              <w:jc w:val="left"/>
              <w:rPr>
                <w:rFonts w:hAnsi="Times New Roman"/>
                <w:szCs w:val="24"/>
                <w:u w:val="none"/>
              </w:rPr>
            </w:pPr>
          </w:p>
        </w:tc>
      </w:tr>
      <w:tr w14:paraId="48749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0" w:hRule="atLeast"/>
        </w:trPr>
        <w:tc>
          <w:tcPr>
            <w:tcW w:w="942" w:type="dxa"/>
            <w:vAlign w:val="center"/>
          </w:tcPr>
          <w:p w14:paraId="330C4520">
            <w:pPr>
              <w:jc w:val="center"/>
              <w:rPr>
                <w:b/>
                <w:bCs/>
                <w:sz w:val="24"/>
              </w:rPr>
            </w:pPr>
            <w:r>
              <w:rPr>
                <w:rFonts w:hint="eastAsia"/>
                <w:b/>
                <w:bCs/>
                <w:sz w:val="24"/>
              </w:rPr>
              <w:t>运营期生态环境保护措施</w:t>
            </w:r>
          </w:p>
        </w:tc>
        <w:tc>
          <w:tcPr>
            <w:tcW w:w="8346" w:type="dxa"/>
          </w:tcPr>
          <w:p w14:paraId="012961F0">
            <w:pPr>
              <w:adjustRightInd w:val="0"/>
              <w:snapToGrid w:val="0"/>
              <w:spacing w:line="360" w:lineRule="auto"/>
              <w:outlineLvl w:val="1"/>
              <w:rPr>
                <w:b/>
                <w:bCs/>
                <w:sz w:val="24"/>
              </w:rPr>
            </w:pPr>
            <w:r>
              <w:rPr>
                <w:rFonts w:hint="eastAsia"/>
                <w:b/>
                <w:bCs/>
                <w:sz w:val="24"/>
              </w:rPr>
              <w:t>5.</w:t>
            </w:r>
            <w:r>
              <w:rPr>
                <w:b/>
                <w:bCs/>
                <w:sz w:val="24"/>
              </w:rPr>
              <w:t>8</w:t>
            </w:r>
            <w:r>
              <w:rPr>
                <w:rFonts w:hint="eastAsia"/>
                <w:b/>
                <w:bCs/>
                <w:sz w:val="24"/>
              </w:rPr>
              <w:t>运营期生态环境污染控制措施</w:t>
            </w:r>
          </w:p>
          <w:p w14:paraId="7A42119E">
            <w:pPr>
              <w:pStyle w:val="62"/>
              <w:ind w:firstLine="480"/>
              <w:jc w:val="left"/>
              <w:rPr>
                <w:rFonts w:hAnsi="宋体" w:cs="Times New Roman"/>
              </w:rPr>
            </w:pPr>
            <w:r>
              <w:rPr>
                <w:rFonts w:hAnsi="宋体" w:cs="Times New Roman"/>
              </w:rPr>
              <w:t>（1）生态恢复措施</w:t>
            </w:r>
          </w:p>
          <w:p w14:paraId="5D872573">
            <w:pPr>
              <w:pStyle w:val="62"/>
              <w:ind w:firstLine="480"/>
              <w:jc w:val="left"/>
              <w:rPr>
                <w:rFonts w:hAnsi="宋体" w:cs="Times New Roman"/>
              </w:rPr>
            </w:pPr>
            <w:r>
              <w:rPr>
                <w:rFonts w:hAnsi="宋体" w:cs="Times New Roman"/>
              </w:rPr>
              <w:fldChar w:fldCharType="begin"/>
            </w:r>
            <w:r>
              <w:rPr>
                <w:rFonts w:hAnsi="宋体" w:cs="Times New Roman"/>
              </w:rPr>
              <w:instrText xml:space="preserve"> </w:instrText>
            </w:r>
            <w:r>
              <w:rPr>
                <w:rFonts w:hint="eastAsia" w:hAnsi="宋体" w:cs="Times New Roman"/>
              </w:rPr>
              <w:instrText xml:space="preserve">= 1 \* GB3</w:instrText>
            </w:r>
            <w:r>
              <w:rPr>
                <w:rFonts w:hAnsi="宋体" w:cs="Times New Roman"/>
              </w:rPr>
              <w:instrText xml:space="preserve"> </w:instrText>
            </w:r>
            <w:r>
              <w:rPr>
                <w:rFonts w:hAnsi="宋体" w:cs="Times New Roman"/>
              </w:rPr>
              <w:fldChar w:fldCharType="separate"/>
            </w:r>
            <w:r>
              <w:rPr>
                <w:rFonts w:hint="eastAsia" w:hAnsi="宋体" w:cs="Times New Roman"/>
              </w:rPr>
              <w:t>①</w:t>
            </w:r>
            <w:r>
              <w:rPr>
                <w:rFonts w:hAnsi="宋体" w:cs="Times New Roman"/>
              </w:rPr>
              <w:fldChar w:fldCharType="end"/>
            </w:r>
            <w:r>
              <w:rPr>
                <w:rFonts w:hint="eastAsia" w:hAnsi="宋体" w:cs="Times New Roman"/>
              </w:rPr>
              <w:t>施工后植被恢复</w:t>
            </w:r>
          </w:p>
          <w:p w14:paraId="1A0F9B84">
            <w:pPr>
              <w:pStyle w:val="62"/>
              <w:ind w:firstLine="480"/>
              <w:jc w:val="left"/>
              <w:rPr>
                <w:rFonts w:hAnsi="宋体" w:cs="Times New Roman"/>
              </w:rPr>
            </w:pPr>
            <w:r>
              <w:rPr>
                <w:rFonts w:hAnsi="宋体" w:cs="Times New Roman"/>
              </w:rPr>
              <w:t>工程完工后尽快做好生态环境的恢复工作，以尽量减少生境破坏对动物的不利影响。每个风机和集电线路施工完成后，在临时占地及其附近合理绿化，种植本地土著的灌木为主，尽快恢复动物生境。</w:t>
            </w:r>
            <w:r>
              <w:rPr>
                <w:rFonts w:hint="eastAsia" w:hAnsi="宋体" w:cs="Times New Roman"/>
              </w:rPr>
              <w:t>尽</w:t>
            </w:r>
            <w:r>
              <w:rPr>
                <w:rFonts w:hAnsi="宋体" w:cs="Times New Roman"/>
              </w:rPr>
              <w:t>可能即时恢复自然植被、掩盖施工痕迹，保护生态环境，使之与自然环境和风景相协调。在植被恢复措施中</w:t>
            </w:r>
            <w:r>
              <w:rPr>
                <w:rFonts w:hint="eastAsia" w:hAnsi="宋体" w:cs="Times New Roman"/>
              </w:rPr>
              <w:t>，</w:t>
            </w:r>
            <w:r>
              <w:rPr>
                <w:rFonts w:hAnsi="宋体" w:cs="Times New Roman"/>
              </w:rPr>
              <w:t>同时应关注主要植草、乔灌木的比例，尽量使其比重协调，避免区域内某一物种的锐减或锐增</w:t>
            </w:r>
            <w:r>
              <w:rPr>
                <w:rFonts w:hint="eastAsia" w:hAnsi="宋体" w:cs="Times New Roman"/>
              </w:rPr>
              <w:t>，</w:t>
            </w:r>
            <w:r>
              <w:rPr>
                <w:rFonts w:hAnsi="宋体" w:cs="Times New Roman"/>
              </w:rPr>
              <w:t>减少对生态稳定性的影响。建议选择当地容易恢复的优势植物种类进行植被恢复</w:t>
            </w:r>
            <w:r>
              <w:rPr>
                <w:rFonts w:hint="eastAsia" w:hAnsi="宋体" w:cs="Times New Roman"/>
              </w:rPr>
              <w:t>。</w:t>
            </w:r>
          </w:p>
          <w:p w14:paraId="1F166481">
            <w:pPr>
              <w:pStyle w:val="62"/>
              <w:ind w:firstLine="480"/>
              <w:jc w:val="left"/>
              <w:rPr>
                <w:rFonts w:hAnsi="宋体" w:cs="Times New Roman"/>
                <w:szCs w:val="24"/>
              </w:rPr>
            </w:pPr>
            <w:r>
              <w:rPr>
                <w:rFonts w:hAnsi="宋体" w:cs="Times New Roman"/>
                <w:szCs w:val="24"/>
              </w:rPr>
              <w:fldChar w:fldCharType="begin"/>
            </w:r>
            <w:r>
              <w:rPr>
                <w:rFonts w:hAnsi="宋体" w:cs="Times New Roman"/>
                <w:szCs w:val="24"/>
              </w:rPr>
              <w:instrText xml:space="preserve"> </w:instrText>
            </w:r>
            <w:r>
              <w:rPr>
                <w:rFonts w:hint="eastAsia" w:hAnsi="宋体" w:cs="Times New Roman"/>
                <w:szCs w:val="24"/>
              </w:rPr>
              <w:instrText xml:space="preserve">= 2 \* GB3</w:instrText>
            </w:r>
            <w:r>
              <w:rPr>
                <w:rFonts w:hAnsi="宋体" w:cs="Times New Roman"/>
                <w:szCs w:val="24"/>
              </w:rPr>
              <w:instrText xml:space="preserve"> </w:instrText>
            </w:r>
            <w:r>
              <w:rPr>
                <w:rFonts w:hAnsi="宋体" w:cs="Times New Roman"/>
                <w:szCs w:val="24"/>
              </w:rPr>
              <w:fldChar w:fldCharType="separate"/>
            </w:r>
            <w:r>
              <w:rPr>
                <w:rFonts w:hint="eastAsia" w:hAnsi="宋体" w:cs="Times New Roman"/>
                <w:szCs w:val="24"/>
              </w:rPr>
              <w:t>②</w:t>
            </w:r>
            <w:r>
              <w:rPr>
                <w:rFonts w:hAnsi="宋体" w:cs="Times New Roman"/>
                <w:szCs w:val="24"/>
              </w:rPr>
              <w:fldChar w:fldCharType="end"/>
            </w:r>
            <w:r>
              <w:rPr>
                <w:rFonts w:hint="eastAsia" w:hAnsi="宋体" w:cs="Times New Roman"/>
                <w:szCs w:val="24"/>
              </w:rPr>
              <w:t>运营期持续维护</w:t>
            </w:r>
          </w:p>
          <w:p w14:paraId="40D5BC84">
            <w:pPr>
              <w:pStyle w:val="62"/>
              <w:ind w:firstLine="480"/>
              <w:jc w:val="left"/>
              <w:rPr>
                <w:rFonts w:hAnsi="宋体" w:cs="Times New Roman"/>
                <w:szCs w:val="24"/>
              </w:rPr>
            </w:pPr>
            <w:r>
              <w:rPr>
                <w:rFonts w:hint="eastAsia" w:hAnsi="宋体" w:cs="Times New Roman"/>
                <w:szCs w:val="24"/>
              </w:rPr>
              <w:t>运营期应关注恢复植被的成活率及生物量补偿效果，及时对植物生长量不足的区域进行分析，补充营养或补种植物。</w:t>
            </w:r>
          </w:p>
          <w:p w14:paraId="21E9B77E">
            <w:pPr>
              <w:pStyle w:val="62"/>
              <w:ind w:firstLine="480"/>
              <w:jc w:val="left"/>
              <w:rPr>
                <w:rFonts w:hAnsi="宋体" w:cs="Times New Roman"/>
              </w:rPr>
            </w:pPr>
            <w:r>
              <w:rPr>
                <w:rFonts w:hAnsi="宋体" w:cs="Times New Roman"/>
              </w:rPr>
              <w:t>（2）</w:t>
            </w:r>
            <w:r>
              <w:rPr>
                <w:rFonts w:hint="eastAsia" w:hAnsi="宋体" w:cs="Times New Roman"/>
              </w:rPr>
              <w:t>运营期管理措施</w:t>
            </w:r>
          </w:p>
          <w:p w14:paraId="25515209">
            <w:pPr>
              <w:pStyle w:val="62"/>
              <w:ind w:firstLine="480"/>
              <w:jc w:val="left"/>
              <w:rPr>
                <w:rFonts w:hAnsi="宋体" w:cs="Times New Roman"/>
              </w:rPr>
            </w:pPr>
            <w:r>
              <w:rPr>
                <w:rFonts w:hint="eastAsia" w:hAnsi="宋体" w:cs="Times New Roman"/>
              </w:rPr>
              <w:t>运营期应对运营人员进行教育后上岗，普及国家及地方野生动植物保护法律法规，制定风电场内部管理制度，约束运营人员行为，杜绝出现私自砍伐树木、破坏植被林地或猎杀野生动植物的现象。同时，风电场内维修产生的维修废物应集中收集处理，禁止随意扔弃至外环境中。</w:t>
            </w:r>
          </w:p>
          <w:p w14:paraId="7AD2199A">
            <w:pPr>
              <w:adjustRightInd w:val="0"/>
              <w:snapToGrid w:val="0"/>
              <w:spacing w:line="360" w:lineRule="auto"/>
              <w:outlineLvl w:val="1"/>
              <w:rPr>
                <w:b/>
                <w:bCs/>
                <w:sz w:val="24"/>
              </w:rPr>
            </w:pPr>
            <w:r>
              <w:rPr>
                <w:rFonts w:hint="eastAsia"/>
                <w:b/>
                <w:bCs/>
                <w:sz w:val="24"/>
              </w:rPr>
              <w:t>5.</w:t>
            </w:r>
            <w:r>
              <w:rPr>
                <w:b/>
                <w:bCs/>
                <w:sz w:val="24"/>
              </w:rPr>
              <w:t>9</w:t>
            </w:r>
            <w:r>
              <w:rPr>
                <w:rFonts w:hint="eastAsia"/>
                <w:b/>
                <w:bCs/>
                <w:sz w:val="24"/>
              </w:rPr>
              <w:t>运营期环境空气污染防治措施</w:t>
            </w:r>
          </w:p>
          <w:p w14:paraId="6037D21E">
            <w:pPr>
              <w:pStyle w:val="62"/>
              <w:ind w:firstLine="480"/>
              <w:rPr>
                <w:rFonts w:hAnsi="宋体" w:cs="Times New Roman"/>
              </w:rPr>
            </w:pPr>
            <w:r>
              <w:rPr>
                <w:rFonts w:hAnsi="宋体" w:cs="Times New Roman"/>
              </w:rPr>
              <w:t>本项目运营期职工日常生活所需能源均采用电能，产生的大气污染物主要为食堂烹饪过程中产生的油烟，油烟经油烟净化器处理后引</w:t>
            </w:r>
            <w:r>
              <w:rPr>
                <w:rFonts w:hint="eastAsia" w:hAnsi="宋体" w:cs="Times New Roman"/>
                <w:lang w:val="en-US" w:eastAsia="zh-CN"/>
              </w:rPr>
              <w:t>至</w:t>
            </w:r>
            <w:r>
              <w:rPr>
                <w:rFonts w:hAnsi="宋体" w:cs="Times New Roman"/>
              </w:rPr>
              <w:t>屋顶达标排放</w:t>
            </w:r>
            <w:r>
              <w:rPr>
                <w:rFonts w:hint="eastAsia" w:hAnsi="宋体" w:cs="Times New Roman"/>
              </w:rPr>
              <w:t>。</w:t>
            </w:r>
          </w:p>
          <w:p w14:paraId="3F74E01B">
            <w:pPr>
              <w:adjustRightInd w:val="0"/>
              <w:snapToGrid w:val="0"/>
              <w:spacing w:line="360" w:lineRule="auto"/>
              <w:outlineLvl w:val="1"/>
              <w:rPr>
                <w:b/>
                <w:bCs/>
                <w:sz w:val="24"/>
              </w:rPr>
            </w:pPr>
            <w:r>
              <w:rPr>
                <w:rFonts w:hint="eastAsia"/>
                <w:b/>
                <w:bCs/>
                <w:sz w:val="24"/>
              </w:rPr>
              <w:t>5.</w:t>
            </w:r>
            <w:r>
              <w:rPr>
                <w:b/>
                <w:bCs/>
                <w:sz w:val="24"/>
              </w:rPr>
              <w:t>10</w:t>
            </w:r>
            <w:r>
              <w:rPr>
                <w:rFonts w:hint="eastAsia"/>
                <w:b/>
                <w:bCs/>
                <w:sz w:val="24"/>
              </w:rPr>
              <w:t>运营期水污染防治措施</w:t>
            </w:r>
          </w:p>
          <w:p w14:paraId="2BD6E034">
            <w:pPr>
              <w:pStyle w:val="62"/>
              <w:ind w:firstLine="480"/>
              <w:rPr>
                <w:rFonts w:hAnsi="宋体" w:cs="Times New Roman"/>
              </w:rPr>
            </w:pPr>
            <w:r>
              <w:rPr>
                <w:rFonts w:hAnsi="宋体" w:cs="Times New Roman"/>
              </w:rPr>
              <w:t>营运期</w:t>
            </w:r>
            <w:r>
              <w:rPr>
                <w:rFonts w:hint="eastAsia" w:hAnsi="宋体" w:cs="Times New Roman"/>
              </w:rPr>
              <w:t>废水</w:t>
            </w:r>
            <w:r>
              <w:rPr>
                <w:rFonts w:hAnsi="宋体" w:cs="Times New Roman"/>
              </w:rPr>
              <w:t>主要为升压站产生的少量生活污水。升压站配套建设</w:t>
            </w:r>
            <w:r>
              <w:rPr>
                <w:rFonts w:hint="eastAsia" w:hAnsi="宋体" w:cs="Times New Roman"/>
              </w:rPr>
              <w:t>1套</w:t>
            </w:r>
            <w:r>
              <w:rPr>
                <w:rFonts w:hAnsi="宋体" w:cs="Times New Roman"/>
              </w:rPr>
              <w:t>一体化污水处理系统，经处理达标后作为绿化用水，不外排。</w:t>
            </w:r>
          </w:p>
          <w:p w14:paraId="2C3EF9BF">
            <w:pPr>
              <w:adjustRightInd w:val="0"/>
              <w:snapToGrid w:val="0"/>
              <w:spacing w:line="360" w:lineRule="auto"/>
              <w:outlineLvl w:val="1"/>
              <w:rPr>
                <w:b/>
                <w:bCs/>
                <w:sz w:val="24"/>
              </w:rPr>
            </w:pPr>
            <w:r>
              <w:rPr>
                <w:rFonts w:hint="eastAsia"/>
                <w:b/>
                <w:bCs/>
                <w:sz w:val="24"/>
              </w:rPr>
              <w:t>5.1</w:t>
            </w:r>
            <w:r>
              <w:rPr>
                <w:b/>
                <w:bCs/>
                <w:sz w:val="24"/>
              </w:rPr>
              <w:t>1</w:t>
            </w:r>
            <w:r>
              <w:rPr>
                <w:rFonts w:hint="eastAsia"/>
                <w:b/>
                <w:bCs/>
                <w:sz w:val="24"/>
              </w:rPr>
              <w:t>运营期噪声污染控制措施</w:t>
            </w:r>
          </w:p>
          <w:p w14:paraId="558634B6">
            <w:pPr>
              <w:autoSpaceDE w:val="0"/>
              <w:spacing w:line="360" w:lineRule="auto"/>
              <w:ind w:firstLine="480" w:firstLineChars="200"/>
              <w:rPr>
                <w:rFonts w:hAnsi="宋体"/>
                <w:sz w:val="24"/>
              </w:rPr>
            </w:pPr>
            <w:r>
              <w:rPr>
                <w:rFonts w:hAnsi="宋体"/>
                <w:sz w:val="24"/>
              </w:rPr>
              <w:t>（1）正常风机噪声控制措施</w:t>
            </w:r>
          </w:p>
          <w:p w14:paraId="2EABC16A">
            <w:pPr>
              <w:autoSpaceDE w:val="0"/>
              <w:spacing w:line="360" w:lineRule="auto"/>
              <w:ind w:firstLine="480" w:firstLineChars="200"/>
              <w:rPr>
                <w:rFonts w:hAnsi="宋体"/>
                <w:sz w:val="24"/>
              </w:rPr>
            </w:pPr>
            <w:r>
              <w:rPr>
                <w:rFonts w:hAnsi="宋体"/>
                <w:sz w:val="24"/>
              </w:rPr>
              <w:t>风电场运营期，风力发电机组在运转过程中产生的噪声来自于风轮叶片旋转时产生的空气动力噪声和齿轮箱和发电机等部件发出的机械噪声，其中以机组内部的机械噪声为主。为保障风电机组运行对周围环境不产生影响，在机组招标设计时，选择低噪声机组，在风电机组控制系统中设置降噪管理系统，通过改变风轮转速和变桨系统来调整运行状态，进而降低噪声源强；运营期加强对风机的维护，使其处于良好的运行状态，避免风电机组运行对工作人员以及周边环境产生干扰。</w:t>
            </w:r>
          </w:p>
          <w:p w14:paraId="33769E75">
            <w:pPr>
              <w:autoSpaceDE w:val="0"/>
              <w:spacing w:line="360" w:lineRule="auto"/>
              <w:ind w:firstLine="480" w:firstLineChars="200"/>
              <w:rPr>
                <w:rFonts w:hAnsi="宋体"/>
                <w:sz w:val="24"/>
              </w:rPr>
            </w:pPr>
            <w:r>
              <w:rPr>
                <w:rFonts w:hAnsi="宋体"/>
                <w:sz w:val="24"/>
              </w:rPr>
              <w:t>（2）偏航系统运行单个风电机组突发噪声防治措施</w:t>
            </w:r>
          </w:p>
          <w:p w14:paraId="5E1BC140">
            <w:pPr>
              <w:autoSpaceDE w:val="0"/>
              <w:spacing w:line="360" w:lineRule="auto"/>
              <w:ind w:firstLine="480" w:firstLineChars="200"/>
              <w:rPr>
                <w:rFonts w:hAnsi="宋体"/>
                <w:sz w:val="24"/>
              </w:rPr>
            </w:pPr>
            <w:r>
              <w:rPr>
                <w:rFonts w:hAnsi="宋体"/>
                <w:sz w:val="24"/>
              </w:rPr>
              <w:t>风电机组在运行过程中应加强偏航系统的维护保养并应尽量避免运行偏航系统，将风电机组对噪声敏感建筑物的影响降低至最小。</w:t>
            </w:r>
          </w:p>
          <w:p w14:paraId="4C09B58F">
            <w:pPr>
              <w:autoSpaceDE w:val="0"/>
              <w:spacing w:line="360" w:lineRule="auto"/>
              <w:ind w:firstLine="480" w:firstLineChars="200"/>
              <w:rPr>
                <w:rFonts w:hAnsi="宋体"/>
                <w:sz w:val="24"/>
              </w:rPr>
            </w:pPr>
            <w:r>
              <w:rPr>
                <w:rFonts w:hAnsi="宋体"/>
                <w:sz w:val="24"/>
              </w:rPr>
              <w:t>（3）噪声控制措施</w:t>
            </w:r>
          </w:p>
          <w:p w14:paraId="77CB2779">
            <w:pPr>
              <w:autoSpaceDE w:val="0"/>
              <w:spacing w:line="360" w:lineRule="auto"/>
              <w:ind w:firstLine="480" w:firstLineChars="200"/>
              <w:rPr>
                <w:rFonts w:eastAsiaTheme="minorEastAsia"/>
                <w:color w:val="FF0000"/>
                <w:sz w:val="24"/>
                <w:u w:val="none"/>
              </w:rPr>
            </w:pPr>
            <w:r>
              <w:rPr>
                <w:rFonts w:hAnsi="宋体"/>
                <w:color w:val="FF0000"/>
                <w:sz w:val="24"/>
                <w:u w:val="none"/>
              </w:rPr>
              <w:t>结合本项目风机单机容量及噪声预测结果情况，</w:t>
            </w:r>
            <w:r>
              <w:rPr>
                <w:color w:val="FF0000"/>
                <w:sz w:val="24"/>
                <w:u w:val="none"/>
              </w:rPr>
              <w:t>环评建议以风电机组安装平台边界外延350m范围</w:t>
            </w:r>
            <w:r>
              <w:rPr>
                <w:rFonts w:hint="eastAsia"/>
                <w:color w:val="FF0000"/>
                <w:sz w:val="24"/>
                <w:u w:val="none"/>
              </w:rPr>
              <w:t>内</w:t>
            </w:r>
            <w:r>
              <w:rPr>
                <w:color w:val="FF0000"/>
                <w:sz w:val="24"/>
                <w:u w:val="none"/>
              </w:rPr>
              <w:t>的区域为噪声影响控制区，在该区域范围内，不得新建居民住宅、学校、医院等噪声敏感建筑物</w:t>
            </w:r>
            <w:r>
              <w:rPr>
                <w:rFonts w:eastAsiaTheme="minorEastAsia"/>
                <w:color w:val="FF0000"/>
                <w:sz w:val="24"/>
                <w:u w:val="none"/>
              </w:rPr>
              <w:t>。</w:t>
            </w:r>
          </w:p>
          <w:p w14:paraId="06653BAE">
            <w:pPr>
              <w:autoSpaceDE w:val="0"/>
              <w:spacing w:line="360" w:lineRule="auto"/>
              <w:ind w:firstLine="480" w:firstLineChars="200"/>
              <w:rPr>
                <w:rFonts w:hAnsi="宋体"/>
                <w:sz w:val="24"/>
                <w:u w:val="none"/>
              </w:rPr>
            </w:pPr>
            <w:r>
              <w:rPr>
                <w:rFonts w:hint="eastAsia" w:hAnsi="宋体"/>
                <w:sz w:val="24"/>
                <w:u w:val="none"/>
              </w:rPr>
              <w:t>为保障风电机组运行期不对周围声环境敏感目标产生不利影响，运行期需加强对风电机组的维护，定期检修风机转动连接处，使其处于良好的运行状态。</w:t>
            </w:r>
          </w:p>
          <w:p w14:paraId="59F483B4">
            <w:pPr>
              <w:autoSpaceDE w:val="0"/>
              <w:spacing w:line="360" w:lineRule="auto"/>
              <w:ind w:firstLine="480" w:firstLineChars="200"/>
              <w:rPr>
                <w:rFonts w:hAnsi="宋体"/>
                <w:sz w:val="24"/>
                <w:u w:val="none"/>
              </w:rPr>
            </w:pPr>
            <w:r>
              <w:rPr>
                <w:rFonts w:hint="eastAsia" w:hAnsi="宋体"/>
                <w:sz w:val="24"/>
                <w:u w:val="none"/>
              </w:rPr>
              <w:t>风机运行过程中应加强偏航系统的维护保养，并应尽量避免运行偏航系统，将风电机组对噪声敏感建筑物的影响降低至最小。</w:t>
            </w:r>
          </w:p>
          <w:p w14:paraId="01F4379E">
            <w:pPr>
              <w:autoSpaceDE w:val="0"/>
              <w:spacing w:line="360" w:lineRule="auto"/>
              <w:ind w:firstLine="480" w:firstLineChars="200"/>
              <w:rPr>
                <w:rFonts w:hAnsi="宋体"/>
                <w:color w:val="FF0000"/>
                <w:sz w:val="24"/>
              </w:rPr>
            </w:pPr>
            <w:r>
              <w:rPr>
                <w:rFonts w:hint="eastAsia" w:hAnsi="宋体"/>
                <w:color w:val="FF0000"/>
                <w:sz w:val="24"/>
              </w:rPr>
              <w:t>同时本项目应加强对</w:t>
            </w:r>
            <w:r>
              <w:rPr>
                <w:rFonts w:hint="eastAsia" w:hAnsi="宋体"/>
                <w:color w:val="FF0000"/>
                <w:sz w:val="24"/>
                <w:lang w:val="en-US" w:eastAsia="zh-CN"/>
              </w:rPr>
              <w:t>乌龟冲、大屋岭、下石岭、刘家湾和泉岭村等</w:t>
            </w:r>
            <w:r>
              <w:rPr>
                <w:rFonts w:hint="eastAsia" w:hAnsi="宋体"/>
                <w:color w:val="FF0000"/>
                <w:sz w:val="24"/>
              </w:rPr>
              <w:t>敏感点的噪声跟踪监测，并预留资金，一旦出现敏感点噪声超标情况，立即进行噪声防治措施改进。</w:t>
            </w:r>
          </w:p>
          <w:p w14:paraId="5F829B72">
            <w:pPr>
              <w:adjustRightInd w:val="0"/>
              <w:snapToGrid w:val="0"/>
              <w:spacing w:line="360" w:lineRule="auto"/>
              <w:outlineLvl w:val="1"/>
              <w:rPr>
                <w:b/>
                <w:bCs/>
                <w:sz w:val="24"/>
              </w:rPr>
            </w:pPr>
            <w:r>
              <w:rPr>
                <w:rFonts w:hint="eastAsia"/>
                <w:b/>
                <w:bCs/>
                <w:sz w:val="24"/>
              </w:rPr>
              <w:t>5.1</w:t>
            </w:r>
            <w:r>
              <w:rPr>
                <w:b/>
                <w:bCs/>
                <w:sz w:val="24"/>
              </w:rPr>
              <w:t>2</w:t>
            </w:r>
            <w:r>
              <w:rPr>
                <w:rFonts w:hint="eastAsia"/>
                <w:b/>
                <w:bCs/>
                <w:sz w:val="24"/>
              </w:rPr>
              <w:t>运营期固体废物污染控制措施</w:t>
            </w:r>
          </w:p>
          <w:p w14:paraId="661EEBB3">
            <w:pPr>
              <w:pStyle w:val="62"/>
              <w:ind w:firstLine="480"/>
              <w:rPr>
                <w:rFonts w:hAnsi="宋体" w:cs="Times New Roman"/>
              </w:rPr>
            </w:pPr>
            <w:r>
              <w:rPr>
                <w:rFonts w:hAnsi="宋体" w:cs="Times New Roman"/>
              </w:rPr>
              <w:t>运营期产生的生活垃圾收集清运后，纳入当地生活垃圾中转系统处理。</w:t>
            </w:r>
          </w:p>
          <w:p w14:paraId="3D5D8307">
            <w:pPr>
              <w:pStyle w:val="62"/>
              <w:ind w:firstLine="480"/>
              <w:rPr>
                <w:rFonts w:hAnsi="宋体" w:cs="Times New Roman"/>
                <w:u w:val="none"/>
              </w:rPr>
            </w:pPr>
            <w:r>
              <w:rPr>
                <w:rFonts w:hAnsi="宋体" w:cs="Times New Roman"/>
                <w:u w:val="none"/>
              </w:rPr>
              <w:t>运营期产生的危险废物包括废油、废蓄电池等，须设置危废暂存间</w:t>
            </w:r>
            <w:r>
              <w:rPr>
                <w:rFonts w:hint="eastAsia" w:hAnsi="宋体" w:cs="Times New Roman"/>
                <w:u w:val="none"/>
              </w:rPr>
              <w:t>，</w:t>
            </w:r>
            <w:r>
              <w:rPr>
                <w:rFonts w:hAnsi="宋体" w:cs="Times New Roman"/>
                <w:u w:val="none"/>
              </w:rPr>
              <w:t>运营期更换的废油经密封储存罐收集后存于危废暂存间，定期送厂家回收或由具有危险废物处理资质的单位处置。</w:t>
            </w:r>
          </w:p>
          <w:p w14:paraId="30747844">
            <w:pPr>
              <w:pStyle w:val="62"/>
              <w:ind w:firstLine="480"/>
              <w:rPr>
                <w:rFonts w:hAnsi="宋体" w:cs="Times New Roman"/>
                <w:color w:val="FF0000"/>
                <w:u w:val="none"/>
              </w:rPr>
            </w:pPr>
            <w:r>
              <w:rPr>
                <w:rFonts w:hAnsi="宋体" w:cs="Times New Roman"/>
                <w:color w:val="FF0000"/>
                <w:u w:val="none"/>
              </w:rPr>
              <w:t>根据《危险废物贮存污染控制标准》（GB18597-20</w:t>
            </w:r>
            <w:r>
              <w:rPr>
                <w:rFonts w:hint="eastAsia" w:hAnsi="宋体" w:cs="Times New Roman"/>
                <w:color w:val="FF0000"/>
                <w:u w:val="none"/>
                <w:lang w:val="en-US" w:eastAsia="zh-CN"/>
              </w:rPr>
              <w:t>23</w:t>
            </w:r>
            <w:r>
              <w:rPr>
                <w:rFonts w:hAnsi="宋体" w:cs="Times New Roman"/>
                <w:color w:val="FF0000"/>
                <w:u w:val="none"/>
              </w:rPr>
              <w:t>）的相关要求，项目危废的收集、暂存、运输需满足以下：</w:t>
            </w:r>
          </w:p>
          <w:p w14:paraId="32A4B590">
            <w:pPr>
              <w:pStyle w:val="62"/>
              <w:ind w:firstLine="480"/>
              <w:rPr>
                <w:rFonts w:hAnsi="宋体" w:cs="Times New Roman"/>
                <w:color w:val="FF0000"/>
                <w:u w:val="none"/>
              </w:rPr>
            </w:pPr>
            <w:r>
              <w:rPr>
                <w:rFonts w:hAnsi="宋体" w:cs="Times New Roman"/>
                <w:color w:val="FF0000"/>
                <w:u w:val="none"/>
              </w:rPr>
              <w:t>A、危险废物的收集包装：</w:t>
            </w:r>
          </w:p>
          <w:p w14:paraId="66322F33">
            <w:pPr>
              <w:pStyle w:val="62"/>
              <w:ind w:firstLine="480"/>
              <w:rPr>
                <w:rFonts w:hAnsi="宋体" w:cs="Times New Roman"/>
                <w:color w:val="FF0000"/>
                <w:u w:val="none"/>
              </w:rPr>
            </w:pPr>
            <w:r>
              <w:rPr>
                <w:rFonts w:hAnsi="宋体" w:cs="Times New Roman"/>
                <w:color w:val="FF0000"/>
                <w:u w:val="none"/>
              </w:rPr>
              <w:t>a．有符合要求的包装容器、收集人员的个人防护设备。</w:t>
            </w:r>
          </w:p>
          <w:p w14:paraId="3B861B2D">
            <w:pPr>
              <w:pStyle w:val="62"/>
              <w:ind w:firstLine="480"/>
              <w:rPr>
                <w:rFonts w:hAnsi="宋体" w:cs="Times New Roman"/>
                <w:color w:val="FF0000"/>
                <w:u w:val="none"/>
              </w:rPr>
            </w:pPr>
            <w:r>
              <w:rPr>
                <w:rFonts w:hAnsi="宋体" w:cs="Times New Roman"/>
                <w:color w:val="FF0000"/>
                <w:u w:val="none"/>
              </w:rPr>
              <w:t>b．危险废物的收集容器应在醒目位置贴有危险废物标签，在收集场所醒目的地方设置危险废物警告标识。</w:t>
            </w:r>
          </w:p>
          <w:p w14:paraId="1F8C043A">
            <w:pPr>
              <w:pStyle w:val="62"/>
              <w:ind w:firstLine="480"/>
              <w:rPr>
                <w:rFonts w:hAnsi="宋体" w:cs="Times New Roman"/>
                <w:color w:val="FF0000"/>
                <w:u w:val="none"/>
              </w:rPr>
            </w:pPr>
            <w:r>
              <w:rPr>
                <w:rFonts w:hAnsi="宋体" w:cs="Times New Roman"/>
                <w:color w:val="FF0000"/>
                <w:u w:val="none"/>
              </w:rPr>
              <w:t>c．危险废物标签应标明以下信息：主要化学成分或危险废物名称、数量、物理形态、危险类别、安全措施以及危险废物产生单位名称、地址、联系人及电话。</w:t>
            </w:r>
          </w:p>
          <w:p w14:paraId="5BB7B411">
            <w:pPr>
              <w:pStyle w:val="62"/>
              <w:ind w:firstLine="480"/>
              <w:rPr>
                <w:rFonts w:hAnsi="宋体" w:cs="Times New Roman"/>
                <w:color w:val="FF0000"/>
                <w:u w:val="none"/>
              </w:rPr>
            </w:pPr>
            <w:r>
              <w:rPr>
                <w:rFonts w:hAnsi="宋体" w:cs="Times New Roman"/>
                <w:color w:val="FF0000"/>
                <w:u w:val="none"/>
              </w:rPr>
              <w:t>B、危险废物的暂存要求：</w:t>
            </w:r>
          </w:p>
          <w:p w14:paraId="3CB6B02D">
            <w:pPr>
              <w:pStyle w:val="62"/>
              <w:ind w:firstLine="480"/>
              <w:rPr>
                <w:rFonts w:hAnsi="宋体" w:cs="Times New Roman"/>
                <w:color w:val="FF0000"/>
                <w:u w:val="none"/>
              </w:rPr>
            </w:pPr>
            <w:r>
              <w:rPr>
                <w:rFonts w:hAnsi="宋体" w:cs="Times New Roman"/>
                <w:color w:val="FF0000"/>
                <w:u w:val="none"/>
              </w:rPr>
              <w:t>危险废物堆放场所应满足GB18597-20</w:t>
            </w:r>
            <w:r>
              <w:rPr>
                <w:rFonts w:hint="eastAsia" w:hAnsi="宋体" w:cs="Times New Roman"/>
                <w:color w:val="FF0000"/>
                <w:u w:val="none"/>
                <w:lang w:val="en-US" w:eastAsia="zh-CN"/>
              </w:rPr>
              <w:t>23</w:t>
            </w:r>
            <w:r>
              <w:rPr>
                <w:rFonts w:hAnsi="宋体" w:cs="Times New Roman"/>
                <w:color w:val="FF0000"/>
                <w:u w:val="none"/>
              </w:rPr>
              <w:t>《危险废物贮存污染控制标准》中的有关规定：</w:t>
            </w:r>
          </w:p>
          <w:p w14:paraId="644480CC">
            <w:pPr>
              <w:pStyle w:val="62"/>
              <w:ind w:firstLine="480"/>
              <w:rPr>
                <w:rFonts w:hAnsi="宋体" w:cs="Times New Roman"/>
                <w:color w:val="FF0000"/>
                <w:u w:val="none"/>
              </w:rPr>
            </w:pPr>
            <w:r>
              <w:rPr>
                <w:rFonts w:hAnsi="宋体" w:cs="Times New Roman"/>
                <w:color w:val="FF0000"/>
                <w:u w:val="none"/>
              </w:rPr>
              <w:t>a.按GB15562.2《环境保护图形标识—固体废物贮存（处置）场》设置警示标志。</w:t>
            </w:r>
          </w:p>
          <w:p w14:paraId="35625FF8">
            <w:pPr>
              <w:pStyle w:val="62"/>
              <w:ind w:firstLine="480"/>
              <w:rPr>
                <w:rFonts w:hAnsi="宋体" w:cs="Times New Roman"/>
                <w:color w:val="FF0000"/>
                <w:u w:val="none"/>
              </w:rPr>
            </w:pPr>
            <w:r>
              <w:rPr>
                <w:rFonts w:hAnsi="宋体" w:cs="Times New Roman"/>
                <w:color w:val="FF0000"/>
                <w:u w:val="none"/>
              </w:rPr>
              <w:t>b.必须有耐腐蚀的硬化地面和基础防渗层，地面无裂隙；设施底部必须高于地下水最高水位。</w:t>
            </w:r>
          </w:p>
          <w:p w14:paraId="5910921F">
            <w:pPr>
              <w:pStyle w:val="62"/>
              <w:ind w:firstLine="480"/>
              <w:rPr>
                <w:rFonts w:hAnsi="宋体" w:cs="Times New Roman"/>
                <w:color w:val="FF0000"/>
                <w:u w:val="none"/>
              </w:rPr>
            </w:pPr>
            <w:r>
              <w:rPr>
                <w:rFonts w:hAnsi="宋体" w:cs="Times New Roman"/>
                <w:color w:val="FF0000"/>
                <w:u w:val="none"/>
              </w:rPr>
              <w:t>c.要求有必要的防风、防雨、防晒措施。</w:t>
            </w:r>
          </w:p>
          <w:p w14:paraId="73F6C5C6">
            <w:pPr>
              <w:pStyle w:val="62"/>
              <w:ind w:firstLine="480"/>
              <w:rPr>
                <w:rFonts w:hAnsi="宋体" w:cs="Times New Roman"/>
                <w:color w:val="FF0000"/>
                <w:u w:val="none"/>
              </w:rPr>
            </w:pPr>
            <w:r>
              <w:rPr>
                <w:rFonts w:hAnsi="宋体" w:cs="Times New Roman"/>
                <w:color w:val="FF0000"/>
                <w:u w:val="none"/>
              </w:rPr>
              <w:t>d.要有隔离设施或其它防护栅栏。</w:t>
            </w:r>
          </w:p>
          <w:p w14:paraId="3D6C850F">
            <w:pPr>
              <w:pStyle w:val="62"/>
              <w:ind w:firstLine="480"/>
              <w:rPr>
                <w:rFonts w:hAnsi="宋体" w:cs="Times New Roman"/>
                <w:color w:val="FF0000"/>
                <w:u w:val="none"/>
              </w:rPr>
            </w:pPr>
            <w:r>
              <w:rPr>
                <w:rFonts w:hAnsi="宋体" w:cs="Times New Roman"/>
                <w:color w:val="FF0000"/>
                <w:u w:val="none"/>
              </w:rPr>
              <w:t>e.配备通讯设备、照明设施、安全防护服装，设有报警装置和应急防护设施。</w:t>
            </w:r>
          </w:p>
          <w:p w14:paraId="147004CB">
            <w:pPr>
              <w:pStyle w:val="62"/>
              <w:ind w:firstLine="480"/>
              <w:rPr>
                <w:rFonts w:hAnsi="宋体" w:cs="Times New Roman"/>
                <w:color w:val="FF0000"/>
                <w:u w:val="none"/>
              </w:rPr>
            </w:pPr>
            <w:r>
              <w:rPr>
                <w:rFonts w:hAnsi="宋体" w:cs="Times New Roman"/>
                <w:color w:val="FF0000"/>
                <w:u w:val="none"/>
              </w:rPr>
              <w:t>f.危险废物必须装入容器内，禁止将不相容的危险废物在同一容器内混装。无法装入常用容器的危险废物可用防漏胶袋等盛装。盛装危险废物的容器上必须粘贴符合危险废物不同类别的标签。</w:t>
            </w:r>
          </w:p>
          <w:p w14:paraId="5F1B28A0">
            <w:pPr>
              <w:pStyle w:val="62"/>
              <w:ind w:firstLine="480"/>
              <w:rPr>
                <w:rFonts w:hAnsi="宋体" w:cs="Times New Roman"/>
                <w:color w:val="FF0000"/>
                <w:u w:val="none"/>
              </w:rPr>
            </w:pPr>
            <w:r>
              <w:rPr>
                <w:rFonts w:hAnsi="宋体" w:cs="Times New Roman"/>
                <w:color w:val="FF0000"/>
                <w:u w:val="none"/>
              </w:rPr>
              <w:t>g.本项目单位应做好危险废物产生情况的记录，建立台账系统，记录上须注明危险废物的名称、来源、数量、特性和包装容器的类别，入库日期，存放库位，废物出库日期及接收单位名称。危险废物的记录和货单在危险废物回取后应继续保留3年。</w:t>
            </w:r>
          </w:p>
          <w:p w14:paraId="6E35F6B3">
            <w:pPr>
              <w:pStyle w:val="62"/>
              <w:ind w:firstLine="480"/>
              <w:rPr>
                <w:rFonts w:hAnsi="宋体" w:cs="Times New Roman"/>
                <w:color w:val="FF0000"/>
                <w:u w:val="none"/>
              </w:rPr>
            </w:pPr>
            <w:r>
              <w:rPr>
                <w:rFonts w:hAnsi="宋体" w:cs="Times New Roman"/>
                <w:color w:val="FF0000"/>
                <w:u w:val="none"/>
              </w:rPr>
              <w:t>C、危险废物内部转运作业应满足如下要求：</w:t>
            </w:r>
          </w:p>
          <w:p w14:paraId="30647D18">
            <w:pPr>
              <w:pStyle w:val="62"/>
              <w:ind w:firstLine="480"/>
              <w:rPr>
                <w:rFonts w:hAnsi="宋体" w:cs="Times New Roman"/>
                <w:color w:val="FF0000"/>
                <w:u w:val="none"/>
              </w:rPr>
            </w:pPr>
            <w:r>
              <w:rPr>
                <w:rFonts w:hAnsi="宋体" w:cs="Times New Roman"/>
                <w:color w:val="FF0000"/>
                <w:u w:val="none"/>
              </w:rPr>
              <w:t>a.危险废物内部转运应综合考虑</w:t>
            </w:r>
            <w:r>
              <w:rPr>
                <w:rFonts w:hint="eastAsia" w:hAnsi="宋体" w:cs="Times New Roman"/>
                <w:color w:val="FF0000"/>
                <w:u w:val="none"/>
              </w:rPr>
              <w:t>升压站</w:t>
            </w:r>
            <w:r>
              <w:rPr>
                <w:rFonts w:hAnsi="宋体" w:cs="Times New Roman"/>
                <w:color w:val="FF0000"/>
                <w:u w:val="none"/>
              </w:rPr>
              <w:t>的实际情况确定转运路线，尽量避开办公区和生活区。</w:t>
            </w:r>
          </w:p>
          <w:p w14:paraId="19A00FF2">
            <w:pPr>
              <w:pStyle w:val="62"/>
              <w:ind w:firstLine="480"/>
              <w:rPr>
                <w:rFonts w:hAnsi="宋体" w:cs="Times New Roman"/>
                <w:color w:val="FF0000"/>
                <w:u w:val="none"/>
              </w:rPr>
            </w:pPr>
            <w:r>
              <w:rPr>
                <w:rFonts w:hAnsi="宋体" w:cs="Times New Roman"/>
                <w:color w:val="FF0000"/>
                <w:u w:val="none"/>
              </w:rPr>
              <w:t>b.危险废物内部转运作业应采用专用的工具，危险废物内部转运应填写《危险废物场内转运记录表》。</w:t>
            </w:r>
          </w:p>
          <w:p w14:paraId="4BB599FC">
            <w:pPr>
              <w:pStyle w:val="62"/>
              <w:ind w:firstLine="480"/>
              <w:rPr>
                <w:rFonts w:hAnsi="宋体" w:cs="Times New Roman"/>
                <w:color w:val="FF0000"/>
                <w:u w:val="none"/>
              </w:rPr>
            </w:pPr>
            <w:r>
              <w:rPr>
                <w:rFonts w:hAnsi="宋体" w:cs="Times New Roman"/>
                <w:color w:val="FF0000"/>
                <w:u w:val="none"/>
              </w:rPr>
              <w:t>c.危险废物内部转运结束后，应对转运路线进行检查和清理，确保无危险废物遗失在转运路线上，并对转运工具进行清洗。</w:t>
            </w:r>
          </w:p>
          <w:p w14:paraId="35B5D8B2">
            <w:pPr>
              <w:pStyle w:val="62"/>
              <w:ind w:firstLine="480"/>
              <w:rPr>
                <w:rFonts w:hAnsi="宋体" w:cs="Times New Roman"/>
                <w:color w:val="FF0000"/>
                <w:u w:val="none"/>
              </w:rPr>
            </w:pPr>
            <w:r>
              <w:rPr>
                <w:rFonts w:hAnsi="宋体" w:cs="Times New Roman"/>
                <w:color w:val="FF0000"/>
                <w:u w:val="none"/>
              </w:rPr>
              <w:t>D、危险废物的运输要求：</w:t>
            </w:r>
          </w:p>
          <w:p w14:paraId="4CC562EA">
            <w:pPr>
              <w:pStyle w:val="62"/>
              <w:ind w:firstLine="480"/>
              <w:rPr>
                <w:rFonts w:hAnsi="宋体" w:cs="Times New Roman"/>
                <w:color w:val="FF0000"/>
                <w:u w:val="none"/>
              </w:rPr>
            </w:pPr>
            <w:r>
              <w:rPr>
                <w:rFonts w:hAnsi="宋体" w:cs="Times New Roman"/>
                <w:color w:val="FF0000"/>
                <w:u w:val="none"/>
              </w:rPr>
              <w:t>a.危险废物产生单位每转移一车同类危险废物，应当填写一份联单，每车有多类危险废物的，应当按每一类危险废物填写一份联单。</w:t>
            </w:r>
          </w:p>
          <w:p w14:paraId="21C81144">
            <w:pPr>
              <w:pStyle w:val="62"/>
              <w:ind w:firstLine="480"/>
              <w:rPr>
                <w:rFonts w:hAnsi="宋体" w:cs="Times New Roman"/>
                <w:color w:val="FF0000"/>
                <w:u w:val="none"/>
              </w:rPr>
            </w:pPr>
            <w:r>
              <w:rPr>
                <w:rFonts w:hAnsi="宋体" w:cs="Times New Roman"/>
                <w:color w:val="FF0000"/>
                <w:u w:val="none"/>
              </w:rPr>
              <w:t>b.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p>
          <w:p w14:paraId="7241D129">
            <w:pPr>
              <w:pStyle w:val="62"/>
              <w:ind w:firstLine="480"/>
              <w:rPr>
                <w:rFonts w:hAnsi="宋体" w:cs="Times New Roman"/>
                <w:color w:val="FF0000"/>
                <w:u w:val="none"/>
              </w:rPr>
            </w:pPr>
            <w:r>
              <w:rPr>
                <w:rFonts w:hAnsi="宋体" w:cs="Times New Roman"/>
                <w:color w:val="FF0000"/>
                <w:u w:val="none"/>
              </w:rPr>
              <w:t>c.危险废物接收单位应当按照联单填写的内容对危险废物核实验收，如实填写联单中接收单位栏目并加盖公章。</w:t>
            </w:r>
          </w:p>
          <w:p w14:paraId="62BD9210">
            <w:pPr>
              <w:pStyle w:val="62"/>
              <w:ind w:firstLine="480"/>
              <w:rPr>
                <w:rFonts w:hAnsi="宋体" w:cs="Times New Roman"/>
                <w:color w:val="FF0000"/>
                <w:u w:val="none"/>
              </w:rPr>
            </w:pPr>
            <w:r>
              <w:rPr>
                <w:rFonts w:hAnsi="宋体" w:cs="Times New Roman"/>
                <w:color w:val="FF0000"/>
                <w:u w:val="none"/>
              </w:rPr>
              <w:t>d.接收单位应当将联单第一联、第二联副联自接受危险废物之日起十日内交付产生单位，联单第一联由产生单位自留存档，联单第二联副联由产生单位在二日内报送移出地环境保护行政主管部门；接收单位将联单第三联交付运输单位存档；将联单第四联自留存档；将联单第五联自接受危险废物之日起二日内报送接受地环境保护行政主管部门。</w:t>
            </w:r>
          </w:p>
          <w:p w14:paraId="40A0ABEB">
            <w:pPr>
              <w:pStyle w:val="62"/>
              <w:ind w:firstLine="480"/>
              <w:rPr>
                <w:rFonts w:hAnsi="宋体" w:cs="Times New Roman"/>
                <w:color w:val="FF0000"/>
                <w:szCs w:val="24"/>
                <w:u w:val="none"/>
              </w:rPr>
            </w:pPr>
            <w:r>
              <w:rPr>
                <w:rFonts w:hAnsi="宋体" w:cs="Times New Roman"/>
                <w:color w:val="FF0000"/>
                <w:u w:val="none"/>
              </w:rPr>
              <w:t>e.危险废物接收单位验收发现危险废物的名称、数量、特性、形态、包装方式与联</w:t>
            </w:r>
            <w:r>
              <w:rPr>
                <w:rFonts w:hAnsi="宋体" w:cs="Times New Roman"/>
                <w:color w:val="FF0000"/>
                <w:szCs w:val="24"/>
                <w:u w:val="none"/>
              </w:rPr>
              <w:t>单填写内容不符的，应当及时向接受地环境保护行政主管部门报告，并通知产生单位。</w:t>
            </w:r>
          </w:p>
          <w:p w14:paraId="5783078D">
            <w:pPr>
              <w:adjustRightInd w:val="0"/>
              <w:snapToGrid w:val="0"/>
              <w:spacing w:line="360" w:lineRule="auto"/>
              <w:ind w:firstLine="480" w:firstLineChars="200"/>
              <w:jc w:val="left"/>
              <w:rPr>
                <w:rFonts w:hAnsi="宋体"/>
                <w:sz w:val="24"/>
                <w:u w:val="none"/>
              </w:rPr>
            </w:pPr>
            <w:r>
              <w:rPr>
                <w:rFonts w:hAnsi="宋体"/>
                <w:sz w:val="24"/>
                <w:u w:val="none"/>
              </w:rPr>
              <w:t>采取上述措施后，项目产生的固体废物处置可以做到无害化。</w:t>
            </w:r>
          </w:p>
          <w:p w14:paraId="5E9C1046">
            <w:pPr>
              <w:pStyle w:val="62"/>
              <w:ind w:firstLine="0" w:firstLineChars="0"/>
              <w:rPr>
                <w:rFonts w:hAnsi="宋体" w:cs="Times New Roman"/>
              </w:rPr>
            </w:pPr>
            <w:r>
              <w:rPr>
                <w:rFonts w:hint="eastAsia"/>
                <w:b/>
                <w:bCs/>
              </w:rPr>
              <w:t>5.1</w:t>
            </w:r>
            <w:r>
              <w:rPr>
                <w:b/>
                <w:bCs/>
              </w:rPr>
              <w:t>3</w:t>
            </w:r>
            <w:r>
              <w:rPr>
                <w:rFonts w:hint="eastAsia"/>
                <w:b/>
                <w:bCs/>
              </w:rPr>
              <w:t>运营期</w:t>
            </w:r>
            <w:r>
              <w:rPr>
                <w:rFonts w:hint="eastAsia" w:cs="Times New Roman"/>
                <w:b/>
                <w:bCs/>
              </w:rPr>
              <w:t>环境风险控制措施</w:t>
            </w:r>
          </w:p>
          <w:p w14:paraId="31447FAF">
            <w:pPr>
              <w:pStyle w:val="62"/>
              <w:ind w:firstLine="480"/>
              <w:rPr>
                <w:rFonts w:hAnsi="宋体" w:cs="Times New Roman"/>
                <w:u w:val="none"/>
              </w:rPr>
            </w:pPr>
            <w:r>
              <w:rPr>
                <w:rFonts w:hint="eastAsia" w:hAnsi="宋体" w:cs="Times New Roman"/>
              </w:rPr>
              <w:t>本项目</w:t>
            </w:r>
            <w:r>
              <w:rPr>
                <w:rFonts w:hAnsi="宋体" w:cs="Times New Roman"/>
              </w:rPr>
              <w:t>升压站变压器的下方建设</w:t>
            </w:r>
            <w:r>
              <w:rPr>
                <w:rFonts w:hAnsi="宋体" w:cs="Times New Roman"/>
                <w:u w:val="none"/>
              </w:rPr>
              <w:t>30m</w:t>
            </w:r>
            <w:r>
              <w:rPr>
                <w:rFonts w:hAnsi="宋体" w:cs="Times New Roman"/>
                <w:u w:val="none"/>
                <w:vertAlign w:val="superscript"/>
              </w:rPr>
              <w:t>3</w:t>
            </w:r>
            <w:r>
              <w:rPr>
                <w:rFonts w:hAnsi="宋体" w:cs="Times New Roman"/>
                <w:u w:val="none"/>
              </w:rPr>
              <w:t>事故油池，并在主变压器四周设置排油沟槽，相关的管道、池壁和池底均进行水泥防渗处理，以免污染物下渗对周边区域地下水环境造成影响。</w:t>
            </w:r>
            <w:r>
              <w:rPr>
                <w:rFonts w:hint="eastAsia"/>
                <w:szCs w:val="32"/>
                <w:u w:val="none"/>
                <w:lang w:val="sq-AL"/>
              </w:rPr>
              <w:t>本项目各箱式变压器下方各设置1个</w:t>
            </w:r>
            <w:r>
              <w:rPr>
                <w:szCs w:val="32"/>
                <w:u w:val="none"/>
                <w:lang w:val="sq-AL"/>
              </w:rPr>
              <w:t>1.5</w:t>
            </w:r>
            <w:r>
              <w:rPr>
                <w:rFonts w:hint="eastAsia"/>
                <w:szCs w:val="32"/>
                <w:u w:val="none"/>
                <w:lang w:val="sq-AL"/>
              </w:rPr>
              <w:t>m</w:t>
            </w:r>
            <w:r>
              <w:rPr>
                <w:szCs w:val="32"/>
                <w:u w:val="none"/>
                <w:vertAlign w:val="superscript"/>
                <w:lang w:val="sq-AL"/>
              </w:rPr>
              <w:t>3</w:t>
            </w:r>
            <w:r>
              <w:rPr>
                <w:rFonts w:hint="eastAsia"/>
                <w:szCs w:val="32"/>
                <w:u w:val="none"/>
                <w:lang w:val="sq-AL"/>
              </w:rPr>
              <w:t>的事故油池，共1</w:t>
            </w:r>
            <w:r>
              <w:rPr>
                <w:rFonts w:hint="eastAsia"/>
                <w:szCs w:val="32"/>
                <w:u w:val="none"/>
                <w:lang w:val="en-US" w:eastAsia="zh-CN"/>
              </w:rPr>
              <w:t>6</w:t>
            </w:r>
            <w:r>
              <w:rPr>
                <w:rFonts w:hint="eastAsia"/>
                <w:szCs w:val="32"/>
                <w:u w:val="none"/>
                <w:lang w:val="sq-AL"/>
              </w:rPr>
              <w:t>个事故油池。</w:t>
            </w:r>
          </w:p>
          <w:p w14:paraId="19C6AE27">
            <w:pPr>
              <w:pStyle w:val="60"/>
              <w:adjustRightInd/>
              <w:snapToGrid/>
              <w:ind w:firstLine="480"/>
              <w:rPr>
                <w:rFonts w:cs="Times New Roman"/>
              </w:rPr>
            </w:pPr>
            <w:r>
              <w:rPr>
                <w:rFonts w:hint="eastAsia" w:cs="Times New Roman"/>
              </w:rPr>
              <w:t>运行人员在巡视设备中，发现变压器油发生泄漏，及时汇报和通知电力检修公司人员进行抢修，并加强对变压器油位泄漏的监视。并设好围挡、悬挂标示牌，疏散现场，并向主管生产的部门汇报；一旦发生变压器油泄漏，不得有明火靠近，并严格按照消防管理制度执行；检修单位应指定专人负责抢修现场指挥，运行单位积极配合，运行人员将对设备的监督和巡视，做好安全措施后，检修单位及时组织抢修人员进行查漏、堵漏，严防事故有外漏而造成的环境污染。</w:t>
            </w:r>
          </w:p>
          <w:p w14:paraId="615E7FB7">
            <w:pPr>
              <w:pStyle w:val="60"/>
              <w:ind w:firstLine="480"/>
              <w:rPr>
                <w:rFonts w:cs="Times New Roman"/>
              </w:rPr>
            </w:pPr>
            <w:r>
              <w:rPr>
                <w:rFonts w:cs="Times New Roman"/>
              </w:rPr>
              <w:t>升压站一旦发生火灾事故，远程控制系统将自动跳闸，事故应急方案及时启动，可有效防止事故蔓延；另一方面升压站内不贮存有毒有害和易燃易爆物品。目前还未见到因升压站电气设备爆炸引起重大人员伤亡和财产损失的报道。升压站爆炸和火灾事故发生概率小，属于安全事故，由此引发的环境风险事故的危害很小。</w:t>
            </w:r>
          </w:p>
          <w:p w14:paraId="244F9616">
            <w:pPr>
              <w:pStyle w:val="60"/>
              <w:ind w:firstLine="480"/>
              <w:rPr>
                <w:rFonts w:cs="Times New Roman"/>
              </w:rPr>
            </w:pPr>
            <w:r>
              <w:rPr>
                <w:rFonts w:hint="eastAsia" w:cs="Times New Roman"/>
              </w:rPr>
              <w:t>此外，在日常状况下，应急事故池需保持应急常态；雨天排入事故油池中的雨水应及时抽出，保持事故池满足应急条件。若雨水中含油类污水，将含油雨水排入一体化污水处理站处理达标后回用。应急事故池禁止设置排放口。</w:t>
            </w:r>
          </w:p>
          <w:p w14:paraId="6E9795F4">
            <w:pPr>
              <w:adjustRightInd w:val="0"/>
              <w:snapToGrid w:val="0"/>
              <w:spacing w:line="360" w:lineRule="auto"/>
              <w:ind w:firstLine="480" w:firstLineChars="200"/>
              <w:jc w:val="left"/>
              <w:rPr>
                <w:sz w:val="24"/>
              </w:rPr>
            </w:pPr>
            <w:r>
              <w:rPr>
                <w:sz w:val="24"/>
              </w:rPr>
              <w:t>因此，通过采取以上防范措施后，运行期环境风险较小。</w:t>
            </w:r>
          </w:p>
          <w:p w14:paraId="59D42ED6">
            <w:pPr>
              <w:spacing w:line="360" w:lineRule="auto"/>
              <w:rPr>
                <w:b/>
                <w:bCs/>
                <w:sz w:val="24"/>
              </w:rPr>
            </w:pPr>
            <w:r>
              <w:rPr>
                <w:b/>
                <w:bCs/>
                <w:sz w:val="24"/>
              </w:rPr>
              <w:t>5.14</w:t>
            </w:r>
            <w:r>
              <w:rPr>
                <w:rFonts w:hint="eastAsia"/>
                <w:b/>
                <w:bCs/>
                <w:sz w:val="24"/>
              </w:rPr>
              <w:t>监测计划</w:t>
            </w:r>
          </w:p>
          <w:p w14:paraId="0B13C235">
            <w:pPr>
              <w:spacing w:line="360" w:lineRule="auto"/>
              <w:ind w:firstLine="504" w:firstLineChars="200"/>
              <w:rPr>
                <w:bCs/>
                <w:spacing w:val="6"/>
                <w:sz w:val="24"/>
              </w:rPr>
            </w:pPr>
            <w:bookmarkStart w:id="313" w:name="_Toc345395932"/>
            <w:bookmarkStart w:id="314" w:name="_Toc288736236"/>
            <w:bookmarkStart w:id="315" w:name="_Toc288747703"/>
            <w:r>
              <w:rPr>
                <w:bCs/>
                <w:spacing w:val="6"/>
                <w:sz w:val="24"/>
              </w:rPr>
              <w:t>（1）生态环境监测</w:t>
            </w:r>
          </w:p>
          <w:p w14:paraId="59969351">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1 \* GB3 \* MERGEFORMAT </w:instrText>
            </w:r>
            <w:r>
              <w:rPr>
                <w:bCs/>
                <w:spacing w:val="6"/>
                <w:sz w:val="24"/>
                <w:u w:val="none"/>
              </w:rPr>
              <w:fldChar w:fldCharType="separate"/>
            </w:r>
            <w:r>
              <w:rPr>
                <w:bCs/>
                <w:spacing w:val="6"/>
                <w:sz w:val="24"/>
                <w:u w:val="none"/>
              </w:rPr>
              <w:t>①</w:t>
            </w:r>
            <w:r>
              <w:rPr>
                <w:bCs/>
                <w:spacing w:val="6"/>
                <w:sz w:val="24"/>
                <w:u w:val="none"/>
              </w:rPr>
              <w:fldChar w:fldCharType="end"/>
            </w:r>
            <w:r>
              <w:rPr>
                <w:bCs/>
                <w:spacing w:val="6"/>
                <w:sz w:val="24"/>
                <w:u w:val="none"/>
              </w:rPr>
              <w:t>监测内容：主要包括陆生动物调查（重点为鸟类）、景观变化及植被恢复措施落实情况调查。主要调查工程区域内鸟类的栖息情况；工程施工导致景观的变化情况，景观生态恢复措施的落实情况。</w:t>
            </w:r>
          </w:p>
          <w:p w14:paraId="6E8617F7">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2 \* GB3 \* MERGEFORMAT </w:instrText>
            </w:r>
            <w:r>
              <w:rPr>
                <w:bCs/>
                <w:spacing w:val="6"/>
                <w:sz w:val="24"/>
                <w:u w:val="none"/>
              </w:rPr>
              <w:fldChar w:fldCharType="separate"/>
            </w:r>
            <w:r>
              <w:rPr>
                <w:bCs/>
                <w:spacing w:val="6"/>
                <w:sz w:val="24"/>
                <w:u w:val="none"/>
              </w:rPr>
              <w:t>②</w:t>
            </w:r>
            <w:r>
              <w:rPr>
                <w:bCs/>
                <w:spacing w:val="6"/>
                <w:sz w:val="24"/>
                <w:u w:val="none"/>
              </w:rPr>
              <w:fldChar w:fldCharType="end"/>
            </w:r>
            <w:r>
              <w:rPr>
                <w:bCs/>
                <w:spacing w:val="6"/>
                <w:sz w:val="24"/>
                <w:u w:val="none"/>
              </w:rPr>
              <w:t>监测方法：主要采取收集资料、实地调查、公众访问等方式进行。</w:t>
            </w:r>
          </w:p>
          <w:p w14:paraId="05ACDA32">
            <w:pPr>
              <w:autoSpaceDE w:val="0"/>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3 \* GB3 \* MERGEFORMAT </w:instrText>
            </w:r>
            <w:r>
              <w:rPr>
                <w:bCs/>
                <w:spacing w:val="6"/>
                <w:sz w:val="24"/>
                <w:u w:val="none"/>
              </w:rPr>
              <w:fldChar w:fldCharType="separate"/>
            </w:r>
            <w:r>
              <w:rPr>
                <w:bCs/>
                <w:spacing w:val="6"/>
                <w:sz w:val="24"/>
                <w:u w:val="none"/>
              </w:rPr>
              <w:t>③</w:t>
            </w:r>
            <w:r>
              <w:rPr>
                <w:bCs/>
                <w:spacing w:val="6"/>
                <w:sz w:val="24"/>
                <w:u w:val="none"/>
              </w:rPr>
              <w:fldChar w:fldCharType="end"/>
            </w:r>
            <w:r>
              <w:rPr>
                <w:bCs/>
                <w:spacing w:val="6"/>
                <w:sz w:val="24"/>
                <w:u w:val="none"/>
              </w:rPr>
              <w:t>监测时间：3年，施工期1年，营运期2年。</w:t>
            </w:r>
          </w:p>
          <w:p w14:paraId="73CB5D0E">
            <w:pPr>
              <w:autoSpaceDE w:val="0"/>
              <w:spacing w:line="360" w:lineRule="auto"/>
              <w:ind w:firstLine="480" w:firstLineChars="200"/>
              <w:rPr>
                <w:rFonts w:hAnsi="宋体"/>
                <w:sz w:val="24"/>
                <w:u w:val="none"/>
              </w:rPr>
            </w:pPr>
            <w:r>
              <w:rPr>
                <w:rFonts w:hAnsi="宋体"/>
                <w:sz w:val="24"/>
                <w:u w:val="none"/>
              </w:rPr>
              <w:t>（2）大气环境监测</w:t>
            </w:r>
            <w:bookmarkEnd w:id="313"/>
            <w:bookmarkEnd w:id="314"/>
            <w:bookmarkEnd w:id="315"/>
          </w:p>
          <w:p w14:paraId="411C0BED">
            <w:pPr>
              <w:spacing w:line="360" w:lineRule="auto"/>
              <w:ind w:firstLine="480" w:firstLineChars="200"/>
              <w:rPr>
                <w:rFonts w:hAnsi="宋体"/>
                <w:sz w:val="24"/>
                <w:u w:val="none"/>
              </w:rPr>
            </w:pPr>
            <w:r>
              <w:rPr>
                <w:rFonts w:hAnsi="宋体"/>
                <w:sz w:val="24"/>
                <w:u w:val="none"/>
              </w:rPr>
              <w:t>大气环境影响主要发生在施工期，运营期不会产生影响。因此，环境空气质量监测只考虑施工期，在</w:t>
            </w:r>
            <w:r>
              <w:rPr>
                <w:rFonts w:hint="eastAsia" w:hAnsi="宋体"/>
                <w:sz w:val="24"/>
                <w:u w:val="none"/>
              </w:rPr>
              <w:t>施工区</w:t>
            </w:r>
            <w:r>
              <w:rPr>
                <w:rFonts w:hAnsi="宋体"/>
                <w:sz w:val="24"/>
                <w:u w:val="none"/>
              </w:rPr>
              <w:t>边界设置1个大气环境监测点。监测项目为TSP、NO</w:t>
            </w:r>
            <w:r>
              <w:rPr>
                <w:rFonts w:hint="eastAsia" w:hAnsi="宋体"/>
                <w:sz w:val="24"/>
                <w:u w:val="none"/>
                <w:vertAlign w:val="subscript"/>
              </w:rPr>
              <w:t>x</w:t>
            </w:r>
            <w:r>
              <w:rPr>
                <w:rFonts w:hAnsi="宋体"/>
                <w:sz w:val="24"/>
                <w:u w:val="none"/>
              </w:rPr>
              <w:t>。施工期间，共监测1次。监测方法按</w:t>
            </w:r>
            <w:r>
              <w:rPr>
                <w:rFonts w:hint="eastAsia" w:hAnsi="宋体"/>
                <w:sz w:val="24"/>
                <w:u w:val="none"/>
                <w:lang w:eastAsia="zh-CN"/>
              </w:rPr>
              <w:t>生态环境部</w:t>
            </w:r>
            <w:r>
              <w:rPr>
                <w:rFonts w:hAnsi="宋体"/>
                <w:sz w:val="24"/>
                <w:u w:val="none"/>
              </w:rPr>
              <w:t>规定的大气监测方法进行。</w:t>
            </w:r>
          </w:p>
          <w:p w14:paraId="0CD3849E">
            <w:pPr>
              <w:autoSpaceDE w:val="0"/>
              <w:spacing w:line="360" w:lineRule="auto"/>
              <w:ind w:firstLine="480" w:firstLineChars="200"/>
              <w:rPr>
                <w:rFonts w:hAnsi="宋体"/>
                <w:sz w:val="24"/>
                <w:u w:val="none"/>
              </w:rPr>
            </w:pPr>
            <w:bookmarkStart w:id="316" w:name="_Toc345395931"/>
            <w:r>
              <w:rPr>
                <w:rFonts w:hAnsi="宋体"/>
                <w:sz w:val="24"/>
                <w:u w:val="none"/>
              </w:rPr>
              <w:t>（3）水质监测</w:t>
            </w:r>
            <w:bookmarkEnd w:id="316"/>
          </w:p>
          <w:p w14:paraId="39DF5802">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1 \* GB3 \* MERGEFORMAT </w:instrText>
            </w:r>
            <w:r>
              <w:rPr>
                <w:bCs/>
                <w:spacing w:val="6"/>
                <w:sz w:val="24"/>
                <w:u w:val="none"/>
              </w:rPr>
              <w:fldChar w:fldCharType="separate"/>
            </w:r>
            <w:r>
              <w:rPr>
                <w:bCs/>
                <w:spacing w:val="6"/>
                <w:sz w:val="24"/>
                <w:u w:val="none"/>
              </w:rPr>
              <w:t>①</w:t>
            </w:r>
            <w:r>
              <w:rPr>
                <w:bCs/>
                <w:spacing w:val="6"/>
                <w:sz w:val="24"/>
                <w:u w:val="none"/>
              </w:rPr>
              <w:fldChar w:fldCharType="end"/>
            </w:r>
            <w:r>
              <w:rPr>
                <w:bCs/>
                <w:spacing w:val="6"/>
                <w:sz w:val="24"/>
                <w:u w:val="none"/>
              </w:rPr>
              <w:t>施工期：施工生产废水经隔油沉淀处理后作为洒水降尘，不外排；施工人员生活污水经化粪池处理后用于农家肥，不外排。</w:t>
            </w:r>
          </w:p>
          <w:p w14:paraId="1AEEB834">
            <w:pPr>
              <w:spacing w:line="360" w:lineRule="auto"/>
              <w:ind w:firstLine="504" w:firstLineChars="200"/>
              <w:rPr>
                <w:bCs/>
                <w:spacing w:val="6"/>
                <w:sz w:val="24"/>
                <w:u w:val="none"/>
              </w:rPr>
            </w:pPr>
            <w:r>
              <w:rPr>
                <w:bCs/>
                <w:spacing w:val="6"/>
                <w:sz w:val="24"/>
                <w:u w:val="none"/>
              </w:rPr>
              <w:fldChar w:fldCharType="begin"/>
            </w:r>
            <w:r>
              <w:rPr>
                <w:bCs/>
                <w:spacing w:val="6"/>
                <w:sz w:val="24"/>
                <w:u w:val="none"/>
              </w:rPr>
              <w:instrText xml:space="preserve"> = 2 \* GB3 \* MERGEFORMAT </w:instrText>
            </w:r>
            <w:r>
              <w:rPr>
                <w:bCs/>
                <w:spacing w:val="6"/>
                <w:sz w:val="24"/>
                <w:u w:val="none"/>
              </w:rPr>
              <w:fldChar w:fldCharType="separate"/>
            </w:r>
            <w:r>
              <w:rPr>
                <w:bCs/>
                <w:spacing w:val="6"/>
                <w:sz w:val="24"/>
                <w:u w:val="none"/>
              </w:rPr>
              <w:t>②</w:t>
            </w:r>
            <w:r>
              <w:rPr>
                <w:bCs/>
                <w:spacing w:val="6"/>
                <w:sz w:val="24"/>
                <w:u w:val="none"/>
              </w:rPr>
              <w:fldChar w:fldCharType="end"/>
            </w:r>
            <w:r>
              <w:rPr>
                <w:bCs/>
                <w:spacing w:val="6"/>
                <w:sz w:val="24"/>
                <w:u w:val="none"/>
              </w:rPr>
              <w:t>营运期：在正常情况下，风机运行不会产生生产废水</w:t>
            </w:r>
            <w:r>
              <w:rPr>
                <w:rFonts w:hint="eastAsia"/>
                <w:bCs/>
                <w:spacing w:val="6"/>
                <w:sz w:val="24"/>
                <w:u w:val="none"/>
              </w:rPr>
              <w:t>，</w:t>
            </w:r>
            <w:r>
              <w:rPr>
                <w:bCs/>
                <w:spacing w:val="6"/>
                <w:sz w:val="24"/>
                <w:u w:val="none"/>
              </w:rPr>
              <w:t>营运期生活污水经化粪池预处理后，</w:t>
            </w:r>
            <w:r>
              <w:rPr>
                <w:rFonts w:hint="eastAsia"/>
                <w:bCs/>
                <w:spacing w:val="6"/>
                <w:sz w:val="24"/>
                <w:u w:val="none"/>
              </w:rPr>
              <w:t>再</w:t>
            </w:r>
            <w:r>
              <w:rPr>
                <w:bCs/>
                <w:spacing w:val="6"/>
                <w:sz w:val="24"/>
                <w:u w:val="none"/>
              </w:rPr>
              <w:t>经一体化污水处理设施处理</w:t>
            </w:r>
            <w:r>
              <w:rPr>
                <w:rFonts w:hint="eastAsia"/>
                <w:bCs/>
                <w:spacing w:val="6"/>
                <w:sz w:val="24"/>
                <w:u w:val="none"/>
              </w:rPr>
              <w:t>后用于绿化</w:t>
            </w:r>
            <w:r>
              <w:rPr>
                <w:bCs/>
                <w:spacing w:val="6"/>
                <w:sz w:val="24"/>
                <w:u w:val="none"/>
              </w:rPr>
              <w:t>，不外排。</w:t>
            </w:r>
          </w:p>
          <w:p w14:paraId="079219AB">
            <w:pPr>
              <w:spacing w:line="360" w:lineRule="auto"/>
              <w:ind w:firstLine="504" w:firstLineChars="200"/>
              <w:rPr>
                <w:bCs/>
                <w:color w:val="FF0000"/>
                <w:spacing w:val="6"/>
                <w:sz w:val="24"/>
                <w:u w:val="none"/>
              </w:rPr>
            </w:pPr>
            <w:r>
              <w:rPr>
                <w:rFonts w:hint="eastAsia"/>
                <w:bCs/>
                <w:color w:val="FF0000"/>
                <w:spacing w:val="6"/>
                <w:sz w:val="24"/>
                <w:u w:val="none"/>
              </w:rPr>
              <w:t>施工期对施工区周边</w:t>
            </w:r>
            <w:r>
              <w:rPr>
                <w:rFonts w:hint="eastAsia"/>
                <w:bCs/>
                <w:color w:val="FF0000"/>
                <w:spacing w:val="6"/>
                <w:sz w:val="24"/>
                <w:u w:val="none"/>
                <w:lang w:val="en-US" w:eastAsia="zh-CN"/>
              </w:rPr>
              <w:t>凉水冲水库、杨梅岭水库、东山冲水库、芷江水库、龙塘里水库开展至少一次监测</w:t>
            </w:r>
            <w:r>
              <w:rPr>
                <w:rFonts w:hint="eastAsia"/>
                <w:bCs/>
                <w:color w:val="FF0000"/>
                <w:spacing w:val="6"/>
                <w:sz w:val="24"/>
                <w:u w:val="none"/>
                <w:lang w:eastAsia="zh-CN"/>
              </w:rPr>
              <w:t>，</w:t>
            </w:r>
            <w:r>
              <w:rPr>
                <w:bCs/>
                <w:color w:val="FF0000"/>
                <w:spacing w:val="6"/>
                <w:sz w:val="24"/>
                <w:u w:val="none"/>
              </w:rPr>
              <w:t>水质监测项目为pH值、SS、粪大肠菌群、CODcr、BOD</w:t>
            </w:r>
            <w:r>
              <w:rPr>
                <w:bCs/>
                <w:color w:val="FF0000"/>
                <w:spacing w:val="6"/>
                <w:sz w:val="24"/>
                <w:u w:val="none"/>
                <w:vertAlign w:val="subscript"/>
              </w:rPr>
              <w:t>5</w:t>
            </w:r>
            <w:r>
              <w:rPr>
                <w:bCs/>
                <w:color w:val="FF0000"/>
                <w:spacing w:val="6"/>
                <w:sz w:val="24"/>
                <w:u w:val="none"/>
              </w:rPr>
              <w:t>、总氮、总磷、氨氮、石油类等9项。监测方法按照《环境监测技术规范》和《地表水环境质量标准》（GB3838-2002）等相关规范标准进行。</w:t>
            </w:r>
          </w:p>
          <w:p w14:paraId="7DE84F85">
            <w:pPr>
              <w:autoSpaceDE w:val="0"/>
              <w:spacing w:line="360" w:lineRule="auto"/>
              <w:ind w:firstLine="480" w:firstLineChars="200"/>
              <w:rPr>
                <w:sz w:val="24"/>
                <w:u w:val="none"/>
              </w:rPr>
            </w:pPr>
            <w:bookmarkStart w:id="317" w:name="_Toc288736237"/>
            <w:bookmarkStart w:id="318" w:name="_Toc345395933"/>
            <w:bookmarkStart w:id="319" w:name="_Toc288747704"/>
            <w:r>
              <w:rPr>
                <w:sz w:val="24"/>
                <w:u w:val="none"/>
              </w:rPr>
              <w:t>（3）声环境监测</w:t>
            </w:r>
            <w:bookmarkEnd w:id="317"/>
            <w:bookmarkEnd w:id="318"/>
            <w:bookmarkEnd w:id="319"/>
          </w:p>
          <w:p w14:paraId="1DBB31B3">
            <w:pPr>
              <w:spacing w:line="360" w:lineRule="auto"/>
              <w:ind w:firstLine="504" w:firstLineChars="200"/>
              <w:rPr>
                <w:bCs/>
                <w:color w:val="FF0000"/>
                <w:spacing w:val="6"/>
                <w:sz w:val="24"/>
                <w:u w:val="none"/>
              </w:rPr>
            </w:pPr>
            <w:r>
              <w:rPr>
                <w:bCs/>
                <w:color w:val="FF0000"/>
                <w:spacing w:val="6"/>
                <w:sz w:val="24"/>
                <w:u w:val="none"/>
              </w:rPr>
              <w:fldChar w:fldCharType="begin"/>
            </w:r>
            <w:r>
              <w:rPr>
                <w:bCs/>
                <w:color w:val="FF0000"/>
                <w:spacing w:val="6"/>
                <w:sz w:val="24"/>
                <w:u w:val="none"/>
              </w:rPr>
              <w:instrText xml:space="preserve"> = 1 \* GB3 \* MERGEFORMAT </w:instrText>
            </w:r>
            <w:r>
              <w:rPr>
                <w:bCs/>
                <w:color w:val="FF0000"/>
                <w:spacing w:val="6"/>
                <w:sz w:val="24"/>
                <w:u w:val="none"/>
              </w:rPr>
              <w:fldChar w:fldCharType="separate"/>
            </w:r>
            <w:r>
              <w:rPr>
                <w:bCs/>
                <w:color w:val="FF0000"/>
                <w:spacing w:val="6"/>
                <w:sz w:val="24"/>
                <w:u w:val="none"/>
              </w:rPr>
              <w:t>①</w:t>
            </w:r>
            <w:r>
              <w:rPr>
                <w:bCs/>
                <w:color w:val="FF0000"/>
                <w:spacing w:val="6"/>
                <w:sz w:val="24"/>
                <w:u w:val="none"/>
              </w:rPr>
              <w:fldChar w:fldCharType="end"/>
            </w:r>
            <w:r>
              <w:rPr>
                <w:bCs/>
                <w:color w:val="FF0000"/>
                <w:spacing w:val="6"/>
                <w:sz w:val="24"/>
                <w:u w:val="none"/>
              </w:rPr>
              <w:t>施工期：根据施工进度、噪声源的分布状况，设定噪声监测点。环境噪声监测共设风电场边界、机组施工区、</w:t>
            </w:r>
            <w:r>
              <w:rPr>
                <w:rFonts w:hint="eastAsia" w:hAnsi="宋体"/>
                <w:color w:val="FF0000"/>
                <w:sz w:val="24"/>
                <w:lang w:val="en-US" w:eastAsia="zh-CN"/>
              </w:rPr>
              <w:t>乌龟冲、大屋岭、下石岭、刘家湾和泉岭村</w:t>
            </w:r>
            <w:r>
              <w:rPr>
                <w:rFonts w:hint="eastAsia"/>
                <w:bCs/>
                <w:color w:val="FF0000"/>
                <w:spacing w:val="6"/>
                <w:sz w:val="24"/>
                <w:u w:val="none"/>
                <w:lang w:val="en-US" w:eastAsia="zh-CN"/>
              </w:rPr>
              <w:t>居民点</w:t>
            </w:r>
            <w:r>
              <w:rPr>
                <w:bCs/>
                <w:color w:val="FF0000"/>
                <w:spacing w:val="6"/>
                <w:sz w:val="24"/>
                <w:u w:val="none"/>
              </w:rPr>
              <w:t>，监测因子为Leq（A）。工程施工期间，每年各季度监测1天，每一测点仅在昼间测量。监测方法按照《环境监测技术规范》和《声环境质量标准》（GB3096-2008）等相关规范标准进行。</w:t>
            </w:r>
          </w:p>
          <w:p w14:paraId="6F10C15A">
            <w:pPr>
              <w:spacing w:line="360" w:lineRule="auto"/>
              <w:ind w:firstLine="504" w:firstLineChars="200"/>
              <w:rPr>
                <w:sz w:val="24"/>
                <w:u w:val="none"/>
              </w:rPr>
            </w:pPr>
            <w:r>
              <w:rPr>
                <w:bCs/>
                <w:spacing w:val="6"/>
                <w:sz w:val="24"/>
                <w:u w:val="none"/>
              </w:rPr>
              <w:fldChar w:fldCharType="begin"/>
            </w:r>
            <w:r>
              <w:rPr>
                <w:bCs/>
                <w:spacing w:val="6"/>
                <w:sz w:val="24"/>
                <w:u w:val="none"/>
              </w:rPr>
              <w:instrText xml:space="preserve"> = 2 \* GB3 \* MERGEFORMAT </w:instrText>
            </w:r>
            <w:r>
              <w:rPr>
                <w:bCs/>
                <w:spacing w:val="6"/>
                <w:sz w:val="24"/>
                <w:u w:val="none"/>
              </w:rPr>
              <w:fldChar w:fldCharType="separate"/>
            </w:r>
            <w:r>
              <w:rPr>
                <w:bCs/>
                <w:spacing w:val="6"/>
                <w:sz w:val="24"/>
                <w:u w:val="none"/>
              </w:rPr>
              <w:t>②</w:t>
            </w:r>
            <w:r>
              <w:rPr>
                <w:bCs/>
                <w:spacing w:val="6"/>
                <w:sz w:val="24"/>
                <w:u w:val="none"/>
              </w:rPr>
              <w:fldChar w:fldCharType="end"/>
            </w:r>
            <w:r>
              <w:rPr>
                <w:bCs/>
                <w:spacing w:val="6"/>
                <w:sz w:val="24"/>
                <w:u w:val="none"/>
              </w:rPr>
              <w:t>营运期：环境噪声监测点设在风电场边界、</w:t>
            </w:r>
            <w:r>
              <w:rPr>
                <w:rFonts w:hint="eastAsia"/>
                <w:bCs/>
                <w:spacing w:val="6"/>
                <w:sz w:val="24"/>
                <w:u w:val="none"/>
              </w:rPr>
              <w:t>升压</w:t>
            </w:r>
            <w:r>
              <w:rPr>
                <w:bCs/>
                <w:spacing w:val="6"/>
                <w:sz w:val="24"/>
                <w:u w:val="none"/>
              </w:rPr>
              <w:t>站、</w:t>
            </w:r>
            <w:r>
              <w:rPr>
                <w:rFonts w:hint="eastAsia"/>
                <w:bCs/>
                <w:spacing w:val="6"/>
                <w:sz w:val="24"/>
                <w:u w:val="none"/>
              </w:rPr>
              <w:t>风机</w:t>
            </w:r>
            <w:r>
              <w:rPr>
                <w:bCs/>
                <w:spacing w:val="6"/>
                <w:sz w:val="24"/>
                <w:u w:val="none"/>
              </w:rPr>
              <w:t>500</w:t>
            </w:r>
            <w:r>
              <w:rPr>
                <w:rFonts w:hint="eastAsia"/>
                <w:bCs/>
                <w:spacing w:val="6"/>
                <w:sz w:val="24"/>
                <w:u w:val="none"/>
              </w:rPr>
              <w:t>m内居</w:t>
            </w:r>
            <w:r>
              <w:rPr>
                <w:sz w:val="24"/>
                <w:u w:val="none"/>
              </w:rPr>
              <w:t>民点</w:t>
            </w:r>
            <w:r>
              <w:rPr>
                <w:bCs/>
                <w:spacing w:val="6"/>
                <w:sz w:val="24"/>
                <w:u w:val="none"/>
              </w:rPr>
              <w:t>，监测因子为Leq（A），并且进行昼间和夜间测量。每年各季度监测1天。监测方法按照《环境监测技术规范》和《声环境质量标准》（GB3096-2008）等相关规范标准进行。</w:t>
            </w:r>
          </w:p>
          <w:p w14:paraId="0B9B2965">
            <w:pPr>
              <w:autoSpaceDE w:val="0"/>
              <w:spacing w:line="360" w:lineRule="auto"/>
              <w:ind w:firstLine="480" w:firstLineChars="200"/>
              <w:rPr>
                <w:sz w:val="24"/>
                <w:u w:val="none"/>
              </w:rPr>
            </w:pPr>
            <w:r>
              <w:rPr>
                <w:sz w:val="24"/>
                <w:u w:val="none"/>
              </w:rPr>
              <w:t>（4）电磁场监测</w:t>
            </w:r>
          </w:p>
          <w:p w14:paraId="72984A2C">
            <w:pPr>
              <w:autoSpaceDE w:val="0"/>
              <w:spacing w:line="360" w:lineRule="auto"/>
              <w:ind w:firstLine="480" w:firstLineChars="200"/>
              <w:rPr>
                <w:sz w:val="24"/>
                <w:u w:val="none"/>
              </w:rPr>
            </w:pPr>
            <w:r>
              <w:rPr>
                <w:sz w:val="24"/>
                <w:u w:val="none"/>
              </w:rPr>
              <w:t>施工期：本项目施工期无电磁辐射产生，故施工期不设电磁辐射监测点。</w:t>
            </w:r>
          </w:p>
          <w:p w14:paraId="3A598DA4">
            <w:pPr>
              <w:spacing w:line="360" w:lineRule="auto"/>
              <w:ind w:firstLine="480" w:firstLineChars="200"/>
              <w:rPr>
                <w:bCs/>
                <w:spacing w:val="6"/>
                <w:sz w:val="24"/>
                <w:u w:val="none"/>
              </w:rPr>
            </w:pPr>
            <w:r>
              <w:rPr>
                <w:sz w:val="24"/>
                <w:u w:val="none"/>
              </w:rPr>
              <w:t>运营期：本工程完成后，正式投产后第一年结合竣工环境保护验收监测一次。按相关规范在升压站围墙外进行电场强度、磁感应强度监测。</w:t>
            </w:r>
          </w:p>
          <w:p w14:paraId="449BC7ED">
            <w:pPr>
              <w:spacing w:line="360" w:lineRule="auto"/>
              <w:ind w:firstLine="480" w:firstLineChars="200"/>
              <w:rPr>
                <w:sz w:val="24"/>
              </w:rPr>
            </w:pPr>
            <w:r>
              <w:rPr>
                <w:rFonts w:hint="eastAsia"/>
                <w:sz w:val="24"/>
              </w:rPr>
              <w:t>本项目监测计划汇总表见表5</w:t>
            </w:r>
            <w:r>
              <w:rPr>
                <w:sz w:val="24"/>
              </w:rPr>
              <w:t>-</w:t>
            </w:r>
            <w:r>
              <w:rPr>
                <w:rFonts w:hint="eastAsia"/>
                <w:sz w:val="24"/>
                <w:lang w:val="en-US" w:eastAsia="zh-CN"/>
              </w:rPr>
              <w:t>3</w:t>
            </w:r>
            <w:r>
              <w:rPr>
                <w:rFonts w:hint="eastAsia"/>
                <w:sz w:val="24"/>
              </w:rPr>
              <w:t>。</w:t>
            </w:r>
          </w:p>
          <w:p w14:paraId="26590C1E">
            <w:pPr>
              <w:spacing w:line="240" w:lineRule="auto"/>
              <w:jc w:val="center"/>
              <w:rPr>
                <w:b/>
                <w:bCs/>
                <w:color w:val="FF0000"/>
                <w:szCs w:val="21"/>
              </w:rPr>
            </w:pPr>
            <w:r>
              <w:rPr>
                <w:rFonts w:hint="eastAsia"/>
                <w:b/>
                <w:bCs/>
                <w:color w:val="FF0000"/>
                <w:szCs w:val="21"/>
              </w:rPr>
              <w:t>表5-</w:t>
            </w:r>
            <w:r>
              <w:rPr>
                <w:rFonts w:hint="eastAsia"/>
                <w:b/>
                <w:bCs/>
                <w:color w:val="FF0000"/>
                <w:szCs w:val="21"/>
                <w:lang w:val="en-US" w:eastAsia="zh-CN"/>
              </w:rPr>
              <w:t xml:space="preserve">3  </w:t>
            </w:r>
            <w:r>
              <w:rPr>
                <w:rFonts w:hint="eastAsia"/>
                <w:b/>
                <w:bCs/>
                <w:color w:val="FF0000"/>
                <w:szCs w:val="21"/>
              </w:rPr>
              <w:t>监测计划汇总表</w:t>
            </w:r>
          </w:p>
          <w:tbl>
            <w:tblPr>
              <w:tblStyle w:val="32"/>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118"/>
              <w:gridCol w:w="2191"/>
              <w:gridCol w:w="1465"/>
              <w:gridCol w:w="2575"/>
            </w:tblGrid>
            <w:tr w14:paraId="7C9DB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top w:val="single" w:color="auto" w:sz="12" w:space="0"/>
                    <w:left w:val="nil"/>
                  </w:tcBorders>
                  <w:vAlign w:val="center"/>
                </w:tcPr>
                <w:p w14:paraId="1525AF70">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要素</w:t>
                  </w:r>
                </w:p>
              </w:tc>
              <w:tc>
                <w:tcPr>
                  <w:tcW w:w="659" w:type="pct"/>
                  <w:tcBorders>
                    <w:top w:val="single" w:color="auto" w:sz="12" w:space="0"/>
                  </w:tcBorders>
                  <w:vAlign w:val="center"/>
                </w:tcPr>
                <w:p w14:paraId="7F6DAF21">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阶段</w:t>
                  </w:r>
                </w:p>
              </w:tc>
              <w:tc>
                <w:tcPr>
                  <w:tcW w:w="1292" w:type="pct"/>
                  <w:tcBorders>
                    <w:top w:val="single" w:color="auto" w:sz="12" w:space="0"/>
                  </w:tcBorders>
                  <w:vAlign w:val="center"/>
                </w:tcPr>
                <w:p w14:paraId="18554AE0">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监测地点</w:t>
                  </w:r>
                </w:p>
              </w:tc>
              <w:tc>
                <w:tcPr>
                  <w:tcW w:w="864" w:type="pct"/>
                  <w:tcBorders>
                    <w:top w:val="single" w:color="auto" w:sz="12" w:space="0"/>
                  </w:tcBorders>
                  <w:vAlign w:val="center"/>
                </w:tcPr>
                <w:p w14:paraId="48AB603E">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监测项目</w:t>
                  </w:r>
                </w:p>
              </w:tc>
              <w:tc>
                <w:tcPr>
                  <w:tcW w:w="1518" w:type="pct"/>
                  <w:tcBorders>
                    <w:top w:val="single" w:color="auto" w:sz="12" w:space="0"/>
                    <w:right w:val="nil"/>
                  </w:tcBorders>
                  <w:vAlign w:val="center"/>
                </w:tcPr>
                <w:p w14:paraId="586BEC50">
                  <w:pPr>
                    <w:pStyle w:val="51"/>
                    <w:ind w:firstLine="0" w:firstLineChars="0"/>
                    <w:rPr>
                      <w:rFonts w:ascii="Times New Roman" w:hAnsi="Times New Roman" w:eastAsia="宋体" w:cs="Times New Roman"/>
                      <w:b w:val="0"/>
                      <w:bCs w:val="0"/>
                      <w:kern w:val="0"/>
                      <w:sz w:val="21"/>
                      <w:szCs w:val="21"/>
                      <w:u w:val="none"/>
                      <w:lang w:val="en-US" w:eastAsia="zh-CN" w:bidi="ar-SA"/>
                    </w:rPr>
                  </w:pPr>
                  <w:r>
                    <w:rPr>
                      <w:b w:val="0"/>
                      <w:bCs w:val="0"/>
                      <w:sz w:val="21"/>
                      <w:u w:val="none"/>
                    </w:rPr>
                    <w:t>监测频次</w:t>
                  </w:r>
                </w:p>
              </w:tc>
            </w:tr>
            <w:tr w14:paraId="6162F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left w:val="nil"/>
                  </w:tcBorders>
                  <w:vAlign w:val="center"/>
                </w:tcPr>
                <w:p w14:paraId="145988FD">
                  <w:pPr>
                    <w:pStyle w:val="51"/>
                    <w:ind w:firstLine="0" w:firstLineChars="0"/>
                    <w:rPr>
                      <w:b/>
                      <w:bCs/>
                      <w:sz w:val="21"/>
                      <w:u w:val="none"/>
                    </w:rPr>
                  </w:pPr>
                  <w:r>
                    <w:rPr>
                      <w:bCs/>
                      <w:sz w:val="21"/>
                      <w:u w:val="none"/>
                    </w:rPr>
                    <w:t>生态环境监测</w:t>
                  </w:r>
                </w:p>
              </w:tc>
              <w:tc>
                <w:tcPr>
                  <w:tcW w:w="659" w:type="pct"/>
                  <w:vAlign w:val="center"/>
                </w:tcPr>
                <w:p w14:paraId="2DB48064">
                  <w:pPr>
                    <w:pStyle w:val="51"/>
                    <w:ind w:firstLine="0" w:firstLineChars="0"/>
                    <w:rPr>
                      <w:b/>
                      <w:bCs/>
                      <w:sz w:val="21"/>
                      <w:u w:val="none"/>
                    </w:rPr>
                  </w:pPr>
                  <w:r>
                    <w:rPr>
                      <w:rFonts w:hint="eastAsia"/>
                      <w:bCs/>
                      <w:sz w:val="21"/>
                      <w:u w:val="none"/>
                    </w:rPr>
                    <w:t>施工期、</w:t>
                  </w:r>
                  <w:r>
                    <w:rPr>
                      <w:bCs/>
                      <w:sz w:val="21"/>
                      <w:u w:val="none"/>
                    </w:rPr>
                    <w:t>营运期</w:t>
                  </w:r>
                </w:p>
              </w:tc>
              <w:tc>
                <w:tcPr>
                  <w:tcW w:w="1292" w:type="pct"/>
                  <w:vAlign w:val="center"/>
                </w:tcPr>
                <w:p w14:paraId="706C0708">
                  <w:pPr>
                    <w:pStyle w:val="51"/>
                    <w:ind w:firstLine="0" w:firstLineChars="0"/>
                    <w:rPr>
                      <w:b/>
                      <w:bCs/>
                      <w:sz w:val="21"/>
                      <w:u w:val="none"/>
                    </w:rPr>
                  </w:pPr>
                  <w:r>
                    <w:rPr>
                      <w:sz w:val="21"/>
                      <w:u w:val="none"/>
                    </w:rPr>
                    <w:t>风机基础及箱变基础区、集电线路区、升压站区、施工道路区、施工生产生活区、弃渣场区、表土堆存场区</w:t>
                  </w:r>
                </w:p>
              </w:tc>
              <w:tc>
                <w:tcPr>
                  <w:tcW w:w="864" w:type="pct"/>
                  <w:vAlign w:val="center"/>
                </w:tcPr>
                <w:p w14:paraId="2B01BA7F">
                  <w:pPr>
                    <w:pStyle w:val="51"/>
                    <w:ind w:firstLine="0" w:firstLineChars="0"/>
                    <w:rPr>
                      <w:b/>
                      <w:bCs/>
                      <w:sz w:val="21"/>
                      <w:u w:val="none"/>
                    </w:rPr>
                  </w:pPr>
                  <w:r>
                    <w:rPr>
                      <w:bCs/>
                      <w:sz w:val="21"/>
                      <w:u w:val="none"/>
                    </w:rPr>
                    <w:t>植物监测、动物监测</w:t>
                  </w:r>
                </w:p>
              </w:tc>
              <w:tc>
                <w:tcPr>
                  <w:tcW w:w="1518" w:type="pct"/>
                  <w:tcBorders>
                    <w:right w:val="nil"/>
                  </w:tcBorders>
                  <w:vAlign w:val="center"/>
                </w:tcPr>
                <w:p w14:paraId="6B878782">
                  <w:pPr>
                    <w:pStyle w:val="51"/>
                    <w:ind w:firstLine="0" w:firstLineChars="0"/>
                    <w:rPr>
                      <w:b/>
                      <w:bCs/>
                      <w:sz w:val="21"/>
                      <w:u w:val="none"/>
                    </w:rPr>
                  </w:pPr>
                  <w:r>
                    <w:rPr>
                      <w:sz w:val="21"/>
                      <w:u w:val="none"/>
                    </w:rPr>
                    <w:t>施工前监测1次、施工期监测1次，施工结束后第1、5年各进行1期</w:t>
                  </w:r>
                </w:p>
              </w:tc>
            </w:tr>
            <w:tr w14:paraId="303E1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left w:val="nil"/>
                  </w:tcBorders>
                  <w:vAlign w:val="center"/>
                </w:tcPr>
                <w:p w14:paraId="63CDD4AA">
                  <w:pPr>
                    <w:pStyle w:val="51"/>
                    <w:ind w:firstLine="0" w:firstLineChars="0"/>
                    <w:rPr>
                      <w:bCs/>
                      <w:sz w:val="21"/>
                      <w:u w:val="none"/>
                    </w:rPr>
                  </w:pPr>
                  <w:r>
                    <w:rPr>
                      <w:bCs/>
                      <w:sz w:val="21"/>
                      <w:u w:val="none"/>
                    </w:rPr>
                    <w:t>环境空气</w:t>
                  </w:r>
                </w:p>
              </w:tc>
              <w:tc>
                <w:tcPr>
                  <w:tcW w:w="659" w:type="pct"/>
                  <w:vAlign w:val="center"/>
                </w:tcPr>
                <w:p w14:paraId="7E8D41DE">
                  <w:pPr>
                    <w:pStyle w:val="51"/>
                    <w:ind w:firstLine="0" w:firstLineChars="0"/>
                    <w:rPr>
                      <w:bCs/>
                      <w:sz w:val="21"/>
                      <w:u w:val="none"/>
                    </w:rPr>
                  </w:pPr>
                  <w:r>
                    <w:rPr>
                      <w:bCs/>
                      <w:sz w:val="21"/>
                      <w:u w:val="none"/>
                    </w:rPr>
                    <w:t>施工期</w:t>
                  </w:r>
                </w:p>
              </w:tc>
              <w:tc>
                <w:tcPr>
                  <w:tcW w:w="1292" w:type="pct"/>
                  <w:vAlign w:val="center"/>
                </w:tcPr>
                <w:p w14:paraId="5A35AFB6">
                  <w:pPr>
                    <w:pStyle w:val="51"/>
                    <w:ind w:firstLine="0" w:firstLineChars="0"/>
                    <w:rPr>
                      <w:bCs/>
                      <w:sz w:val="21"/>
                      <w:u w:val="none"/>
                    </w:rPr>
                  </w:pPr>
                  <w:r>
                    <w:rPr>
                      <w:rFonts w:hint="eastAsia"/>
                      <w:bCs/>
                      <w:sz w:val="21"/>
                      <w:u w:val="none"/>
                      <w:lang w:val="en-US" w:eastAsia="zh-CN"/>
                    </w:rPr>
                    <w:t>乌龟冲、大屋岭、下石岭、刘家湾和泉岭村居民点</w:t>
                  </w:r>
                </w:p>
              </w:tc>
              <w:tc>
                <w:tcPr>
                  <w:tcW w:w="864" w:type="pct"/>
                  <w:vAlign w:val="center"/>
                </w:tcPr>
                <w:p w14:paraId="01F74D23">
                  <w:pPr>
                    <w:pStyle w:val="51"/>
                    <w:ind w:firstLine="0" w:firstLineChars="0"/>
                    <w:rPr>
                      <w:bCs/>
                      <w:sz w:val="21"/>
                      <w:u w:val="none"/>
                    </w:rPr>
                  </w:pPr>
                  <w:r>
                    <w:rPr>
                      <w:bCs/>
                      <w:sz w:val="21"/>
                      <w:u w:val="none"/>
                    </w:rPr>
                    <w:t>TSP、NO</w:t>
                  </w:r>
                  <w:r>
                    <w:rPr>
                      <w:rFonts w:hint="eastAsia"/>
                      <w:bCs/>
                      <w:sz w:val="21"/>
                      <w:u w:val="none"/>
                      <w:vertAlign w:val="subscript"/>
                    </w:rPr>
                    <w:t>x</w:t>
                  </w:r>
                </w:p>
              </w:tc>
              <w:tc>
                <w:tcPr>
                  <w:tcW w:w="1518" w:type="pct"/>
                  <w:tcBorders>
                    <w:right w:val="nil"/>
                  </w:tcBorders>
                  <w:vAlign w:val="center"/>
                </w:tcPr>
                <w:p w14:paraId="03D6E315">
                  <w:pPr>
                    <w:pStyle w:val="51"/>
                    <w:ind w:firstLine="0" w:firstLineChars="0"/>
                    <w:rPr>
                      <w:bCs/>
                      <w:sz w:val="21"/>
                      <w:u w:val="none"/>
                    </w:rPr>
                  </w:pPr>
                  <w:r>
                    <w:rPr>
                      <w:bCs/>
                      <w:sz w:val="21"/>
                      <w:u w:val="none"/>
                    </w:rPr>
                    <w:t>1次/</w:t>
                  </w:r>
                  <w:r>
                    <w:rPr>
                      <w:rFonts w:hint="eastAsia"/>
                      <w:bCs/>
                      <w:sz w:val="21"/>
                      <w:u w:val="none"/>
                    </w:rPr>
                    <w:t>半</w:t>
                  </w:r>
                  <w:r>
                    <w:rPr>
                      <w:bCs/>
                      <w:sz w:val="21"/>
                      <w:u w:val="none"/>
                    </w:rPr>
                    <w:t>年</w:t>
                  </w:r>
                </w:p>
              </w:tc>
            </w:tr>
            <w:tr w14:paraId="51383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tcBorders>
                    <w:left w:val="nil"/>
                  </w:tcBorders>
                  <w:vAlign w:val="center"/>
                </w:tcPr>
                <w:p w14:paraId="54AB8A43">
                  <w:pPr>
                    <w:pStyle w:val="51"/>
                    <w:ind w:firstLine="0" w:firstLineChars="0"/>
                    <w:rPr>
                      <w:bCs/>
                      <w:sz w:val="21"/>
                      <w:u w:val="none"/>
                    </w:rPr>
                  </w:pPr>
                  <w:r>
                    <w:rPr>
                      <w:bCs/>
                      <w:sz w:val="21"/>
                      <w:u w:val="none"/>
                    </w:rPr>
                    <w:t>水环境</w:t>
                  </w:r>
                </w:p>
              </w:tc>
              <w:tc>
                <w:tcPr>
                  <w:tcW w:w="659" w:type="pct"/>
                  <w:vAlign w:val="center"/>
                </w:tcPr>
                <w:p w14:paraId="565F0B08">
                  <w:pPr>
                    <w:pStyle w:val="51"/>
                    <w:ind w:firstLine="0" w:firstLineChars="0"/>
                    <w:rPr>
                      <w:bCs/>
                      <w:sz w:val="21"/>
                      <w:u w:val="none"/>
                    </w:rPr>
                  </w:pPr>
                  <w:r>
                    <w:rPr>
                      <w:bCs/>
                      <w:sz w:val="21"/>
                      <w:u w:val="none"/>
                    </w:rPr>
                    <w:t>施工期</w:t>
                  </w:r>
                </w:p>
              </w:tc>
              <w:tc>
                <w:tcPr>
                  <w:tcW w:w="1292" w:type="pct"/>
                  <w:vAlign w:val="center"/>
                </w:tcPr>
                <w:p w14:paraId="1500C225">
                  <w:pPr>
                    <w:pStyle w:val="51"/>
                    <w:ind w:firstLine="0" w:firstLineChars="0"/>
                    <w:rPr>
                      <w:rFonts w:hint="default" w:eastAsia="宋体"/>
                      <w:bCs/>
                      <w:sz w:val="21"/>
                      <w:u w:val="none"/>
                      <w:lang w:val="en-US" w:eastAsia="zh-CN"/>
                    </w:rPr>
                  </w:pPr>
                  <w:r>
                    <w:rPr>
                      <w:rFonts w:hint="eastAsia"/>
                      <w:bCs/>
                      <w:sz w:val="21"/>
                      <w:u w:val="none"/>
                      <w:lang w:val="en-US" w:eastAsia="zh-CN"/>
                    </w:rPr>
                    <w:t>凉水冲水库</w:t>
                  </w:r>
                </w:p>
              </w:tc>
              <w:tc>
                <w:tcPr>
                  <w:tcW w:w="864" w:type="pct"/>
                  <w:vAlign w:val="center"/>
                </w:tcPr>
                <w:p w14:paraId="3C6216A7">
                  <w:pPr>
                    <w:pStyle w:val="51"/>
                    <w:ind w:firstLine="0" w:firstLineChars="0"/>
                    <w:rPr>
                      <w:bCs/>
                      <w:sz w:val="21"/>
                      <w:u w:val="none"/>
                    </w:rPr>
                  </w:pPr>
                  <w:r>
                    <w:rPr>
                      <w:bCs/>
                      <w:sz w:val="21"/>
                      <w:u w:val="none"/>
                    </w:rPr>
                    <w:t>pH值、SS、粪大肠菌群、CODcr、BOD</w:t>
                  </w:r>
                  <w:r>
                    <w:rPr>
                      <w:bCs/>
                      <w:sz w:val="21"/>
                      <w:u w:val="none"/>
                      <w:vertAlign w:val="subscript"/>
                    </w:rPr>
                    <w:t>5</w:t>
                  </w:r>
                  <w:r>
                    <w:rPr>
                      <w:bCs/>
                      <w:sz w:val="21"/>
                      <w:u w:val="none"/>
                    </w:rPr>
                    <w:t>、总氮、总磷、氨氮、石油类</w:t>
                  </w:r>
                </w:p>
              </w:tc>
              <w:tc>
                <w:tcPr>
                  <w:tcW w:w="1518" w:type="pct"/>
                  <w:tcBorders>
                    <w:right w:val="nil"/>
                  </w:tcBorders>
                  <w:vAlign w:val="center"/>
                </w:tcPr>
                <w:p w14:paraId="48C1B74C">
                  <w:pPr>
                    <w:pStyle w:val="51"/>
                    <w:ind w:firstLine="0" w:firstLineChars="0"/>
                    <w:rPr>
                      <w:bCs/>
                      <w:sz w:val="21"/>
                      <w:u w:val="none"/>
                    </w:rPr>
                  </w:pPr>
                  <w:r>
                    <w:rPr>
                      <w:rFonts w:hint="eastAsia"/>
                      <w:bCs/>
                      <w:sz w:val="21"/>
                      <w:u w:val="none"/>
                    </w:rPr>
                    <w:t>监测1年，</w:t>
                  </w:r>
                  <w:r>
                    <w:rPr>
                      <w:bCs/>
                      <w:sz w:val="21"/>
                      <w:u w:val="none"/>
                    </w:rPr>
                    <w:t>1次</w:t>
                  </w:r>
                  <w:r>
                    <w:rPr>
                      <w:rFonts w:hint="eastAsia"/>
                      <w:bCs/>
                      <w:sz w:val="21"/>
                      <w:u w:val="none"/>
                    </w:rPr>
                    <w:t>/半年</w:t>
                  </w:r>
                </w:p>
              </w:tc>
            </w:tr>
            <w:tr w14:paraId="0190F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vMerge w:val="restart"/>
                  <w:tcBorders>
                    <w:left w:val="nil"/>
                  </w:tcBorders>
                  <w:vAlign w:val="center"/>
                </w:tcPr>
                <w:p w14:paraId="3784D321">
                  <w:pPr>
                    <w:pStyle w:val="51"/>
                    <w:ind w:firstLine="0" w:firstLineChars="0"/>
                    <w:rPr>
                      <w:bCs/>
                      <w:sz w:val="21"/>
                      <w:u w:val="none"/>
                    </w:rPr>
                  </w:pPr>
                  <w:r>
                    <w:rPr>
                      <w:bCs/>
                      <w:sz w:val="21"/>
                      <w:u w:val="none"/>
                    </w:rPr>
                    <w:t>环境噪声</w:t>
                  </w:r>
                </w:p>
              </w:tc>
              <w:tc>
                <w:tcPr>
                  <w:tcW w:w="659" w:type="pct"/>
                  <w:vAlign w:val="center"/>
                </w:tcPr>
                <w:p w14:paraId="5D462947">
                  <w:pPr>
                    <w:pStyle w:val="51"/>
                    <w:ind w:firstLine="0" w:firstLineChars="0"/>
                    <w:rPr>
                      <w:bCs/>
                      <w:sz w:val="21"/>
                      <w:u w:val="none"/>
                    </w:rPr>
                  </w:pPr>
                  <w:r>
                    <w:rPr>
                      <w:bCs/>
                      <w:sz w:val="21"/>
                      <w:u w:val="none"/>
                    </w:rPr>
                    <w:t>施工期</w:t>
                  </w:r>
                </w:p>
              </w:tc>
              <w:tc>
                <w:tcPr>
                  <w:tcW w:w="1292" w:type="pct"/>
                  <w:vAlign w:val="center"/>
                </w:tcPr>
                <w:p w14:paraId="3994A6E0">
                  <w:pPr>
                    <w:pStyle w:val="51"/>
                    <w:ind w:firstLine="0" w:firstLineChars="0"/>
                    <w:rPr>
                      <w:bCs/>
                      <w:sz w:val="21"/>
                      <w:u w:val="none"/>
                    </w:rPr>
                  </w:pPr>
                  <w:r>
                    <w:rPr>
                      <w:rFonts w:hint="eastAsia"/>
                      <w:bCs/>
                      <w:color w:val="FF0000"/>
                      <w:spacing w:val="6"/>
                      <w:sz w:val="21"/>
                      <w:szCs w:val="21"/>
                      <w:u w:val="none"/>
                      <w:lang w:val="en-US" w:eastAsia="zh-CN"/>
                    </w:rPr>
                    <w:t>凉水冲水库、杨梅岭水库、东山冲水库、芷江水库、龙塘里水库</w:t>
                  </w:r>
                </w:p>
              </w:tc>
              <w:tc>
                <w:tcPr>
                  <w:tcW w:w="864" w:type="pct"/>
                  <w:vMerge w:val="restart"/>
                  <w:vAlign w:val="center"/>
                </w:tcPr>
                <w:p w14:paraId="25EC2EB5">
                  <w:pPr>
                    <w:pStyle w:val="51"/>
                    <w:ind w:firstLine="0" w:firstLineChars="0"/>
                    <w:rPr>
                      <w:bCs/>
                      <w:sz w:val="21"/>
                      <w:u w:val="none"/>
                    </w:rPr>
                  </w:pPr>
                  <w:r>
                    <w:rPr>
                      <w:bCs/>
                      <w:sz w:val="21"/>
                      <w:u w:val="none"/>
                    </w:rPr>
                    <w:t>Leq（A）</w:t>
                  </w:r>
                </w:p>
              </w:tc>
              <w:tc>
                <w:tcPr>
                  <w:tcW w:w="1518" w:type="pct"/>
                  <w:tcBorders>
                    <w:right w:val="nil"/>
                  </w:tcBorders>
                  <w:vAlign w:val="center"/>
                </w:tcPr>
                <w:p w14:paraId="51B909A5">
                  <w:pPr>
                    <w:pStyle w:val="51"/>
                    <w:ind w:firstLine="0" w:firstLineChars="0"/>
                    <w:rPr>
                      <w:bCs/>
                      <w:sz w:val="21"/>
                      <w:u w:val="none"/>
                    </w:rPr>
                  </w:pPr>
                  <w:r>
                    <w:rPr>
                      <w:bCs/>
                      <w:sz w:val="21"/>
                      <w:u w:val="none"/>
                    </w:rPr>
                    <w:t>监测1年，1次/季，昼夜各监测1次</w:t>
                  </w:r>
                </w:p>
              </w:tc>
            </w:tr>
            <w:tr w14:paraId="6EDF8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65" w:type="pct"/>
                  <w:vMerge w:val="continue"/>
                  <w:tcBorders>
                    <w:left w:val="nil"/>
                    <w:bottom w:val="single" w:color="auto" w:sz="12" w:space="0"/>
                  </w:tcBorders>
                  <w:vAlign w:val="center"/>
                </w:tcPr>
                <w:p w14:paraId="645A8CC4">
                  <w:pPr>
                    <w:pStyle w:val="51"/>
                    <w:ind w:firstLine="0" w:firstLineChars="0"/>
                    <w:rPr>
                      <w:bCs/>
                      <w:sz w:val="21"/>
                      <w:u w:val="none"/>
                    </w:rPr>
                  </w:pPr>
                </w:p>
              </w:tc>
              <w:tc>
                <w:tcPr>
                  <w:tcW w:w="659" w:type="pct"/>
                  <w:tcBorders>
                    <w:bottom w:val="single" w:color="auto" w:sz="12" w:space="0"/>
                  </w:tcBorders>
                  <w:vAlign w:val="center"/>
                </w:tcPr>
                <w:p w14:paraId="03288660">
                  <w:pPr>
                    <w:pStyle w:val="51"/>
                    <w:ind w:firstLine="0" w:firstLineChars="0"/>
                    <w:rPr>
                      <w:bCs/>
                      <w:sz w:val="21"/>
                      <w:u w:val="none"/>
                    </w:rPr>
                  </w:pPr>
                  <w:r>
                    <w:rPr>
                      <w:bCs/>
                      <w:sz w:val="21"/>
                      <w:u w:val="none"/>
                    </w:rPr>
                    <w:t>营运期</w:t>
                  </w:r>
                </w:p>
              </w:tc>
              <w:tc>
                <w:tcPr>
                  <w:tcW w:w="1292" w:type="pct"/>
                  <w:tcBorders>
                    <w:bottom w:val="single" w:color="auto" w:sz="12" w:space="0"/>
                  </w:tcBorders>
                  <w:vAlign w:val="center"/>
                </w:tcPr>
                <w:p w14:paraId="24B9EC12">
                  <w:pPr>
                    <w:jc w:val="center"/>
                    <w:rPr>
                      <w:bCs/>
                      <w:szCs w:val="21"/>
                      <w:u w:val="none"/>
                    </w:rPr>
                  </w:pPr>
                  <w:r>
                    <w:rPr>
                      <w:rFonts w:hint="eastAsia"/>
                      <w:bCs/>
                      <w:szCs w:val="21"/>
                      <w:u w:val="none"/>
                    </w:rPr>
                    <w:t>升压站场界</w:t>
                  </w:r>
                  <w:r>
                    <w:rPr>
                      <w:bCs/>
                      <w:szCs w:val="21"/>
                      <w:u w:val="none"/>
                    </w:rPr>
                    <w:t>、</w:t>
                  </w:r>
                  <w:r>
                    <w:rPr>
                      <w:rFonts w:hint="eastAsia"/>
                      <w:bCs/>
                      <w:szCs w:val="21"/>
                      <w:u w:val="none"/>
                    </w:rPr>
                    <w:t>风机</w:t>
                  </w:r>
                  <w:r>
                    <w:rPr>
                      <w:bCs/>
                      <w:szCs w:val="21"/>
                      <w:u w:val="none"/>
                    </w:rPr>
                    <w:t>500</w:t>
                  </w:r>
                  <w:r>
                    <w:rPr>
                      <w:rFonts w:hint="eastAsia"/>
                      <w:bCs/>
                      <w:szCs w:val="21"/>
                      <w:u w:val="none"/>
                    </w:rPr>
                    <w:t>m内</w:t>
                  </w:r>
                  <w:r>
                    <w:rPr>
                      <w:szCs w:val="21"/>
                      <w:u w:val="none"/>
                    </w:rPr>
                    <w:t>居民点</w:t>
                  </w:r>
                </w:p>
              </w:tc>
              <w:tc>
                <w:tcPr>
                  <w:tcW w:w="864" w:type="pct"/>
                  <w:vMerge w:val="continue"/>
                  <w:tcBorders>
                    <w:bottom w:val="single" w:color="auto" w:sz="12" w:space="0"/>
                  </w:tcBorders>
                  <w:vAlign w:val="center"/>
                </w:tcPr>
                <w:p w14:paraId="2E920D25">
                  <w:pPr>
                    <w:pStyle w:val="51"/>
                    <w:ind w:firstLine="0" w:firstLineChars="0"/>
                    <w:rPr>
                      <w:bCs/>
                      <w:sz w:val="21"/>
                      <w:u w:val="none"/>
                    </w:rPr>
                  </w:pPr>
                </w:p>
              </w:tc>
              <w:tc>
                <w:tcPr>
                  <w:tcW w:w="1518" w:type="pct"/>
                  <w:tcBorders>
                    <w:bottom w:val="single" w:color="auto" w:sz="12" w:space="0"/>
                    <w:right w:val="nil"/>
                  </w:tcBorders>
                  <w:vAlign w:val="center"/>
                </w:tcPr>
                <w:p w14:paraId="56856515">
                  <w:pPr>
                    <w:pStyle w:val="51"/>
                    <w:ind w:firstLine="0" w:firstLineChars="0"/>
                    <w:rPr>
                      <w:bCs/>
                      <w:sz w:val="21"/>
                      <w:u w:val="none"/>
                    </w:rPr>
                  </w:pPr>
                  <w:r>
                    <w:rPr>
                      <w:bCs/>
                      <w:sz w:val="21"/>
                      <w:u w:val="none"/>
                    </w:rPr>
                    <w:t>1次/季，每次监测1天，昼夜各监测1次</w:t>
                  </w:r>
                </w:p>
              </w:tc>
            </w:tr>
          </w:tbl>
          <w:p w14:paraId="160E24D4">
            <w:pPr>
              <w:spacing w:line="336" w:lineRule="auto"/>
              <w:rPr>
                <w:sz w:val="24"/>
              </w:rPr>
            </w:pPr>
          </w:p>
        </w:tc>
      </w:tr>
      <w:tr w14:paraId="361B79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dxa"/>
            <w:vAlign w:val="center"/>
          </w:tcPr>
          <w:p w14:paraId="6B223DAE">
            <w:pPr>
              <w:jc w:val="center"/>
              <w:rPr>
                <w:b/>
                <w:bCs/>
                <w:sz w:val="24"/>
              </w:rPr>
            </w:pPr>
            <w:r>
              <w:rPr>
                <w:rFonts w:hint="eastAsia"/>
                <w:b/>
                <w:bCs/>
                <w:sz w:val="24"/>
              </w:rPr>
              <w:t>其他</w:t>
            </w:r>
          </w:p>
        </w:tc>
        <w:tc>
          <w:tcPr>
            <w:tcW w:w="8346" w:type="dxa"/>
          </w:tcPr>
          <w:p w14:paraId="03C188B4">
            <w:pPr>
              <w:spacing w:line="384" w:lineRule="auto"/>
              <w:ind w:firstLine="480" w:firstLineChars="200"/>
              <w:rPr>
                <w:sz w:val="24"/>
              </w:rPr>
            </w:pPr>
            <w:r>
              <w:rPr>
                <w:rFonts w:hint="eastAsia"/>
                <w:sz w:val="24"/>
              </w:rPr>
              <w:t>无</w:t>
            </w:r>
          </w:p>
        </w:tc>
      </w:tr>
      <w:tr w14:paraId="59BD1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42" w:type="dxa"/>
            <w:vAlign w:val="center"/>
          </w:tcPr>
          <w:p w14:paraId="13F6FE94">
            <w:pPr>
              <w:jc w:val="center"/>
              <w:rPr>
                <w:b/>
                <w:bCs/>
                <w:sz w:val="24"/>
              </w:rPr>
            </w:pPr>
            <w:r>
              <w:rPr>
                <w:rFonts w:hint="eastAsia"/>
                <w:b/>
                <w:bCs/>
                <w:sz w:val="24"/>
              </w:rPr>
              <w:t>环保</w:t>
            </w:r>
          </w:p>
          <w:p w14:paraId="176AD83B">
            <w:pPr>
              <w:jc w:val="center"/>
              <w:rPr>
                <w:b/>
                <w:bCs/>
                <w:sz w:val="24"/>
              </w:rPr>
            </w:pPr>
            <w:r>
              <w:rPr>
                <w:rFonts w:hint="eastAsia"/>
                <w:b/>
                <w:bCs/>
                <w:sz w:val="24"/>
              </w:rPr>
              <w:t>投资</w:t>
            </w:r>
          </w:p>
        </w:tc>
        <w:tc>
          <w:tcPr>
            <w:tcW w:w="8346" w:type="dxa"/>
          </w:tcPr>
          <w:p w14:paraId="5FD75202">
            <w:pPr>
              <w:spacing w:line="360" w:lineRule="auto"/>
              <w:rPr>
                <w:b/>
                <w:bCs/>
                <w:sz w:val="24"/>
              </w:rPr>
            </w:pPr>
            <w:r>
              <w:rPr>
                <w:rFonts w:hint="eastAsia"/>
                <w:b/>
                <w:bCs/>
                <w:sz w:val="24"/>
              </w:rPr>
              <w:t>5</w:t>
            </w:r>
            <w:r>
              <w:rPr>
                <w:b/>
                <w:bCs/>
                <w:sz w:val="24"/>
              </w:rPr>
              <w:t>.15</w:t>
            </w:r>
            <w:r>
              <w:rPr>
                <w:rFonts w:hint="eastAsia"/>
                <w:b/>
                <w:bCs/>
                <w:sz w:val="24"/>
              </w:rPr>
              <w:t>环保投资</w:t>
            </w:r>
          </w:p>
          <w:p w14:paraId="0CF02242">
            <w:pPr>
              <w:spacing w:line="360" w:lineRule="auto"/>
              <w:ind w:firstLine="480" w:firstLineChars="200"/>
              <w:rPr>
                <w:color w:val="auto"/>
                <w:sz w:val="24"/>
                <w:u w:val="none"/>
              </w:rPr>
            </w:pPr>
            <w:r>
              <w:rPr>
                <w:rFonts w:hint="eastAsia"/>
                <w:sz w:val="24"/>
              </w:rPr>
              <w:t>项目环保投资主要包括：生态防护和恢复、环境空气保护、水环境保护、噪声防治、固体废弃物处置等投资。</w:t>
            </w:r>
            <w:r>
              <w:rPr>
                <w:rFonts w:hint="eastAsia"/>
                <w:color w:val="auto"/>
                <w:sz w:val="24"/>
                <w:u w:val="none"/>
              </w:rPr>
              <w:t>本项目总投资</w:t>
            </w:r>
            <w:r>
              <w:rPr>
                <w:rFonts w:hint="eastAsia"/>
                <w:color w:val="auto"/>
                <w:sz w:val="24"/>
                <w:u w:val="none"/>
                <w:lang w:val="en-US" w:eastAsia="zh-CN"/>
              </w:rPr>
              <w:t>58084.67</w:t>
            </w:r>
            <w:r>
              <w:rPr>
                <w:rFonts w:hint="eastAsia"/>
                <w:color w:val="auto"/>
                <w:sz w:val="24"/>
                <w:u w:val="none"/>
              </w:rPr>
              <w:t>万元，环保投资</w:t>
            </w:r>
            <w:r>
              <w:rPr>
                <w:rFonts w:hint="eastAsia"/>
                <w:color w:val="auto"/>
                <w:sz w:val="24"/>
                <w:u w:val="none"/>
                <w:lang w:val="en-US" w:eastAsia="zh-CN"/>
              </w:rPr>
              <w:t>3396.94</w:t>
            </w:r>
            <w:r>
              <w:rPr>
                <w:rFonts w:hint="eastAsia"/>
                <w:color w:val="auto"/>
                <w:sz w:val="24"/>
                <w:u w:val="none"/>
              </w:rPr>
              <w:t>万元，环保投资占总投资</w:t>
            </w:r>
            <w:r>
              <w:rPr>
                <w:rFonts w:hint="eastAsia"/>
                <w:color w:val="auto"/>
                <w:sz w:val="24"/>
                <w:u w:val="none"/>
                <w:lang w:val="en-US" w:eastAsia="zh-CN"/>
              </w:rPr>
              <w:t>5.85</w:t>
            </w:r>
            <w:r>
              <w:rPr>
                <w:rFonts w:hint="eastAsia"/>
                <w:color w:val="auto"/>
                <w:sz w:val="24"/>
                <w:u w:val="none"/>
              </w:rPr>
              <w:t>%。项目环保投资估算详见表5</w:t>
            </w:r>
            <w:r>
              <w:rPr>
                <w:color w:val="auto"/>
                <w:sz w:val="24"/>
                <w:u w:val="none"/>
              </w:rPr>
              <w:t>-</w:t>
            </w:r>
            <w:r>
              <w:rPr>
                <w:rFonts w:hint="eastAsia"/>
                <w:color w:val="auto"/>
                <w:sz w:val="24"/>
                <w:u w:val="none"/>
                <w:lang w:val="en-US" w:eastAsia="zh-CN"/>
              </w:rPr>
              <w:t>4</w:t>
            </w:r>
            <w:r>
              <w:rPr>
                <w:rFonts w:hint="eastAsia"/>
                <w:color w:val="auto"/>
                <w:sz w:val="24"/>
                <w:u w:val="none"/>
              </w:rPr>
              <w:t>。</w:t>
            </w:r>
          </w:p>
          <w:p w14:paraId="76D02FD4">
            <w:pPr>
              <w:spacing w:line="240" w:lineRule="auto"/>
              <w:jc w:val="center"/>
              <w:rPr>
                <w:b/>
                <w:bCs/>
                <w:color w:val="FF0000"/>
                <w:szCs w:val="21"/>
              </w:rPr>
            </w:pPr>
            <w:r>
              <w:rPr>
                <w:rFonts w:hint="eastAsia"/>
                <w:b/>
                <w:bCs/>
                <w:color w:val="FF0000"/>
                <w:szCs w:val="21"/>
              </w:rPr>
              <w:t>表</w:t>
            </w:r>
            <w:r>
              <w:rPr>
                <w:b/>
                <w:bCs/>
                <w:color w:val="FF0000"/>
                <w:szCs w:val="21"/>
              </w:rPr>
              <w:t>5-</w:t>
            </w:r>
            <w:r>
              <w:rPr>
                <w:rFonts w:hint="eastAsia"/>
                <w:b/>
                <w:bCs/>
                <w:color w:val="FF0000"/>
                <w:szCs w:val="21"/>
                <w:lang w:val="en-US" w:eastAsia="zh-CN"/>
              </w:rPr>
              <w:t xml:space="preserve">4  </w:t>
            </w:r>
            <w:r>
              <w:rPr>
                <w:rFonts w:hint="eastAsia"/>
                <w:b/>
                <w:bCs/>
                <w:color w:val="FF0000"/>
                <w:szCs w:val="21"/>
              </w:rPr>
              <w:t>本项目环保投资估算表</w:t>
            </w:r>
          </w:p>
          <w:tbl>
            <w:tblPr>
              <w:tblStyle w:val="33"/>
              <w:tblW w:w="4998"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139"/>
              <w:gridCol w:w="2929"/>
              <w:gridCol w:w="1008"/>
              <w:gridCol w:w="2740"/>
            </w:tblGrid>
            <w:tr w14:paraId="67C23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tcBorders>
                    <w:tl2br w:val="nil"/>
                    <w:tr2bl w:val="nil"/>
                  </w:tcBorders>
                  <w:vAlign w:val="center"/>
                </w:tcPr>
                <w:p w14:paraId="6204EF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时段</w:t>
                  </w:r>
                </w:p>
              </w:tc>
              <w:tc>
                <w:tcPr>
                  <w:tcW w:w="671" w:type="pct"/>
                  <w:tcBorders>
                    <w:tl2br w:val="nil"/>
                    <w:tr2bl w:val="nil"/>
                  </w:tcBorders>
                  <w:vAlign w:val="center"/>
                </w:tcPr>
                <w:p w14:paraId="25DBE7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项目</w:t>
                  </w:r>
                </w:p>
              </w:tc>
              <w:tc>
                <w:tcPr>
                  <w:tcW w:w="1724" w:type="pct"/>
                  <w:tcBorders>
                    <w:tl2br w:val="nil"/>
                    <w:tr2bl w:val="nil"/>
                  </w:tcBorders>
                  <w:vAlign w:val="center"/>
                </w:tcPr>
                <w:p w14:paraId="4F6DF4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环保措施</w:t>
                  </w:r>
                </w:p>
              </w:tc>
              <w:tc>
                <w:tcPr>
                  <w:tcW w:w="594" w:type="pct"/>
                  <w:tcBorders>
                    <w:tl2br w:val="nil"/>
                    <w:tr2bl w:val="nil"/>
                  </w:tcBorders>
                  <w:vAlign w:val="center"/>
                </w:tcPr>
                <w:p w14:paraId="1C4DF4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投资</w:t>
                  </w:r>
                </w:p>
                <w:p w14:paraId="3D785C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（万元）</w:t>
                  </w:r>
                </w:p>
              </w:tc>
              <w:tc>
                <w:tcPr>
                  <w:tcW w:w="1614" w:type="pct"/>
                  <w:tcBorders>
                    <w:tl2br w:val="nil"/>
                    <w:tr2bl w:val="nil"/>
                  </w:tcBorders>
                  <w:vAlign w:val="center"/>
                </w:tcPr>
                <w:p w14:paraId="331679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治理效果</w:t>
                  </w:r>
                </w:p>
              </w:tc>
            </w:tr>
            <w:tr w14:paraId="27818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restart"/>
                  <w:tcBorders>
                    <w:tl2br w:val="nil"/>
                    <w:tr2bl w:val="nil"/>
                  </w:tcBorders>
                  <w:vAlign w:val="center"/>
                </w:tcPr>
                <w:p w14:paraId="25C110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施</w:t>
                  </w:r>
                </w:p>
                <w:p w14:paraId="3646B4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工</w:t>
                  </w:r>
                </w:p>
                <w:p w14:paraId="7DD1C5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期</w:t>
                  </w:r>
                </w:p>
              </w:tc>
              <w:tc>
                <w:tcPr>
                  <w:tcW w:w="671" w:type="pct"/>
                  <w:tcBorders>
                    <w:tl2br w:val="nil"/>
                    <w:tr2bl w:val="nil"/>
                  </w:tcBorders>
                  <w:vAlign w:val="center"/>
                </w:tcPr>
                <w:p w14:paraId="401CB0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扬尘</w:t>
                  </w:r>
                </w:p>
              </w:tc>
              <w:tc>
                <w:tcPr>
                  <w:tcW w:w="1724" w:type="pct"/>
                  <w:tcBorders>
                    <w:tl2br w:val="nil"/>
                    <w:tr2bl w:val="nil"/>
                  </w:tcBorders>
                  <w:vAlign w:val="center"/>
                </w:tcPr>
                <w:p w14:paraId="70464F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使用商品混凝土；施工道路及裸露地面定期洒水；回填土、临时堆料采取围挡、覆盖措施</w:t>
                  </w:r>
                </w:p>
              </w:tc>
              <w:tc>
                <w:tcPr>
                  <w:tcW w:w="594" w:type="pct"/>
                  <w:tcBorders>
                    <w:tl2br w:val="nil"/>
                    <w:tr2bl w:val="nil"/>
                  </w:tcBorders>
                  <w:vAlign w:val="center"/>
                </w:tcPr>
                <w:p w14:paraId="00221A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15</w:t>
                  </w:r>
                </w:p>
              </w:tc>
              <w:tc>
                <w:tcPr>
                  <w:tcW w:w="1614" w:type="pct"/>
                  <w:tcBorders>
                    <w:tl2br w:val="nil"/>
                    <w:tr2bl w:val="nil"/>
                  </w:tcBorders>
                  <w:vAlign w:val="center"/>
                </w:tcPr>
                <w:p w14:paraId="24430D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减轻环境敏感点扬尘污染影响</w:t>
                  </w:r>
                </w:p>
              </w:tc>
            </w:tr>
            <w:tr w14:paraId="160F4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42DF4E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vMerge w:val="restart"/>
                  <w:tcBorders>
                    <w:tl2br w:val="nil"/>
                    <w:tr2bl w:val="nil"/>
                  </w:tcBorders>
                  <w:vAlign w:val="center"/>
                </w:tcPr>
                <w:p w14:paraId="126DBE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废水</w:t>
                  </w:r>
                </w:p>
              </w:tc>
              <w:tc>
                <w:tcPr>
                  <w:tcW w:w="1724" w:type="pct"/>
                  <w:tcBorders>
                    <w:tl2br w:val="nil"/>
                    <w:tr2bl w:val="nil"/>
                  </w:tcBorders>
                  <w:vAlign w:val="center"/>
                </w:tcPr>
                <w:p w14:paraId="2BF1DD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设备、车辆冲洗废水经沉淀池处理后用于场地洒水抑尘</w:t>
                  </w:r>
                </w:p>
              </w:tc>
              <w:tc>
                <w:tcPr>
                  <w:tcW w:w="594" w:type="pct"/>
                  <w:tcBorders>
                    <w:tl2br w:val="nil"/>
                    <w:tr2bl w:val="nil"/>
                  </w:tcBorders>
                  <w:vAlign w:val="center"/>
                </w:tcPr>
                <w:p w14:paraId="286D32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vMerge w:val="restart"/>
                  <w:tcBorders>
                    <w:tl2br w:val="nil"/>
                    <w:tr2bl w:val="nil"/>
                  </w:tcBorders>
                  <w:vAlign w:val="center"/>
                </w:tcPr>
                <w:p w14:paraId="4D8749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废水不外排</w:t>
                  </w:r>
                </w:p>
              </w:tc>
            </w:tr>
            <w:tr w14:paraId="5E7EC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75AB98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vMerge w:val="continue"/>
                  <w:tcBorders>
                    <w:tl2br w:val="nil"/>
                    <w:tr2bl w:val="nil"/>
                  </w:tcBorders>
                  <w:vAlign w:val="center"/>
                </w:tcPr>
                <w:p w14:paraId="32C1C0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1724" w:type="pct"/>
                  <w:tcBorders>
                    <w:tl2br w:val="nil"/>
                    <w:tr2bl w:val="nil"/>
                  </w:tcBorders>
                  <w:vAlign w:val="center"/>
                </w:tcPr>
                <w:p w14:paraId="21D654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生活废水排入临时隔油池、化粪池处理，定期清掏</w:t>
                  </w:r>
                </w:p>
              </w:tc>
              <w:tc>
                <w:tcPr>
                  <w:tcW w:w="594" w:type="pct"/>
                  <w:tcBorders>
                    <w:tl2br w:val="nil"/>
                    <w:tr2bl w:val="nil"/>
                  </w:tcBorders>
                  <w:vAlign w:val="center"/>
                </w:tcPr>
                <w:p w14:paraId="06313D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vMerge w:val="continue"/>
                  <w:tcBorders>
                    <w:tl2br w:val="nil"/>
                    <w:tr2bl w:val="nil"/>
                  </w:tcBorders>
                  <w:vAlign w:val="center"/>
                </w:tcPr>
                <w:p w14:paraId="243390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r>
            <w:tr w14:paraId="43CE8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2068A7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4337EA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水土流失</w:t>
                  </w:r>
                </w:p>
              </w:tc>
              <w:tc>
                <w:tcPr>
                  <w:tcW w:w="1724" w:type="pct"/>
                  <w:tcBorders>
                    <w:tl2br w:val="nil"/>
                    <w:tr2bl w:val="nil"/>
                  </w:tcBorders>
                  <w:vAlign w:val="center"/>
                </w:tcPr>
                <w:p w14:paraId="1F30F2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val="0"/>
                      <w:szCs w:val="21"/>
                      <w:lang w:val="en-US" w:eastAsia="zh-CN"/>
                    </w:rPr>
                  </w:pPr>
                  <w:r>
                    <w:rPr>
                      <w:rFonts w:hint="eastAsia"/>
                      <w:b w:val="0"/>
                      <w:bCs w:val="0"/>
                      <w:szCs w:val="21"/>
                      <w:lang w:val="en-US" w:eastAsia="zh-CN"/>
                    </w:rPr>
                    <w:t>按照水保报告的要求落实各项工程措施和植物措施</w:t>
                  </w:r>
                </w:p>
              </w:tc>
              <w:tc>
                <w:tcPr>
                  <w:tcW w:w="594" w:type="pct"/>
                  <w:tcBorders>
                    <w:tl2br w:val="nil"/>
                    <w:tr2bl w:val="nil"/>
                  </w:tcBorders>
                  <w:vAlign w:val="center"/>
                </w:tcPr>
                <w:p w14:paraId="51110E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val="0"/>
                      <w:szCs w:val="21"/>
                      <w:lang w:val="en-US" w:eastAsia="zh-CN"/>
                    </w:rPr>
                  </w:pPr>
                  <w:r>
                    <w:rPr>
                      <w:rFonts w:hint="eastAsia"/>
                      <w:b w:val="0"/>
                      <w:bCs w:val="0"/>
                      <w:szCs w:val="21"/>
                      <w:lang w:val="en-US" w:eastAsia="zh-CN"/>
                    </w:rPr>
                    <w:t>2908.94（来自水保报告）</w:t>
                  </w:r>
                </w:p>
              </w:tc>
              <w:tc>
                <w:tcPr>
                  <w:tcW w:w="1614" w:type="pct"/>
                  <w:tcBorders>
                    <w:tl2br w:val="nil"/>
                    <w:tr2bl w:val="nil"/>
                  </w:tcBorders>
                  <w:vAlign w:val="center"/>
                </w:tcPr>
                <w:p w14:paraId="087A32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减少生态影响</w:t>
                  </w:r>
                </w:p>
              </w:tc>
            </w:tr>
            <w:tr w14:paraId="211A4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trPr>
              <w:tc>
                <w:tcPr>
                  <w:tcW w:w="395" w:type="pct"/>
                  <w:vMerge w:val="restart"/>
                  <w:tcBorders>
                    <w:tl2br w:val="nil"/>
                    <w:tr2bl w:val="nil"/>
                  </w:tcBorders>
                  <w:vAlign w:val="center"/>
                </w:tcPr>
                <w:p w14:paraId="0583EB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运</w:t>
                  </w:r>
                </w:p>
                <w:p w14:paraId="48BB99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营</w:t>
                  </w:r>
                </w:p>
                <w:p w14:paraId="0295D3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期</w:t>
                  </w:r>
                </w:p>
              </w:tc>
              <w:tc>
                <w:tcPr>
                  <w:tcW w:w="671" w:type="pct"/>
                  <w:tcBorders>
                    <w:tl2br w:val="nil"/>
                    <w:tr2bl w:val="nil"/>
                  </w:tcBorders>
                  <w:vAlign w:val="center"/>
                </w:tcPr>
                <w:p w14:paraId="1CCA18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场地绿化恢复</w:t>
                  </w:r>
                </w:p>
              </w:tc>
              <w:tc>
                <w:tcPr>
                  <w:tcW w:w="1724" w:type="pct"/>
                  <w:tcBorders>
                    <w:tl2br w:val="nil"/>
                    <w:tr2bl w:val="nil"/>
                  </w:tcBorders>
                  <w:vAlign w:val="center"/>
                </w:tcPr>
                <w:p w14:paraId="182714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临时施工场地的恢复绿化</w:t>
                  </w:r>
                </w:p>
              </w:tc>
              <w:tc>
                <w:tcPr>
                  <w:tcW w:w="594" w:type="pct"/>
                  <w:tcBorders>
                    <w:tl2br w:val="nil"/>
                    <w:tr2bl w:val="nil"/>
                  </w:tcBorders>
                  <w:vAlign w:val="center"/>
                </w:tcPr>
                <w:p w14:paraId="3657B7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310</w:t>
                  </w:r>
                </w:p>
              </w:tc>
              <w:tc>
                <w:tcPr>
                  <w:tcW w:w="1614" w:type="pct"/>
                  <w:tcBorders>
                    <w:tl2br w:val="nil"/>
                    <w:tr2bl w:val="nil"/>
                  </w:tcBorders>
                  <w:vAlign w:val="center"/>
                </w:tcPr>
                <w:p w14:paraId="624D23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减小生态影响</w:t>
                  </w:r>
                </w:p>
              </w:tc>
            </w:tr>
            <w:tr w14:paraId="5AF7B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5C6C07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24CF31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食堂油烟</w:t>
                  </w:r>
                </w:p>
              </w:tc>
              <w:tc>
                <w:tcPr>
                  <w:tcW w:w="1724" w:type="pct"/>
                  <w:tcBorders>
                    <w:tl2br w:val="nil"/>
                    <w:tr2bl w:val="nil"/>
                  </w:tcBorders>
                  <w:vAlign w:val="center"/>
                </w:tcPr>
                <w:p w14:paraId="08DB61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val="0"/>
                      <w:bCs w:val="0"/>
                      <w:szCs w:val="21"/>
                      <w:lang w:eastAsia="zh-CN"/>
                    </w:rPr>
                  </w:pPr>
                  <w:r>
                    <w:rPr>
                      <w:rFonts w:hint="eastAsia"/>
                      <w:b w:val="0"/>
                      <w:bCs w:val="0"/>
                      <w:szCs w:val="21"/>
                    </w:rPr>
                    <w:t>食堂油烟经油烟净化器处理后，经专用烟道引至楼顶</w:t>
                  </w:r>
                  <w:r>
                    <w:rPr>
                      <w:rFonts w:hint="eastAsia"/>
                      <w:b w:val="0"/>
                      <w:bCs w:val="0"/>
                      <w:szCs w:val="21"/>
                      <w:lang w:val="en-US" w:eastAsia="zh-CN"/>
                    </w:rPr>
                    <w:t>排放</w:t>
                  </w:r>
                </w:p>
              </w:tc>
              <w:tc>
                <w:tcPr>
                  <w:tcW w:w="594" w:type="pct"/>
                  <w:tcBorders>
                    <w:tl2br w:val="nil"/>
                    <w:tr2bl w:val="nil"/>
                  </w:tcBorders>
                  <w:vAlign w:val="center"/>
                </w:tcPr>
                <w:p w14:paraId="7F6C52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tcBorders>
                    <w:tl2br w:val="nil"/>
                    <w:tr2bl w:val="nil"/>
                  </w:tcBorders>
                  <w:vAlign w:val="center"/>
                </w:tcPr>
                <w:p w14:paraId="5D3700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《饮食业油烟排放标准（试行）》（GB18483-2001）表2标准</w:t>
                  </w:r>
                </w:p>
              </w:tc>
            </w:tr>
            <w:tr w14:paraId="6C184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6AA397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1A4157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升压站生活污水</w:t>
                  </w:r>
                </w:p>
              </w:tc>
              <w:tc>
                <w:tcPr>
                  <w:tcW w:w="1724" w:type="pct"/>
                  <w:tcBorders>
                    <w:tl2br w:val="nil"/>
                    <w:tr2bl w:val="nil"/>
                  </w:tcBorders>
                  <w:vAlign w:val="center"/>
                </w:tcPr>
                <w:p w14:paraId="1C3B58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生活废水</w:t>
                  </w:r>
                  <w:r>
                    <w:rPr>
                      <w:rFonts w:hint="eastAsia"/>
                      <w:b w:val="0"/>
                      <w:bCs w:val="0"/>
                      <w:szCs w:val="21"/>
                      <w:lang w:val="en-US" w:eastAsia="zh-CN"/>
                    </w:rPr>
                    <w:t>经</w:t>
                  </w:r>
                  <w:r>
                    <w:rPr>
                      <w:rFonts w:hint="eastAsia"/>
                      <w:b w:val="0"/>
                      <w:bCs w:val="0"/>
                      <w:szCs w:val="21"/>
                    </w:rPr>
                    <w:t>一体化污水处理装置集中处理，处理后的污水用作站内绿化用水，不外排</w:t>
                  </w:r>
                </w:p>
              </w:tc>
              <w:tc>
                <w:tcPr>
                  <w:tcW w:w="594" w:type="pct"/>
                  <w:tcBorders>
                    <w:tl2br w:val="nil"/>
                    <w:tr2bl w:val="nil"/>
                  </w:tcBorders>
                  <w:vAlign w:val="center"/>
                </w:tcPr>
                <w:p w14:paraId="4809C5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25</w:t>
                  </w:r>
                </w:p>
              </w:tc>
              <w:tc>
                <w:tcPr>
                  <w:tcW w:w="1614" w:type="pct"/>
                  <w:tcBorders>
                    <w:tl2br w:val="nil"/>
                    <w:tr2bl w:val="nil"/>
                  </w:tcBorders>
                  <w:vAlign w:val="center"/>
                </w:tcPr>
                <w:p w14:paraId="30366E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《农田灌溉水质标准》（GB5084-2005）旱作标准，用于绿化，不外排</w:t>
                  </w:r>
                </w:p>
              </w:tc>
            </w:tr>
            <w:tr w14:paraId="7B1A8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0470E8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4DEC5C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生活垃圾</w:t>
                  </w:r>
                </w:p>
              </w:tc>
              <w:tc>
                <w:tcPr>
                  <w:tcW w:w="1724" w:type="pct"/>
                  <w:tcBorders>
                    <w:tl2br w:val="nil"/>
                    <w:tr2bl w:val="nil"/>
                  </w:tcBorders>
                  <w:vAlign w:val="center"/>
                </w:tcPr>
                <w:p w14:paraId="3963C6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统一收集后由环卫部门处置</w:t>
                  </w:r>
                </w:p>
              </w:tc>
              <w:tc>
                <w:tcPr>
                  <w:tcW w:w="594" w:type="pct"/>
                  <w:tcBorders>
                    <w:tl2br w:val="nil"/>
                    <w:tr2bl w:val="nil"/>
                  </w:tcBorders>
                  <w:vAlign w:val="center"/>
                </w:tcPr>
                <w:p w14:paraId="1C394E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2</w:t>
                  </w:r>
                </w:p>
              </w:tc>
              <w:tc>
                <w:tcPr>
                  <w:tcW w:w="1614" w:type="pct"/>
                  <w:tcBorders>
                    <w:tl2br w:val="nil"/>
                    <w:tr2bl w:val="nil"/>
                  </w:tcBorders>
                  <w:vAlign w:val="center"/>
                </w:tcPr>
                <w:p w14:paraId="0289A1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不外排</w:t>
                  </w:r>
                </w:p>
              </w:tc>
            </w:tr>
            <w:tr w14:paraId="57A3F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0C97DB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05A680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升压站</w:t>
                  </w:r>
                </w:p>
                <w:p w14:paraId="59CAC8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绿化</w:t>
                  </w:r>
                </w:p>
              </w:tc>
              <w:tc>
                <w:tcPr>
                  <w:tcW w:w="1724" w:type="pct"/>
                  <w:tcBorders>
                    <w:tl2br w:val="nil"/>
                    <w:tr2bl w:val="nil"/>
                  </w:tcBorders>
                  <w:vAlign w:val="center"/>
                </w:tcPr>
                <w:p w14:paraId="5CDDB6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w:t>
                  </w:r>
                </w:p>
              </w:tc>
              <w:tc>
                <w:tcPr>
                  <w:tcW w:w="594" w:type="pct"/>
                  <w:tcBorders>
                    <w:tl2br w:val="nil"/>
                    <w:tr2bl w:val="nil"/>
                  </w:tcBorders>
                  <w:vAlign w:val="center"/>
                </w:tcPr>
                <w:p w14:paraId="222730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30</w:t>
                  </w:r>
                </w:p>
              </w:tc>
              <w:tc>
                <w:tcPr>
                  <w:tcW w:w="1614" w:type="pct"/>
                  <w:tcBorders>
                    <w:tl2br w:val="nil"/>
                    <w:tr2bl w:val="nil"/>
                  </w:tcBorders>
                  <w:vAlign w:val="center"/>
                </w:tcPr>
                <w:p w14:paraId="056031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w:t>
                  </w:r>
                </w:p>
              </w:tc>
            </w:tr>
            <w:tr w14:paraId="45795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95" w:type="pct"/>
                  <w:vMerge w:val="continue"/>
                  <w:tcBorders>
                    <w:tl2br w:val="nil"/>
                    <w:tr2bl w:val="nil"/>
                  </w:tcBorders>
                  <w:vAlign w:val="center"/>
                </w:tcPr>
                <w:p w14:paraId="3ECDBD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p>
              </w:tc>
              <w:tc>
                <w:tcPr>
                  <w:tcW w:w="671" w:type="pct"/>
                  <w:tcBorders>
                    <w:tl2br w:val="nil"/>
                    <w:tr2bl w:val="nil"/>
                  </w:tcBorders>
                  <w:vAlign w:val="center"/>
                </w:tcPr>
                <w:p w14:paraId="153F74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噪声防治预留资金</w:t>
                  </w:r>
                </w:p>
              </w:tc>
              <w:tc>
                <w:tcPr>
                  <w:tcW w:w="1724" w:type="pct"/>
                  <w:tcBorders>
                    <w:tl2br w:val="nil"/>
                    <w:tr2bl w:val="nil"/>
                  </w:tcBorders>
                  <w:vAlign w:val="center"/>
                </w:tcPr>
                <w:p w14:paraId="3A4942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u w:val="none"/>
                    </w:rPr>
                  </w:pPr>
                  <w:r>
                    <w:rPr>
                      <w:rFonts w:hint="eastAsia"/>
                      <w:b w:val="0"/>
                      <w:bCs w:val="0"/>
                      <w:szCs w:val="21"/>
                      <w:u w:val="none"/>
                    </w:rPr>
                    <w:t>预留噪声防治资金，若跟踪监测出现敏感点超标，则应进行噪声治理，在敏感点加装隔声窗等。</w:t>
                  </w:r>
                </w:p>
              </w:tc>
              <w:tc>
                <w:tcPr>
                  <w:tcW w:w="594" w:type="pct"/>
                  <w:tcBorders>
                    <w:tl2br w:val="nil"/>
                    <w:tr2bl w:val="nil"/>
                  </w:tcBorders>
                  <w:vAlign w:val="center"/>
                </w:tcPr>
                <w:p w14:paraId="0FDEC6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u w:val="none"/>
                    </w:rPr>
                  </w:pPr>
                  <w:r>
                    <w:rPr>
                      <w:rFonts w:hint="eastAsia"/>
                      <w:b w:val="0"/>
                      <w:bCs w:val="0"/>
                      <w:szCs w:val="21"/>
                      <w:u w:val="none"/>
                    </w:rPr>
                    <w:t>1</w:t>
                  </w:r>
                  <w:r>
                    <w:rPr>
                      <w:b w:val="0"/>
                      <w:bCs w:val="0"/>
                      <w:szCs w:val="21"/>
                      <w:u w:val="none"/>
                    </w:rPr>
                    <w:t>00</w:t>
                  </w:r>
                </w:p>
              </w:tc>
              <w:tc>
                <w:tcPr>
                  <w:tcW w:w="1614" w:type="pct"/>
                  <w:tcBorders>
                    <w:tl2br w:val="nil"/>
                    <w:tr2bl w:val="nil"/>
                  </w:tcBorders>
                  <w:vAlign w:val="center"/>
                </w:tcPr>
                <w:p w14:paraId="5DC5AE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u w:val="none"/>
                    </w:rPr>
                  </w:pPr>
                  <w:r>
                    <w:rPr>
                      <w:rFonts w:hint="eastAsia"/>
                      <w:b w:val="0"/>
                      <w:bCs w:val="0"/>
                      <w:szCs w:val="21"/>
                      <w:u w:val="none"/>
                    </w:rPr>
                    <w:t>敏感点噪声达到《声环境质量标准》（GB3096-2008）二类标准</w:t>
                  </w:r>
                </w:p>
              </w:tc>
            </w:tr>
            <w:tr w14:paraId="532EE3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1" w:type="pct"/>
                  <w:gridSpan w:val="3"/>
                  <w:tcBorders>
                    <w:tl2br w:val="nil"/>
                    <w:tr2bl w:val="nil"/>
                  </w:tcBorders>
                  <w:vAlign w:val="center"/>
                </w:tcPr>
                <w:p w14:paraId="5D5AE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合计</w:t>
                  </w:r>
                </w:p>
              </w:tc>
              <w:tc>
                <w:tcPr>
                  <w:tcW w:w="594" w:type="pct"/>
                  <w:tcBorders>
                    <w:tl2br w:val="nil"/>
                    <w:tr2bl w:val="nil"/>
                  </w:tcBorders>
                  <w:vAlign w:val="center"/>
                </w:tcPr>
                <w:p w14:paraId="392F60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val="0"/>
                      <w:bCs w:val="0"/>
                      <w:szCs w:val="21"/>
                      <w:u w:val="single"/>
                      <w:lang w:val="en-US" w:eastAsia="zh-CN"/>
                    </w:rPr>
                  </w:pPr>
                  <w:r>
                    <w:rPr>
                      <w:rFonts w:hint="eastAsia"/>
                      <w:b w:val="0"/>
                      <w:bCs w:val="0"/>
                      <w:szCs w:val="21"/>
                      <w:u w:val="none"/>
                      <w:lang w:val="en-US" w:eastAsia="zh-CN"/>
                    </w:rPr>
                    <w:t>3396.94</w:t>
                  </w:r>
                </w:p>
              </w:tc>
              <w:tc>
                <w:tcPr>
                  <w:tcW w:w="1614" w:type="pct"/>
                  <w:tcBorders>
                    <w:tl2br w:val="nil"/>
                    <w:tr2bl w:val="nil"/>
                  </w:tcBorders>
                  <w:vAlign w:val="center"/>
                </w:tcPr>
                <w:p w14:paraId="19712F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val="0"/>
                      <w:bCs w:val="0"/>
                      <w:szCs w:val="21"/>
                    </w:rPr>
                  </w:pPr>
                  <w:r>
                    <w:rPr>
                      <w:rFonts w:hint="eastAsia"/>
                      <w:b w:val="0"/>
                      <w:bCs w:val="0"/>
                      <w:szCs w:val="21"/>
                    </w:rPr>
                    <w:t>/</w:t>
                  </w:r>
                </w:p>
              </w:tc>
            </w:tr>
          </w:tbl>
          <w:p w14:paraId="539D67F4">
            <w:pPr>
              <w:spacing w:line="504" w:lineRule="auto"/>
              <w:rPr>
                <w:sz w:val="24"/>
              </w:rPr>
            </w:pPr>
          </w:p>
        </w:tc>
      </w:tr>
    </w:tbl>
    <w:p w14:paraId="79C42C17">
      <w:r>
        <w:rPr>
          <w:rFonts w:hint="eastAsia"/>
        </w:rPr>
        <w:br w:type="page"/>
      </w:r>
    </w:p>
    <w:p w14:paraId="5F382B9A">
      <w:pPr>
        <w:pStyle w:val="3"/>
        <w:numPr>
          <w:ilvl w:val="0"/>
          <w:numId w:val="0"/>
        </w:numPr>
        <w:outlineLvl w:val="9"/>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bookmarkStart w:id="320" w:name="_Toc9869"/>
    </w:p>
    <w:p w14:paraId="752E9B74">
      <w:pPr>
        <w:pStyle w:val="3"/>
        <w:numPr>
          <w:ilvl w:val="0"/>
          <w:numId w:val="0"/>
        </w:numPr>
      </w:pPr>
      <w:bookmarkStart w:id="321" w:name="_Toc32537"/>
      <w:r>
        <w:rPr>
          <w:rFonts w:hint="eastAsia"/>
        </w:rPr>
        <w:t>六、生态环境保护措施监督检查清单</w:t>
      </w:r>
      <w:bookmarkEnd w:id="321"/>
    </w:p>
    <w:tbl>
      <w:tblPr>
        <w:tblStyle w:val="33"/>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4575"/>
        <w:gridCol w:w="2613"/>
        <w:gridCol w:w="1061"/>
        <w:gridCol w:w="2017"/>
        <w:gridCol w:w="2659"/>
      </w:tblGrid>
      <w:tr w14:paraId="724567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455" w:type="pct"/>
            <w:vMerge w:val="restart"/>
          </w:tcPr>
          <w:p w14:paraId="2A47206D">
            <w:pPr>
              <w:snapToGrid w:val="0"/>
              <w:jc w:val="center"/>
              <w:rPr>
                <w:b/>
                <w:bCs/>
                <w:szCs w:val="21"/>
              </w:rPr>
            </w:pPr>
            <w:r>
              <w:rPr>
                <w:rFonts w:hint="eastAsia"/>
                <w:b/>
                <w:bCs/>
                <w:szCs w:val="21"/>
              </w:rPr>
              <w:t>要素</w:t>
            </w:r>
          </w:p>
          <w:p w14:paraId="66B509C0">
            <w:pPr>
              <w:jc w:val="center"/>
              <w:rPr>
                <w:b/>
                <w:bCs/>
                <w:szCs w:val="21"/>
              </w:rPr>
            </w:pPr>
            <w:r>
              <w:rPr>
                <w:rFonts w:hint="eastAsia"/>
                <w:b/>
                <w:bCs/>
                <w:szCs w:val="21"/>
              </w:rPr>
              <w:t>内容</w:t>
            </w:r>
          </w:p>
        </w:tc>
        <w:tc>
          <w:tcPr>
            <w:tcW w:w="2527" w:type="pct"/>
            <w:gridSpan w:val="2"/>
            <w:vAlign w:val="center"/>
          </w:tcPr>
          <w:p w14:paraId="47C2AA2D">
            <w:pPr>
              <w:jc w:val="center"/>
              <w:rPr>
                <w:b/>
                <w:bCs/>
                <w:szCs w:val="21"/>
              </w:rPr>
            </w:pPr>
            <w:r>
              <w:rPr>
                <w:rFonts w:hint="eastAsia"/>
                <w:b/>
                <w:bCs/>
                <w:szCs w:val="21"/>
              </w:rPr>
              <w:t>施工期</w:t>
            </w:r>
          </w:p>
        </w:tc>
        <w:tc>
          <w:tcPr>
            <w:tcW w:w="2017" w:type="pct"/>
            <w:gridSpan w:val="3"/>
            <w:vAlign w:val="center"/>
          </w:tcPr>
          <w:p w14:paraId="6FD28CEE">
            <w:pPr>
              <w:jc w:val="center"/>
              <w:rPr>
                <w:b/>
                <w:bCs/>
                <w:szCs w:val="21"/>
              </w:rPr>
            </w:pPr>
            <w:r>
              <w:rPr>
                <w:rFonts w:hint="eastAsia"/>
                <w:b/>
                <w:bCs/>
                <w:szCs w:val="21"/>
              </w:rPr>
              <w:t>运营期</w:t>
            </w:r>
          </w:p>
        </w:tc>
      </w:tr>
      <w:tr w14:paraId="75787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455" w:type="pct"/>
            <w:vMerge w:val="continue"/>
          </w:tcPr>
          <w:p w14:paraId="46B2D870">
            <w:pPr>
              <w:jc w:val="left"/>
              <w:rPr>
                <w:b/>
                <w:bCs/>
                <w:szCs w:val="21"/>
              </w:rPr>
            </w:pPr>
          </w:p>
        </w:tc>
        <w:tc>
          <w:tcPr>
            <w:tcW w:w="1608" w:type="pct"/>
            <w:vAlign w:val="center"/>
          </w:tcPr>
          <w:p w14:paraId="6FAD9012">
            <w:pPr>
              <w:jc w:val="center"/>
              <w:rPr>
                <w:b/>
                <w:bCs/>
                <w:szCs w:val="21"/>
              </w:rPr>
            </w:pPr>
            <w:r>
              <w:rPr>
                <w:rFonts w:hint="eastAsia"/>
                <w:b/>
                <w:bCs/>
                <w:szCs w:val="21"/>
              </w:rPr>
              <w:t>环境保护措施</w:t>
            </w:r>
          </w:p>
        </w:tc>
        <w:tc>
          <w:tcPr>
            <w:tcW w:w="918" w:type="pct"/>
            <w:vAlign w:val="center"/>
          </w:tcPr>
          <w:p w14:paraId="2491E23A">
            <w:pPr>
              <w:jc w:val="center"/>
              <w:rPr>
                <w:b/>
                <w:bCs/>
                <w:szCs w:val="21"/>
              </w:rPr>
            </w:pPr>
            <w:r>
              <w:rPr>
                <w:rFonts w:hint="eastAsia"/>
                <w:b/>
                <w:bCs/>
                <w:szCs w:val="21"/>
              </w:rPr>
              <w:t>验收要求</w:t>
            </w:r>
          </w:p>
        </w:tc>
        <w:tc>
          <w:tcPr>
            <w:tcW w:w="1082" w:type="pct"/>
            <w:gridSpan w:val="2"/>
            <w:vAlign w:val="center"/>
          </w:tcPr>
          <w:p w14:paraId="5FC60C1C">
            <w:pPr>
              <w:jc w:val="center"/>
              <w:rPr>
                <w:b/>
                <w:bCs/>
                <w:szCs w:val="21"/>
              </w:rPr>
            </w:pPr>
            <w:r>
              <w:rPr>
                <w:rFonts w:hint="eastAsia"/>
                <w:b/>
                <w:bCs/>
                <w:szCs w:val="21"/>
              </w:rPr>
              <w:t>环境保护措施</w:t>
            </w:r>
          </w:p>
        </w:tc>
        <w:tc>
          <w:tcPr>
            <w:tcW w:w="934" w:type="pct"/>
            <w:vAlign w:val="center"/>
          </w:tcPr>
          <w:p w14:paraId="68FFB5E6">
            <w:pPr>
              <w:jc w:val="center"/>
              <w:rPr>
                <w:b/>
                <w:bCs/>
                <w:szCs w:val="21"/>
              </w:rPr>
            </w:pPr>
            <w:r>
              <w:rPr>
                <w:rFonts w:hint="eastAsia"/>
                <w:b/>
                <w:bCs/>
                <w:szCs w:val="21"/>
              </w:rPr>
              <w:t>验收要求</w:t>
            </w:r>
          </w:p>
        </w:tc>
      </w:tr>
      <w:tr w14:paraId="3A3BD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43FBE5E3">
            <w:pPr>
              <w:spacing w:line="360" w:lineRule="auto"/>
              <w:jc w:val="center"/>
              <w:rPr>
                <w:b/>
                <w:bCs/>
                <w:szCs w:val="21"/>
              </w:rPr>
            </w:pPr>
            <w:r>
              <w:rPr>
                <w:rFonts w:hint="eastAsia"/>
                <w:b/>
                <w:bCs/>
                <w:szCs w:val="21"/>
              </w:rPr>
              <w:t>陆生生态</w:t>
            </w:r>
          </w:p>
        </w:tc>
        <w:tc>
          <w:tcPr>
            <w:tcW w:w="1608" w:type="pct"/>
            <w:vAlign w:val="center"/>
          </w:tcPr>
          <w:p w14:paraId="596EB920">
            <w:pPr>
              <w:jc w:val="center"/>
              <w:rPr>
                <w:szCs w:val="21"/>
              </w:rPr>
            </w:pPr>
            <w:r>
              <w:rPr>
                <w:rFonts w:hAnsi="宋体"/>
                <w:szCs w:val="21"/>
              </w:rPr>
              <w:t>不跨界施工，严格在施工红线范围内施工</w:t>
            </w:r>
            <w:r>
              <w:rPr>
                <w:rFonts w:hint="eastAsia" w:hAnsi="宋体"/>
                <w:szCs w:val="21"/>
              </w:rPr>
              <w:t>；尽量少占地，少破坏植物茂盛区；永临结合。土方就近平衡；</w:t>
            </w:r>
            <w:r>
              <w:rPr>
                <w:rFonts w:hint="eastAsia"/>
                <w:szCs w:val="21"/>
              </w:rPr>
              <w:t>临时占地土地整治、植被恢复措施；剥离表土用于覆土绿化；临时排水及护坡措施，防治水土流失；禁止施工期间施工人员对动物的肆虐猎取和捕捉，增强对野生动物保护的宣传；减少夜间光源；优化施工时间，减少对动物的惊扰。</w:t>
            </w:r>
          </w:p>
        </w:tc>
        <w:tc>
          <w:tcPr>
            <w:tcW w:w="918" w:type="pct"/>
            <w:vAlign w:val="center"/>
          </w:tcPr>
          <w:p w14:paraId="2EE1300E">
            <w:pPr>
              <w:jc w:val="center"/>
              <w:rPr>
                <w:szCs w:val="21"/>
              </w:rPr>
            </w:pPr>
            <w:r>
              <w:rPr>
                <w:rFonts w:hAnsi="宋体"/>
                <w:szCs w:val="21"/>
              </w:rPr>
              <w:t>不跨界施工，严格在施工红线范围内施工</w:t>
            </w:r>
            <w:r>
              <w:rPr>
                <w:rFonts w:hint="eastAsia" w:hAnsi="宋体"/>
                <w:szCs w:val="21"/>
              </w:rPr>
              <w:t>；根据施工进度逐步进行了植被恢复；因本项目新增的水土流失量控制在设计预测范围；动植物生境逐步恢复</w:t>
            </w:r>
          </w:p>
        </w:tc>
        <w:tc>
          <w:tcPr>
            <w:tcW w:w="1082" w:type="pct"/>
            <w:gridSpan w:val="2"/>
            <w:vAlign w:val="center"/>
          </w:tcPr>
          <w:p w14:paraId="2C726B69">
            <w:pPr>
              <w:jc w:val="center"/>
              <w:rPr>
                <w:szCs w:val="21"/>
              </w:rPr>
            </w:pPr>
            <w:r>
              <w:rPr>
                <w:rFonts w:hint="eastAsia"/>
                <w:szCs w:val="21"/>
              </w:rPr>
              <w:t>进行植被恢复及养护管理；临时施工道路平整后及时恢复原有土地用途</w:t>
            </w:r>
          </w:p>
        </w:tc>
        <w:tc>
          <w:tcPr>
            <w:tcW w:w="934" w:type="pct"/>
            <w:vAlign w:val="center"/>
          </w:tcPr>
          <w:p w14:paraId="30C057BB">
            <w:pPr>
              <w:jc w:val="center"/>
              <w:rPr>
                <w:szCs w:val="21"/>
              </w:rPr>
            </w:pPr>
            <w:r>
              <w:rPr>
                <w:rFonts w:hint="eastAsia"/>
                <w:szCs w:val="21"/>
              </w:rPr>
              <w:t>生态恢复良好</w:t>
            </w:r>
          </w:p>
        </w:tc>
      </w:tr>
      <w:tr w14:paraId="5C894F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70619845">
            <w:pPr>
              <w:spacing w:line="360" w:lineRule="auto"/>
              <w:jc w:val="center"/>
              <w:rPr>
                <w:b/>
                <w:bCs/>
                <w:szCs w:val="21"/>
              </w:rPr>
            </w:pPr>
            <w:r>
              <w:rPr>
                <w:rFonts w:hint="eastAsia"/>
                <w:b/>
                <w:bCs/>
                <w:szCs w:val="21"/>
              </w:rPr>
              <w:t>水生生态</w:t>
            </w:r>
          </w:p>
        </w:tc>
        <w:tc>
          <w:tcPr>
            <w:tcW w:w="1608" w:type="pct"/>
            <w:vAlign w:val="center"/>
          </w:tcPr>
          <w:p w14:paraId="447F97FF">
            <w:pPr>
              <w:jc w:val="center"/>
              <w:rPr>
                <w:szCs w:val="21"/>
              </w:rPr>
            </w:pPr>
            <w:r>
              <w:rPr>
                <w:rFonts w:hint="eastAsia"/>
                <w:szCs w:val="21"/>
              </w:rPr>
              <w:t>/</w:t>
            </w:r>
          </w:p>
        </w:tc>
        <w:tc>
          <w:tcPr>
            <w:tcW w:w="918" w:type="pct"/>
            <w:vAlign w:val="center"/>
          </w:tcPr>
          <w:p w14:paraId="15B43FB5">
            <w:pPr>
              <w:jc w:val="center"/>
              <w:rPr>
                <w:szCs w:val="21"/>
              </w:rPr>
            </w:pPr>
            <w:r>
              <w:rPr>
                <w:rFonts w:hint="eastAsia"/>
                <w:szCs w:val="21"/>
              </w:rPr>
              <w:t>/</w:t>
            </w:r>
          </w:p>
        </w:tc>
        <w:tc>
          <w:tcPr>
            <w:tcW w:w="1082" w:type="pct"/>
            <w:gridSpan w:val="2"/>
            <w:vAlign w:val="center"/>
          </w:tcPr>
          <w:p w14:paraId="02FD216C">
            <w:pPr>
              <w:jc w:val="center"/>
              <w:rPr>
                <w:szCs w:val="21"/>
              </w:rPr>
            </w:pPr>
            <w:r>
              <w:rPr>
                <w:rFonts w:hint="eastAsia"/>
                <w:szCs w:val="21"/>
              </w:rPr>
              <w:t>/</w:t>
            </w:r>
          </w:p>
        </w:tc>
        <w:tc>
          <w:tcPr>
            <w:tcW w:w="934" w:type="pct"/>
            <w:vAlign w:val="center"/>
          </w:tcPr>
          <w:p w14:paraId="17B591CC">
            <w:pPr>
              <w:jc w:val="center"/>
              <w:rPr>
                <w:szCs w:val="21"/>
              </w:rPr>
            </w:pPr>
            <w:r>
              <w:rPr>
                <w:rFonts w:hint="eastAsia"/>
                <w:szCs w:val="21"/>
              </w:rPr>
              <w:t>/</w:t>
            </w:r>
          </w:p>
        </w:tc>
      </w:tr>
      <w:tr w14:paraId="507AC2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5E3A874B">
            <w:pPr>
              <w:spacing w:line="360" w:lineRule="auto"/>
              <w:jc w:val="center"/>
              <w:rPr>
                <w:b/>
                <w:bCs/>
                <w:szCs w:val="21"/>
              </w:rPr>
            </w:pPr>
            <w:r>
              <w:rPr>
                <w:rFonts w:hint="eastAsia"/>
                <w:b/>
                <w:bCs/>
                <w:szCs w:val="21"/>
              </w:rPr>
              <w:t>地表水环境</w:t>
            </w:r>
          </w:p>
        </w:tc>
        <w:tc>
          <w:tcPr>
            <w:tcW w:w="1608" w:type="pct"/>
            <w:vAlign w:val="center"/>
          </w:tcPr>
          <w:p w14:paraId="3DE06888">
            <w:pPr>
              <w:jc w:val="center"/>
              <w:rPr>
                <w:szCs w:val="21"/>
              </w:rPr>
            </w:pPr>
            <w:r>
              <w:rPr>
                <w:szCs w:val="21"/>
              </w:rPr>
              <w:t>生产废水经沉淀池沉淀后用于场地抑尘，不外排；施工临建区</w:t>
            </w:r>
            <w:r>
              <w:rPr>
                <w:rFonts w:hint="eastAsia"/>
                <w:szCs w:val="21"/>
              </w:rPr>
              <w:t>粪污</w:t>
            </w:r>
            <w:r>
              <w:rPr>
                <w:szCs w:val="21"/>
              </w:rPr>
              <w:t>由临时旱厕集中收集后</w:t>
            </w:r>
            <w:r>
              <w:rPr>
                <w:rFonts w:hint="eastAsia"/>
                <w:szCs w:val="21"/>
              </w:rPr>
              <w:t>作农肥，其他生活污水沉淀处理后浇灌绿地，不外排。</w:t>
            </w:r>
          </w:p>
        </w:tc>
        <w:tc>
          <w:tcPr>
            <w:tcW w:w="918" w:type="pct"/>
            <w:vAlign w:val="center"/>
          </w:tcPr>
          <w:p w14:paraId="0159ABBE">
            <w:pPr>
              <w:jc w:val="center"/>
              <w:rPr>
                <w:szCs w:val="21"/>
              </w:rPr>
            </w:pPr>
            <w:r>
              <w:rPr>
                <w:rFonts w:hint="eastAsia"/>
                <w:szCs w:val="21"/>
              </w:rPr>
              <w:t>废水不外排，对周边水环境影响较小</w:t>
            </w:r>
          </w:p>
        </w:tc>
        <w:tc>
          <w:tcPr>
            <w:tcW w:w="1082" w:type="pct"/>
            <w:gridSpan w:val="2"/>
            <w:vAlign w:val="center"/>
          </w:tcPr>
          <w:p w14:paraId="1D142E02">
            <w:pPr>
              <w:jc w:val="center"/>
              <w:rPr>
                <w:szCs w:val="21"/>
              </w:rPr>
            </w:pPr>
            <w:r>
              <w:rPr>
                <w:rFonts w:hint="eastAsia"/>
                <w:szCs w:val="21"/>
              </w:rPr>
              <w:t>化粪池处理后经一体化污水处理装置处理</w:t>
            </w:r>
          </w:p>
        </w:tc>
        <w:tc>
          <w:tcPr>
            <w:tcW w:w="934" w:type="pct"/>
            <w:vAlign w:val="center"/>
          </w:tcPr>
          <w:p w14:paraId="6883E1F9">
            <w:pPr>
              <w:jc w:val="center"/>
              <w:rPr>
                <w:szCs w:val="21"/>
              </w:rPr>
            </w:pPr>
            <w:r>
              <w:rPr>
                <w:rFonts w:hint="eastAsia"/>
                <w:szCs w:val="21"/>
              </w:rPr>
              <w:t>废水经处理后用于升压站区绿化，不外排</w:t>
            </w:r>
          </w:p>
        </w:tc>
      </w:tr>
      <w:tr w14:paraId="647045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3455605C">
            <w:pPr>
              <w:jc w:val="center"/>
              <w:rPr>
                <w:b/>
                <w:bCs/>
                <w:szCs w:val="21"/>
              </w:rPr>
            </w:pPr>
            <w:r>
              <w:rPr>
                <w:rFonts w:hint="eastAsia"/>
                <w:b/>
                <w:bCs/>
                <w:szCs w:val="21"/>
              </w:rPr>
              <w:t>地下水及</w:t>
            </w:r>
          </w:p>
          <w:p w14:paraId="6D493FF8">
            <w:pPr>
              <w:jc w:val="center"/>
              <w:rPr>
                <w:b/>
                <w:bCs/>
                <w:szCs w:val="21"/>
              </w:rPr>
            </w:pPr>
            <w:r>
              <w:rPr>
                <w:rFonts w:hint="eastAsia"/>
                <w:b/>
                <w:bCs/>
                <w:szCs w:val="21"/>
              </w:rPr>
              <w:t>土壤环境</w:t>
            </w:r>
          </w:p>
        </w:tc>
        <w:tc>
          <w:tcPr>
            <w:tcW w:w="1608" w:type="pct"/>
            <w:vAlign w:val="center"/>
          </w:tcPr>
          <w:p w14:paraId="7DD580FB">
            <w:pPr>
              <w:jc w:val="center"/>
              <w:rPr>
                <w:szCs w:val="21"/>
              </w:rPr>
            </w:pPr>
            <w:r>
              <w:rPr>
                <w:rFonts w:hint="eastAsia"/>
                <w:szCs w:val="21"/>
              </w:rPr>
              <w:t>/</w:t>
            </w:r>
          </w:p>
        </w:tc>
        <w:tc>
          <w:tcPr>
            <w:tcW w:w="918" w:type="pct"/>
            <w:vAlign w:val="center"/>
          </w:tcPr>
          <w:p w14:paraId="0A887057">
            <w:pPr>
              <w:jc w:val="center"/>
              <w:rPr>
                <w:szCs w:val="21"/>
              </w:rPr>
            </w:pPr>
            <w:r>
              <w:rPr>
                <w:rFonts w:hint="eastAsia"/>
                <w:szCs w:val="21"/>
              </w:rPr>
              <w:t>/</w:t>
            </w:r>
          </w:p>
        </w:tc>
        <w:tc>
          <w:tcPr>
            <w:tcW w:w="1082" w:type="pct"/>
            <w:gridSpan w:val="2"/>
            <w:vAlign w:val="center"/>
          </w:tcPr>
          <w:p w14:paraId="704E3CDC">
            <w:pPr>
              <w:jc w:val="center"/>
              <w:rPr>
                <w:szCs w:val="21"/>
              </w:rPr>
            </w:pPr>
            <w:r>
              <w:rPr>
                <w:rFonts w:hint="eastAsia"/>
                <w:szCs w:val="21"/>
              </w:rPr>
              <w:t>/</w:t>
            </w:r>
          </w:p>
        </w:tc>
        <w:tc>
          <w:tcPr>
            <w:tcW w:w="934" w:type="pct"/>
            <w:vAlign w:val="center"/>
          </w:tcPr>
          <w:p w14:paraId="5C446A91">
            <w:pPr>
              <w:jc w:val="center"/>
              <w:rPr>
                <w:szCs w:val="21"/>
              </w:rPr>
            </w:pPr>
            <w:r>
              <w:rPr>
                <w:rFonts w:hint="eastAsia"/>
                <w:szCs w:val="21"/>
              </w:rPr>
              <w:t>/</w:t>
            </w:r>
          </w:p>
        </w:tc>
      </w:tr>
      <w:tr w14:paraId="28E025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1CC06FE5">
            <w:pPr>
              <w:spacing w:line="360" w:lineRule="auto"/>
              <w:jc w:val="center"/>
              <w:rPr>
                <w:b/>
                <w:bCs/>
                <w:szCs w:val="21"/>
              </w:rPr>
            </w:pPr>
            <w:r>
              <w:rPr>
                <w:rFonts w:hint="eastAsia"/>
                <w:b/>
                <w:bCs/>
                <w:szCs w:val="21"/>
              </w:rPr>
              <w:t>声环境</w:t>
            </w:r>
          </w:p>
        </w:tc>
        <w:tc>
          <w:tcPr>
            <w:tcW w:w="1608" w:type="pct"/>
            <w:vAlign w:val="center"/>
          </w:tcPr>
          <w:p w14:paraId="71A1FC85">
            <w:pPr>
              <w:jc w:val="center"/>
              <w:rPr>
                <w:szCs w:val="21"/>
              </w:rPr>
            </w:pPr>
            <w:r>
              <w:rPr>
                <w:rFonts w:hint="eastAsia"/>
                <w:szCs w:val="21"/>
              </w:rPr>
              <w:t>避免夜间运输、施工；采取低噪声工艺和设备；合理安排施工，加强管理</w:t>
            </w:r>
          </w:p>
        </w:tc>
        <w:tc>
          <w:tcPr>
            <w:tcW w:w="918" w:type="pct"/>
            <w:vAlign w:val="center"/>
          </w:tcPr>
          <w:p w14:paraId="643D6D40">
            <w:pPr>
              <w:jc w:val="center"/>
              <w:rPr>
                <w:szCs w:val="21"/>
              </w:rPr>
            </w:pPr>
            <w:r>
              <w:rPr>
                <w:szCs w:val="21"/>
              </w:rPr>
              <w:t>《建筑施工场界环境噪声排放标准》（GB12523-2011）中</w:t>
            </w:r>
            <w:r>
              <w:rPr>
                <w:rFonts w:hint="eastAsia"/>
                <w:szCs w:val="21"/>
              </w:rPr>
              <w:t>要求</w:t>
            </w:r>
          </w:p>
        </w:tc>
        <w:tc>
          <w:tcPr>
            <w:tcW w:w="1082" w:type="pct"/>
            <w:gridSpan w:val="2"/>
            <w:vAlign w:val="center"/>
          </w:tcPr>
          <w:p w14:paraId="177379A1">
            <w:pPr>
              <w:jc w:val="center"/>
              <w:rPr>
                <w:szCs w:val="21"/>
              </w:rPr>
            </w:pPr>
            <w:r>
              <w:rPr>
                <w:rFonts w:hint="eastAsia"/>
                <w:szCs w:val="21"/>
              </w:rPr>
              <w:t>选用低噪声机组；减少偏航次数；加强噪声监测。</w:t>
            </w:r>
            <w:r>
              <w:rPr>
                <w:rFonts w:hint="eastAsia"/>
                <w:szCs w:val="21"/>
                <w:u w:val="none"/>
              </w:rPr>
              <w:t>预留噪声防治资金，若跟踪监测出现敏感点超标，则应进行噪声治理，在敏感点加装隔声窗等。</w:t>
            </w:r>
          </w:p>
        </w:tc>
        <w:tc>
          <w:tcPr>
            <w:tcW w:w="934" w:type="pct"/>
            <w:vAlign w:val="center"/>
          </w:tcPr>
          <w:p w14:paraId="1B95CE41">
            <w:pPr>
              <w:jc w:val="center"/>
              <w:rPr>
                <w:szCs w:val="21"/>
              </w:rPr>
            </w:pPr>
            <w:r>
              <w:rPr>
                <w:rFonts w:hint="eastAsia"/>
                <w:szCs w:val="21"/>
              </w:rPr>
              <w:t>敏感点达到《声环境质量标准》（GB3096-2008）二类标准</w:t>
            </w:r>
          </w:p>
        </w:tc>
      </w:tr>
      <w:tr w14:paraId="46041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2446DD37">
            <w:pPr>
              <w:spacing w:line="360" w:lineRule="auto"/>
              <w:jc w:val="center"/>
              <w:rPr>
                <w:b/>
                <w:bCs/>
                <w:szCs w:val="21"/>
              </w:rPr>
            </w:pPr>
            <w:r>
              <w:rPr>
                <w:rFonts w:hint="eastAsia"/>
                <w:b/>
                <w:bCs/>
                <w:szCs w:val="21"/>
              </w:rPr>
              <w:t>振动</w:t>
            </w:r>
          </w:p>
        </w:tc>
        <w:tc>
          <w:tcPr>
            <w:tcW w:w="1608" w:type="pct"/>
            <w:vAlign w:val="center"/>
          </w:tcPr>
          <w:p w14:paraId="351A7718">
            <w:pPr>
              <w:jc w:val="center"/>
              <w:rPr>
                <w:szCs w:val="21"/>
              </w:rPr>
            </w:pPr>
            <w:r>
              <w:rPr>
                <w:rFonts w:hint="eastAsia"/>
                <w:szCs w:val="21"/>
              </w:rPr>
              <w:t>/</w:t>
            </w:r>
          </w:p>
        </w:tc>
        <w:tc>
          <w:tcPr>
            <w:tcW w:w="918" w:type="pct"/>
            <w:vAlign w:val="center"/>
          </w:tcPr>
          <w:p w14:paraId="6CF5A01D">
            <w:pPr>
              <w:jc w:val="center"/>
              <w:rPr>
                <w:szCs w:val="21"/>
              </w:rPr>
            </w:pPr>
            <w:r>
              <w:rPr>
                <w:rFonts w:hint="eastAsia"/>
                <w:szCs w:val="21"/>
              </w:rPr>
              <w:t>/</w:t>
            </w:r>
          </w:p>
        </w:tc>
        <w:tc>
          <w:tcPr>
            <w:tcW w:w="1082" w:type="pct"/>
            <w:gridSpan w:val="2"/>
            <w:vAlign w:val="center"/>
          </w:tcPr>
          <w:p w14:paraId="7CCB2EA5">
            <w:pPr>
              <w:jc w:val="center"/>
              <w:rPr>
                <w:szCs w:val="21"/>
              </w:rPr>
            </w:pPr>
            <w:r>
              <w:rPr>
                <w:rFonts w:hint="eastAsia"/>
                <w:szCs w:val="21"/>
              </w:rPr>
              <w:t>/</w:t>
            </w:r>
          </w:p>
        </w:tc>
        <w:tc>
          <w:tcPr>
            <w:tcW w:w="934" w:type="pct"/>
            <w:vAlign w:val="center"/>
          </w:tcPr>
          <w:p w14:paraId="28DB76D0">
            <w:pPr>
              <w:jc w:val="center"/>
              <w:rPr>
                <w:szCs w:val="21"/>
              </w:rPr>
            </w:pPr>
            <w:r>
              <w:rPr>
                <w:rFonts w:hint="eastAsia"/>
                <w:szCs w:val="21"/>
              </w:rPr>
              <w:t>/</w:t>
            </w:r>
          </w:p>
        </w:tc>
      </w:tr>
      <w:tr w14:paraId="7CB616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0561F74C">
            <w:pPr>
              <w:spacing w:line="360" w:lineRule="auto"/>
              <w:jc w:val="center"/>
              <w:rPr>
                <w:b/>
                <w:bCs/>
                <w:szCs w:val="21"/>
              </w:rPr>
            </w:pPr>
            <w:r>
              <w:rPr>
                <w:rFonts w:hint="eastAsia"/>
                <w:b/>
                <w:bCs/>
                <w:szCs w:val="21"/>
              </w:rPr>
              <w:t>大气环境</w:t>
            </w:r>
          </w:p>
        </w:tc>
        <w:tc>
          <w:tcPr>
            <w:tcW w:w="1608" w:type="pct"/>
            <w:vAlign w:val="center"/>
          </w:tcPr>
          <w:p w14:paraId="2CA4BA3B">
            <w:pPr>
              <w:jc w:val="center"/>
              <w:rPr>
                <w:szCs w:val="21"/>
              </w:rPr>
            </w:pPr>
            <w:r>
              <w:rPr>
                <w:rFonts w:hint="eastAsia"/>
                <w:szCs w:val="21"/>
              </w:rPr>
              <w:t>作业区远离居民区；大风天气禁止土建施工；施工生产区地面硬化；</w:t>
            </w:r>
            <w:r>
              <w:rPr>
                <w:szCs w:val="21"/>
              </w:rPr>
              <w:t>使用商品混凝土；施工道路及裸露地面定期洒水；回填土、临时堆料采取围挡、覆盖措施；装卸建筑材料，必须采用封闭式车辆运输</w:t>
            </w:r>
            <w:r>
              <w:rPr>
                <w:rFonts w:hint="eastAsia"/>
                <w:szCs w:val="21"/>
              </w:rPr>
              <w:t>；无老、旧报废车辆或设备。</w:t>
            </w:r>
          </w:p>
        </w:tc>
        <w:tc>
          <w:tcPr>
            <w:tcW w:w="918" w:type="pct"/>
            <w:vAlign w:val="center"/>
          </w:tcPr>
          <w:p w14:paraId="41C0DAB9">
            <w:pPr>
              <w:jc w:val="center"/>
              <w:rPr>
                <w:szCs w:val="21"/>
              </w:rPr>
            </w:pPr>
            <w:r>
              <w:rPr>
                <w:rFonts w:hint="eastAsia"/>
                <w:szCs w:val="21"/>
              </w:rPr>
              <w:t>减少扬尘量，减轻对大气环境的影响</w:t>
            </w:r>
          </w:p>
        </w:tc>
        <w:tc>
          <w:tcPr>
            <w:tcW w:w="1082" w:type="pct"/>
            <w:gridSpan w:val="2"/>
            <w:vAlign w:val="center"/>
          </w:tcPr>
          <w:p w14:paraId="4ABA9FD6">
            <w:pPr>
              <w:jc w:val="center"/>
              <w:rPr>
                <w:szCs w:val="21"/>
              </w:rPr>
            </w:pPr>
            <w:r>
              <w:rPr>
                <w:rFonts w:hint="eastAsia"/>
                <w:szCs w:val="21"/>
              </w:rPr>
              <w:t>食堂油烟经油烟净化装置处理后楼顶排放</w:t>
            </w:r>
          </w:p>
        </w:tc>
        <w:tc>
          <w:tcPr>
            <w:tcW w:w="934" w:type="pct"/>
            <w:vAlign w:val="center"/>
          </w:tcPr>
          <w:p w14:paraId="3065C65A">
            <w:pPr>
              <w:jc w:val="center"/>
              <w:rPr>
                <w:szCs w:val="21"/>
              </w:rPr>
            </w:pPr>
            <w:r>
              <w:rPr>
                <w:rFonts w:hint="eastAsia"/>
                <w:szCs w:val="21"/>
              </w:rPr>
              <w:t>《饮食业油烟排放标准（试行）》（GB18483-2001）表2标准</w:t>
            </w:r>
          </w:p>
        </w:tc>
      </w:tr>
      <w:tr w14:paraId="3E69E1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455" w:type="pct"/>
            <w:vMerge w:val="restart"/>
            <w:vAlign w:val="center"/>
          </w:tcPr>
          <w:p w14:paraId="3E1E5AFD">
            <w:pPr>
              <w:spacing w:line="360" w:lineRule="auto"/>
              <w:jc w:val="center"/>
              <w:rPr>
                <w:b/>
                <w:bCs/>
                <w:szCs w:val="21"/>
              </w:rPr>
            </w:pPr>
            <w:r>
              <w:rPr>
                <w:rFonts w:hint="eastAsia"/>
                <w:b/>
                <w:bCs/>
                <w:szCs w:val="21"/>
              </w:rPr>
              <w:t>固体废物</w:t>
            </w:r>
          </w:p>
        </w:tc>
        <w:tc>
          <w:tcPr>
            <w:tcW w:w="1608" w:type="pct"/>
            <w:vMerge w:val="restart"/>
            <w:vAlign w:val="center"/>
          </w:tcPr>
          <w:p w14:paraId="05CF26F2">
            <w:pPr>
              <w:jc w:val="center"/>
              <w:rPr>
                <w:szCs w:val="21"/>
              </w:rPr>
            </w:pPr>
            <w:r>
              <w:rPr>
                <w:szCs w:val="21"/>
              </w:rPr>
              <w:t>施工期生活垃圾要定点集中收集，不得任意堆放和丢弃，生活垃圾定期由施工方统一组织清运，交由市政管理部门统一处理；</w:t>
            </w:r>
            <w:r>
              <w:rPr>
                <w:rFonts w:hint="eastAsia"/>
                <w:szCs w:val="21"/>
              </w:rPr>
              <w:t>施工弃渣在弃渣场妥善堆存。</w:t>
            </w:r>
          </w:p>
        </w:tc>
        <w:tc>
          <w:tcPr>
            <w:tcW w:w="918" w:type="pct"/>
            <w:vMerge w:val="restart"/>
            <w:vAlign w:val="center"/>
          </w:tcPr>
          <w:p w14:paraId="04DC3D63">
            <w:pPr>
              <w:jc w:val="center"/>
              <w:rPr>
                <w:szCs w:val="21"/>
              </w:rPr>
            </w:pPr>
            <w:r>
              <w:rPr>
                <w:rFonts w:hint="eastAsia"/>
                <w:szCs w:val="21"/>
              </w:rPr>
              <w:t>固废均得到妥善处置</w:t>
            </w:r>
          </w:p>
        </w:tc>
        <w:tc>
          <w:tcPr>
            <w:tcW w:w="373" w:type="pct"/>
            <w:vAlign w:val="center"/>
          </w:tcPr>
          <w:p w14:paraId="7C36AFF0">
            <w:pPr>
              <w:jc w:val="center"/>
              <w:rPr>
                <w:rFonts w:hint="default" w:eastAsia="宋体"/>
                <w:szCs w:val="21"/>
                <w:lang w:val="en-US" w:eastAsia="zh-CN"/>
              </w:rPr>
            </w:pPr>
            <w:r>
              <w:rPr>
                <w:rFonts w:hint="eastAsia"/>
                <w:szCs w:val="21"/>
                <w:lang w:val="en-US" w:eastAsia="zh-CN"/>
              </w:rPr>
              <w:t>施工弃渣</w:t>
            </w:r>
          </w:p>
        </w:tc>
        <w:tc>
          <w:tcPr>
            <w:tcW w:w="709" w:type="pct"/>
            <w:vAlign w:val="center"/>
          </w:tcPr>
          <w:p w14:paraId="50F34A80">
            <w:pPr>
              <w:jc w:val="center"/>
              <w:rPr>
                <w:rFonts w:hint="default" w:eastAsia="宋体"/>
                <w:szCs w:val="21"/>
                <w:lang w:val="en-US" w:eastAsia="zh-CN"/>
              </w:rPr>
            </w:pPr>
            <w:r>
              <w:rPr>
                <w:rFonts w:hint="eastAsia"/>
                <w:szCs w:val="21"/>
                <w:lang w:val="en-US" w:eastAsia="zh-CN"/>
              </w:rPr>
              <w:t>妥善保存在弃渣场内</w:t>
            </w:r>
          </w:p>
        </w:tc>
        <w:tc>
          <w:tcPr>
            <w:tcW w:w="934" w:type="pct"/>
            <w:vAlign w:val="center"/>
          </w:tcPr>
          <w:p w14:paraId="56A3AA4A">
            <w:pPr>
              <w:jc w:val="center"/>
              <w:rPr>
                <w:szCs w:val="21"/>
              </w:rPr>
            </w:pPr>
            <w:r>
              <w:rPr>
                <w:rFonts w:hint="eastAsia"/>
                <w:szCs w:val="21"/>
              </w:rPr>
              <w:t>《一般工业固体废物贮存和填埋污染控制标准》（GB18599-2020）</w:t>
            </w:r>
          </w:p>
        </w:tc>
      </w:tr>
      <w:tr w14:paraId="5F5D0D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455" w:type="pct"/>
            <w:vMerge w:val="continue"/>
            <w:vAlign w:val="center"/>
          </w:tcPr>
          <w:p w14:paraId="271F8223">
            <w:pPr>
              <w:spacing w:line="360" w:lineRule="auto"/>
              <w:jc w:val="center"/>
              <w:rPr>
                <w:rFonts w:hint="eastAsia"/>
                <w:b/>
                <w:bCs/>
                <w:szCs w:val="21"/>
              </w:rPr>
            </w:pPr>
          </w:p>
        </w:tc>
        <w:tc>
          <w:tcPr>
            <w:tcW w:w="1608" w:type="pct"/>
            <w:vMerge w:val="continue"/>
            <w:vAlign w:val="center"/>
          </w:tcPr>
          <w:p w14:paraId="4B504A97">
            <w:pPr>
              <w:jc w:val="center"/>
              <w:rPr>
                <w:szCs w:val="21"/>
              </w:rPr>
            </w:pPr>
          </w:p>
        </w:tc>
        <w:tc>
          <w:tcPr>
            <w:tcW w:w="918" w:type="pct"/>
            <w:vMerge w:val="continue"/>
            <w:vAlign w:val="center"/>
          </w:tcPr>
          <w:p w14:paraId="17FE3431">
            <w:pPr>
              <w:jc w:val="center"/>
              <w:rPr>
                <w:rFonts w:hint="eastAsia"/>
                <w:szCs w:val="21"/>
              </w:rPr>
            </w:pPr>
          </w:p>
        </w:tc>
        <w:tc>
          <w:tcPr>
            <w:tcW w:w="373" w:type="pct"/>
            <w:vAlign w:val="center"/>
          </w:tcPr>
          <w:p w14:paraId="6F0702C9">
            <w:pPr>
              <w:jc w:val="center"/>
              <w:rPr>
                <w:rFonts w:hint="eastAsia" w:ascii="Times New Roman" w:hAnsi="Times New Roman" w:eastAsia="宋体" w:cs="Times New Roman"/>
                <w:kern w:val="2"/>
                <w:sz w:val="21"/>
                <w:szCs w:val="21"/>
                <w:lang w:val="en-US" w:eastAsia="zh-CN" w:bidi="ar-SA"/>
              </w:rPr>
            </w:pPr>
            <w:r>
              <w:rPr>
                <w:rFonts w:hint="eastAsia"/>
                <w:szCs w:val="21"/>
              </w:rPr>
              <w:t>生活垃圾</w:t>
            </w:r>
          </w:p>
        </w:tc>
        <w:tc>
          <w:tcPr>
            <w:tcW w:w="709" w:type="pct"/>
            <w:vAlign w:val="center"/>
          </w:tcPr>
          <w:p w14:paraId="262FB848">
            <w:pPr>
              <w:jc w:val="center"/>
              <w:rPr>
                <w:rFonts w:hint="eastAsia" w:ascii="Times New Roman" w:hAnsi="Times New Roman" w:eastAsia="宋体" w:cs="Times New Roman"/>
                <w:kern w:val="2"/>
                <w:sz w:val="21"/>
                <w:szCs w:val="21"/>
                <w:lang w:val="en-US" w:eastAsia="zh-CN" w:bidi="ar-SA"/>
              </w:rPr>
            </w:pPr>
            <w:r>
              <w:rPr>
                <w:rFonts w:hint="eastAsia"/>
                <w:szCs w:val="21"/>
              </w:rPr>
              <w:t>统一收集，定期由环卫部门清运</w:t>
            </w:r>
          </w:p>
        </w:tc>
        <w:tc>
          <w:tcPr>
            <w:tcW w:w="934" w:type="pct"/>
            <w:vAlign w:val="center"/>
          </w:tcPr>
          <w:p w14:paraId="2614B7AE">
            <w:pPr>
              <w:jc w:val="center"/>
              <w:rPr>
                <w:rFonts w:hint="eastAsia" w:eastAsia="宋体"/>
                <w:szCs w:val="21"/>
                <w:lang w:eastAsia="zh-CN"/>
              </w:rPr>
            </w:pPr>
            <w:r>
              <w:rPr>
                <w:rFonts w:hint="eastAsia"/>
                <w:szCs w:val="21"/>
                <w:lang w:eastAsia="zh-CN"/>
              </w:rPr>
              <w:t>《生活垃圾填埋污染控制标准》（GB16889-2008）</w:t>
            </w:r>
          </w:p>
        </w:tc>
      </w:tr>
      <w:tr w14:paraId="247F65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2" w:hRule="atLeast"/>
        </w:trPr>
        <w:tc>
          <w:tcPr>
            <w:tcW w:w="455" w:type="pct"/>
            <w:vMerge w:val="continue"/>
            <w:vAlign w:val="center"/>
          </w:tcPr>
          <w:p w14:paraId="6C0058D2">
            <w:pPr>
              <w:jc w:val="center"/>
              <w:rPr>
                <w:b/>
                <w:bCs/>
                <w:szCs w:val="21"/>
              </w:rPr>
            </w:pPr>
          </w:p>
        </w:tc>
        <w:tc>
          <w:tcPr>
            <w:tcW w:w="1608" w:type="pct"/>
            <w:vMerge w:val="continue"/>
            <w:vAlign w:val="center"/>
          </w:tcPr>
          <w:p w14:paraId="4356D1EB">
            <w:pPr>
              <w:jc w:val="center"/>
              <w:rPr>
                <w:szCs w:val="21"/>
              </w:rPr>
            </w:pPr>
          </w:p>
        </w:tc>
        <w:tc>
          <w:tcPr>
            <w:tcW w:w="918" w:type="pct"/>
            <w:vMerge w:val="continue"/>
            <w:vAlign w:val="center"/>
          </w:tcPr>
          <w:p w14:paraId="11A8438D">
            <w:pPr>
              <w:jc w:val="center"/>
              <w:rPr>
                <w:szCs w:val="21"/>
              </w:rPr>
            </w:pPr>
          </w:p>
        </w:tc>
        <w:tc>
          <w:tcPr>
            <w:tcW w:w="373" w:type="pct"/>
            <w:vAlign w:val="center"/>
          </w:tcPr>
          <w:p w14:paraId="6A60EAE9">
            <w:pPr>
              <w:jc w:val="center"/>
              <w:rPr>
                <w:szCs w:val="21"/>
              </w:rPr>
            </w:pPr>
            <w:r>
              <w:rPr>
                <w:spacing w:val="6"/>
                <w:szCs w:val="21"/>
              </w:rPr>
              <w:t>危险废物</w:t>
            </w:r>
          </w:p>
        </w:tc>
        <w:tc>
          <w:tcPr>
            <w:tcW w:w="709" w:type="pct"/>
            <w:vAlign w:val="center"/>
          </w:tcPr>
          <w:p w14:paraId="1D312079">
            <w:pPr>
              <w:jc w:val="center"/>
              <w:rPr>
                <w:szCs w:val="21"/>
              </w:rPr>
            </w:pPr>
            <w:r>
              <w:rPr>
                <w:rFonts w:hint="eastAsia"/>
                <w:szCs w:val="21"/>
              </w:rPr>
              <w:t>收集后暂存于危废间，定期由有资质单位进行清运处置</w:t>
            </w:r>
          </w:p>
        </w:tc>
        <w:tc>
          <w:tcPr>
            <w:tcW w:w="934" w:type="pct"/>
            <w:vAlign w:val="center"/>
          </w:tcPr>
          <w:p w14:paraId="1FEB192A">
            <w:pPr>
              <w:jc w:val="center"/>
              <w:rPr>
                <w:szCs w:val="21"/>
              </w:rPr>
            </w:pPr>
            <w:r>
              <w:rPr>
                <w:rFonts w:hint="eastAsia"/>
                <w:szCs w:val="21"/>
              </w:rPr>
              <w:t>《危险废物贮存污染控制标准》（GB18597-</w:t>
            </w:r>
            <w:r>
              <w:rPr>
                <w:rFonts w:hint="eastAsia"/>
                <w:szCs w:val="21"/>
                <w:lang w:val="en-US" w:eastAsia="zh-CN"/>
              </w:rPr>
              <w:t>2023</w:t>
            </w:r>
            <w:r>
              <w:rPr>
                <w:rFonts w:hint="eastAsia"/>
                <w:szCs w:val="21"/>
              </w:rPr>
              <w:t>）和《危险废物收集、贮存、运输技术规范》（HJ2025-2012）相关规定</w:t>
            </w:r>
          </w:p>
        </w:tc>
      </w:tr>
      <w:tr w14:paraId="5B53C6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007EE539">
            <w:pPr>
              <w:spacing w:line="360" w:lineRule="auto"/>
              <w:jc w:val="center"/>
              <w:rPr>
                <w:b/>
                <w:bCs/>
                <w:szCs w:val="21"/>
              </w:rPr>
            </w:pPr>
            <w:r>
              <w:rPr>
                <w:rFonts w:hint="eastAsia"/>
                <w:b/>
                <w:bCs/>
                <w:szCs w:val="21"/>
              </w:rPr>
              <w:t>电磁环境</w:t>
            </w:r>
          </w:p>
        </w:tc>
        <w:tc>
          <w:tcPr>
            <w:tcW w:w="1608" w:type="pct"/>
            <w:vAlign w:val="center"/>
          </w:tcPr>
          <w:p w14:paraId="18228FD2">
            <w:pPr>
              <w:jc w:val="center"/>
              <w:rPr>
                <w:szCs w:val="21"/>
              </w:rPr>
            </w:pPr>
            <w:r>
              <w:rPr>
                <w:rFonts w:hint="eastAsia"/>
                <w:szCs w:val="21"/>
              </w:rPr>
              <w:t>/</w:t>
            </w:r>
          </w:p>
        </w:tc>
        <w:tc>
          <w:tcPr>
            <w:tcW w:w="918" w:type="pct"/>
            <w:vAlign w:val="center"/>
          </w:tcPr>
          <w:p w14:paraId="3D25FE95">
            <w:pPr>
              <w:jc w:val="center"/>
              <w:rPr>
                <w:szCs w:val="21"/>
              </w:rPr>
            </w:pPr>
            <w:r>
              <w:rPr>
                <w:rFonts w:hint="eastAsia"/>
                <w:szCs w:val="21"/>
              </w:rPr>
              <w:t>/</w:t>
            </w:r>
          </w:p>
        </w:tc>
        <w:tc>
          <w:tcPr>
            <w:tcW w:w="1082" w:type="pct"/>
            <w:gridSpan w:val="2"/>
            <w:vAlign w:val="center"/>
          </w:tcPr>
          <w:p w14:paraId="0A8AAD42">
            <w:pPr>
              <w:jc w:val="center"/>
              <w:rPr>
                <w:rFonts w:hint="default" w:eastAsia="宋体"/>
                <w:szCs w:val="21"/>
                <w:lang w:val="en-US" w:eastAsia="zh-CN"/>
              </w:rPr>
            </w:pPr>
            <w:r>
              <w:rPr>
                <w:rFonts w:hint="eastAsia"/>
                <w:szCs w:val="21"/>
                <w:lang w:val="en-US" w:eastAsia="zh-CN"/>
              </w:rPr>
              <w:t>定期开展电磁环境监测</w:t>
            </w:r>
          </w:p>
        </w:tc>
        <w:tc>
          <w:tcPr>
            <w:tcW w:w="934" w:type="pct"/>
            <w:vAlign w:val="center"/>
          </w:tcPr>
          <w:p w14:paraId="44BD4549">
            <w:pPr>
              <w:jc w:val="center"/>
              <w:rPr>
                <w:rFonts w:hint="eastAsia" w:eastAsia="宋体"/>
                <w:szCs w:val="21"/>
                <w:lang w:eastAsia="zh-CN"/>
              </w:rPr>
            </w:pPr>
            <w:r>
              <w:rPr>
                <w:rFonts w:hint="eastAsia" w:eastAsia="宋体"/>
                <w:szCs w:val="21"/>
                <w:lang w:eastAsia="zh-CN"/>
              </w:rPr>
              <w:t>《电磁环境控制限值》（GB8702</w:t>
            </w:r>
            <w:r>
              <w:rPr>
                <w:rFonts w:hint="eastAsia" w:eastAsia="宋体"/>
                <w:szCs w:val="21"/>
                <w:lang w:val="en-US" w:eastAsia="zh-CN"/>
              </w:rPr>
              <w:t>-</w:t>
            </w:r>
            <w:r>
              <w:rPr>
                <w:rFonts w:hint="eastAsia" w:eastAsia="宋体"/>
                <w:szCs w:val="21"/>
                <w:lang w:eastAsia="zh-CN"/>
              </w:rPr>
              <w:t>2014）表1中公众曝露控制限值</w:t>
            </w:r>
          </w:p>
        </w:tc>
      </w:tr>
      <w:tr w14:paraId="59DE91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57CC3B4C">
            <w:pPr>
              <w:spacing w:line="360" w:lineRule="auto"/>
              <w:jc w:val="center"/>
              <w:rPr>
                <w:b/>
                <w:bCs/>
                <w:szCs w:val="21"/>
              </w:rPr>
            </w:pPr>
            <w:r>
              <w:rPr>
                <w:rFonts w:hint="eastAsia"/>
                <w:b/>
                <w:bCs/>
                <w:szCs w:val="21"/>
              </w:rPr>
              <w:t>环境风险</w:t>
            </w:r>
          </w:p>
        </w:tc>
        <w:tc>
          <w:tcPr>
            <w:tcW w:w="1608" w:type="pct"/>
            <w:vAlign w:val="center"/>
          </w:tcPr>
          <w:p w14:paraId="1A54891F">
            <w:pPr>
              <w:jc w:val="center"/>
              <w:rPr>
                <w:szCs w:val="21"/>
              </w:rPr>
            </w:pPr>
            <w:r>
              <w:rPr>
                <w:rFonts w:hint="eastAsia"/>
                <w:szCs w:val="21"/>
              </w:rPr>
              <w:t>/</w:t>
            </w:r>
          </w:p>
        </w:tc>
        <w:tc>
          <w:tcPr>
            <w:tcW w:w="918" w:type="pct"/>
            <w:vAlign w:val="center"/>
          </w:tcPr>
          <w:p w14:paraId="43451F50">
            <w:pPr>
              <w:jc w:val="center"/>
              <w:rPr>
                <w:szCs w:val="21"/>
              </w:rPr>
            </w:pPr>
            <w:r>
              <w:rPr>
                <w:rFonts w:hint="eastAsia"/>
                <w:szCs w:val="21"/>
              </w:rPr>
              <w:t>/</w:t>
            </w:r>
          </w:p>
        </w:tc>
        <w:tc>
          <w:tcPr>
            <w:tcW w:w="1082" w:type="pct"/>
            <w:gridSpan w:val="2"/>
            <w:vAlign w:val="center"/>
          </w:tcPr>
          <w:p w14:paraId="5272ABD3">
            <w:pPr>
              <w:rPr>
                <w:szCs w:val="21"/>
              </w:rPr>
            </w:pPr>
            <w:r>
              <w:rPr>
                <w:rFonts w:hint="eastAsia"/>
              </w:rPr>
              <w:t>设危废暂存间，废油、废蓄电池等危险废物妥善包装后暂存与危废暂存间内，废油定期委托有资质的第三方单位集中处理，废蓄电池由厂家回收。主变压器和箱式变压器应急事故池需保持应急常态；雨天排入事故油池中的雨水应及时抽出，保持事故池满足应急条件。若雨水中含油类污水，将含油雨水排入一体化污水处理站处理达标后回用。</w:t>
            </w:r>
          </w:p>
        </w:tc>
        <w:tc>
          <w:tcPr>
            <w:tcW w:w="934" w:type="pct"/>
            <w:vAlign w:val="center"/>
          </w:tcPr>
          <w:p w14:paraId="5093012F">
            <w:pPr>
              <w:jc w:val="center"/>
              <w:rPr>
                <w:szCs w:val="21"/>
              </w:rPr>
            </w:pPr>
            <w:r>
              <w:rPr>
                <w:rFonts w:hint="eastAsia"/>
                <w:szCs w:val="21"/>
              </w:rPr>
              <w:t>危废间建设满足《危险废物贮存污染控制标准》（GB18597-20</w:t>
            </w:r>
            <w:r>
              <w:rPr>
                <w:rFonts w:hint="eastAsia"/>
                <w:szCs w:val="21"/>
                <w:lang w:val="en-US" w:eastAsia="zh-CN"/>
              </w:rPr>
              <w:t>23</w:t>
            </w:r>
            <w:r>
              <w:rPr>
                <w:rFonts w:hint="eastAsia"/>
                <w:szCs w:val="21"/>
              </w:rPr>
              <w:t>）；完成突发环境事件应急预案备案。</w:t>
            </w:r>
          </w:p>
        </w:tc>
      </w:tr>
      <w:tr w14:paraId="08FFF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78901327">
            <w:pPr>
              <w:spacing w:line="360" w:lineRule="auto"/>
              <w:jc w:val="center"/>
              <w:rPr>
                <w:b/>
                <w:bCs/>
                <w:szCs w:val="21"/>
              </w:rPr>
            </w:pPr>
            <w:r>
              <w:rPr>
                <w:rFonts w:hint="eastAsia"/>
                <w:b/>
                <w:bCs/>
                <w:szCs w:val="21"/>
              </w:rPr>
              <w:t>环境监测</w:t>
            </w:r>
          </w:p>
        </w:tc>
        <w:tc>
          <w:tcPr>
            <w:tcW w:w="4575" w:type="dxa"/>
            <w:vAlign w:val="center"/>
          </w:tcPr>
          <w:p w14:paraId="1202C406">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rFonts w:hint="default" w:eastAsia="宋体"/>
                <w:color w:val="FF0000"/>
                <w:szCs w:val="21"/>
                <w:lang w:val="en-US" w:eastAsia="zh-CN"/>
              </w:rPr>
            </w:pPr>
            <w:r>
              <w:rPr>
                <w:color w:val="FF0000"/>
                <w:sz w:val="21"/>
                <w:szCs w:val="21"/>
                <w:u w:val="none" w:color="auto"/>
              </w:rPr>
              <w:t>环境监测及监测报告；环境监理、水保监理报告</w:t>
            </w:r>
          </w:p>
        </w:tc>
        <w:tc>
          <w:tcPr>
            <w:tcW w:w="2613" w:type="dxa"/>
            <w:vAlign w:val="center"/>
          </w:tcPr>
          <w:p w14:paraId="178CE5B0">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color w:val="FF0000"/>
                <w:szCs w:val="21"/>
              </w:rPr>
            </w:pPr>
            <w:r>
              <w:rPr>
                <w:color w:val="FF0000"/>
                <w:sz w:val="21"/>
                <w:szCs w:val="21"/>
                <w:u w:val="none" w:color="auto"/>
              </w:rPr>
              <w:t>按要求开展</w:t>
            </w:r>
            <w:r>
              <w:rPr>
                <w:rFonts w:hint="eastAsia"/>
                <w:color w:val="FF0000"/>
                <w:sz w:val="21"/>
                <w:szCs w:val="21"/>
                <w:u w:val="none" w:color="auto"/>
              </w:rPr>
              <w:t>了</w:t>
            </w:r>
            <w:r>
              <w:rPr>
                <w:color w:val="FF0000"/>
                <w:sz w:val="21"/>
                <w:szCs w:val="21"/>
                <w:u w:val="none" w:color="auto"/>
              </w:rPr>
              <w:t>各项环境管理内容</w:t>
            </w:r>
          </w:p>
        </w:tc>
        <w:tc>
          <w:tcPr>
            <w:tcW w:w="3078" w:type="dxa"/>
            <w:gridSpan w:val="2"/>
            <w:vAlign w:val="center"/>
          </w:tcPr>
          <w:p w14:paraId="386E7710">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color w:val="FF0000"/>
                <w:szCs w:val="21"/>
              </w:rPr>
            </w:pPr>
            <w:r>
              <w:rPr>
                <w:color w:val="FF0000"/>
                <w:sz w:val="21"/>
                <w:szCs w:val="21"/>
                <w:u w:val="none" w:color="auto"/>
              </w:rPr>
              <w:t>环境监测及监测报告；环境监理及监理报告</w:t>
            </w:r>
          </w:p>
        </w:tc>
        <w:tc>
          <w:tcPr>
            <w:tcW w:w="2659" w:type="dxa"/>
            <w:vAlign w:val="center"/>
          </w:tcPr>
          <w:p w14:paraId="0B451FDB">
            <w:pPr>
              <w:pStyle w:val="101"/>
              <w:keepNext w:val="0"/>
              <w:keepLines w:val="0"/>
              <w:pageBreakBefore w:val="0"/>
              <w:kinsoku/>
              <w:wordWrap/>
              <w:overflowPunct/>
              <w:topLinePunct w:val="0"/>
              <w:autoSpaceDE/>
              <w:autoSpaceDN/>
              <w:bidi w:val="0"/>
              <w:spacing w:line="240" w:lineRule="auto"/>
              <w:ind w:right="0" w:rightChars="0" w:firstLine="0" w:firstLineChars="0"/>
              <w:textAlignment w:val="auto"/>
              <w:rPr>
                <w:color w:val="FF0000"/>
                <w:szCs w:val="21"/>
              </w:rPr>
            </w:pPr>
            <w:r>
              <w:rPr>
                <w:color w:val="FF0000"/>
                <w:sz w:val="21"/>
                <w:szCs w:val="21"/>
                <w:u w:val="none" w:color="auto"/>
              </w:rPr>
              <w:t>按要求开展</w:t>
            </w:r>
            <w:r>
              <w:rPr>
                <w:rFonts w:hint="eastAsia"/>
                <w:color w:val="FF0000"/>
                <w:sz w:val="21"/>
                <w:szCs w:val="21"/>
                <w:u w:val="none" w:color="auto"/>
              </w:rPr>
              <w:t>了</w:t>
            </w:r>
            <w:r>
              <w:rPr>
                <w:color w:val="FF0000"/>
                <w:sz w:val="21"/>
                <w:szCs w:val="21"/>
                <w:u w:val="none" w:color="auto"/>
              </w:rPr>
              <w:t>各项环境</w:t>
            </w:r>
            <w:r>
              <w:rPr>
                <w:rFonts w:hint="eastAsia"/>
                <w:color w:val="FF0000"/>
                <w:sz w:val="21"/>
                <w:szCs w:val="21"/>
                <w:u w:val="none" w:color="auto"/>
              </w:rPr>
              <w:t>监理与</w:t>
            </w:r>
            <w:r>
              <w:rPr>
                <w:color w:val="FF0000"/>
                <w:sz w:val="21"/>
                <w:szCs w:val="21"/>
                <w:u w:val="none" w:color="auto"/>
              </w:rPr>
              <w:t>管理内容</w:t>
            </w:r>
          </w:p>
        </w:tc>
      </w:tr>
      <w:tr w14:paraId="5DA477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5" w:type="pct"/>
            <w:vAlign w:val="center"/>
          </w:tcPr>
          <w:p w14:paraId="13EEC335">
            <w:pPr>
              <w:spacing w:line="360" w:lineRule="auto"/>
              <w:jc w:val="center"/>
              <w:rPr>
                <w:b/>
                <w:bCs/>
                <w:szCs w:val="21"/>
              </w:rPr>
            </w:pPr>
            <w:r>
              <w:rPr>
                <w:rFonts w:hint="eastAsia"/>
                <w:b/>
                <w:bCs/>
                <w:szCs w:val="21"/>
              </w:rPr>
              <w:t>其他</w:t>
            </w:r>
          </w:p>
        </w:tc>
        <w:tc>
          <w:tcPr>
            <w:tcW w:w="1608" w:type="pct"/>
            <w:vAlign w:val="center"/>
          </w:tcPr>
          <w:p w14:paraId="36161267">
            <w:pPr>
              <w:jc w:val="center"/>
              <w:rPr>
                <w:szCs w:val="21"/>
              </w:rPr>
            </w:pPr>
            <w:r>
              <w:rPr>
                <w:rFonts w:hint="eastAsia"/>
                <w:szCs w:val="21"/>
              </w:rPr>
              <w:t>/</w:t>
            </w:r>
          </w:p>
        </w:tc>
        <w:tc>
          <w:tcPr>
            <w:tcW w:w="918" w:type="pct"/>
            <w:vAlign w:val="center"/>
          </w:tcPr>
          <w:p w14:paraId="60891959">
            <w:pPr>
              <w:jc w:val="center"/>
              <w:rPr>
                <w:szCs w:val="21"/>
              </w:rPr>
            </w:pPr>
            <w:r>
              <w:rPr>
                <w:rFonts w:hint="eastAsia"/>
                <w:szCs w:val="21"/>
              </w:rPr>
              <w:t>/</w:t>
            </w:r>
          </w:p>
        </w:tc>
        <w:tc>
          <w:tcPr>
            <w:tcW w:w="1082" w:type="pct"/>
            <w:gridSpan w:val="2"/>
            <w:vAlign w:val="center"/>
          </w:tcPr>
          <w:p w14:paraId="00BA47B3">
            <w:pPr>
              <w:jc w:val="center"/>
              <w:rPr>
                <w:szCs w:val="21"/>
              </w:rPr>
            </w:pPr>
            <w:r>
              <w:rPr>
                <w:rFonts w:hint="eastAsia"/>
                <w:szCs w:val="21"/>
              </w:rPr>
              <w:t>/</w:t>
            </w:r>
          </w:p>
        </w:tc>
        <w:tc>
          <w:tcPr>
            <w:tcW w:w="934" w:type="pct"/>
            <w:vAlign w:val="center"/>
          </w:tcPr>
          <w:p w14:paraId="344E1657">
            <w:pPr>
              <w:jc w:val="center"/>
              <w:rPr>
                <w:szCs w:val="21"/>
              </w:rPr>
            </w:pPr>
            <w:r>
              <w:rPr>
                <w:rFonts w:hint="eastAsia"/>
                <w:szCs w:val="21"/>
              </w:rPr>
              <w:t>/</w:t>
            </w:r>
          </w:p>
        </w:tc>
      </w:tr>
    </w:tbl>
    <w:p w14:paraId="14E433AF">
      <w:pPr>
        <w:pStyle w:val="3"/>
        <w:numPr>
          <w:ilvl w:val="0"/>
          <w:numId w:val="0"/>
        </w:numPr>
        <w:outlineLvl w:val="9"/>
        <w:sectPr>
          <w:pgSz w:w="16838" w:h="11906" w:orient="landscape"/>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bookmarkEnd w:id="320"/>
    <w:p w14:paraId="2A5E23B8">
      <w:pPr>
        <w:pStyle w:val="3"/>
        <w:numPr>
          <w:ilvl w:val="0"/>
          <w:numId w:val="0"/>
        </w:numPr>
      </w:pPr>
      <w:bookmarkStart w:id="322" w:name="_Toc5371"/>
      <w:bookmarkStart w:id="323" w:name="_Toc5024"/>
      <w:r>
        <w:rPr>
          <w:rFonts w:hint="eastAsia"/>
        </w:rPr>
        <w:t>七、结论</w:t>
      </w:r>
      <w:bookmarkEnd w:id="322"/>
      <w:bookmarkEnd w:id="323"/>
    </w:p>
    <w:tbl>
      <w:tblPr>
        <w:tblStyle w:val="3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01151E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85" w:hRule="atLeast"/>
        </w:trPr>
        <w:tc>
          <w:tcPr>
            <w:tcW w:w="9288" w:type="dxa"/>
          </w:tcPr>
          <w:p w14:paraId="1D4BC5B9">
            <w:pPr>
              <w:spacing w:line="360" w:lineRule="auto"/>
              <w:rPr>
                <w:b/>
                <w:bCs/>
                <w:sz w:val="24"/>
              </w:rPr>
            </w:pPr>
            <w:r>
              <w:rPr>
                <w:b/>
                <w:bCs/>
                <w:sz w:val="24"/>
              </w:rPr>
              <w:t>7.1</w:t>
            </w:r>
            <w:r>
              <w:rPr>
                <w:rFonts w:hint="eastAsia"/>
                <w:b/>
                <w:bCs/>
                <w:sz w:val="24"/>
              </w:rPr>
              <w:t>结论</w:t>
            </w:r>
          </w:p>
          <w:p w14:paraId="5291006F">
            <w:pPr>
              <w:spacing w:line="360" w:lineRule="auto"/>
              <w:ind w:firstLine="480" w:firstLineChars="200"/>
              <w:rPr>
                <w:rFonts w:hint="default"/>
                <w:sz w:val="24"/>
                <w:lang w:val="en-US" w:eastAsia="zh-CN"/>
              </w:rPr>
            </w:pPr>
            <w:r>
              <w:rPr>
                <w:rFonts w:hint="eastAsia"/>
                <w:sz w:val="24"/>
                <w:lang w:eastAsia="zh-CN"/>
              </w:rPr>
              <w:t>耒阳市导子东湖风电场项目</w:t>
            </w:r>
            <w:r>
              <w:rPr>
                <w:sz w:val="24"/>
              </w:rPr>
              <w:t>符合产业政策</w:t>
            </w:r>
            <w:r>
              <w:rPr>
                <w:rFonts w:hint="eastAsia"/>
                <w:sz w:val="24"/>
                <w:lang w:val="en-US" w:eastAsia="zh-CN"/>
              </w:rPr>
              <w:t>和生态环境分区管控的要求。在落实本次环评和水土保持方案提出的各项污染防治措施和生态保护措施的前提下，项目对环境的影响较小。因此，从环境保护角度来看，项目的建设是可行的。</w:t>
            </w:r>
          </w:p>
          <w:p w14:paraId="68B38479">
            <w:pPr>
              <w:spacing w:line="360" w:lineRule="auto"/>
              <w:ind w:firstLine="480" w:firstLineChars="200"/>
              <w:rPr>
                <w:sz w:val="24"/>
              </w:rPr>
            </w:pPr>
            <w:r>
              <w:rPr>
                <w:sz w:val="24"/>
              </w:rPr>
              <w:t>建设单位应严格按照环评提出的要求，切实落实相应的污染防治对策及生态保护措施，严格执行建设项目竣工环境保护验收，并加强环保设施管理和维护，确保环保设施的正常高效运行，减缓项目建设对环境带来的不利影响，使工程建设与环境保护协调发展</w:t>
            </w:r>
            <w:r>
              <w:rPr>
                <w:rFonts w:hint="eastAsia"/>
                <w:sz w:val="24"/>
              </w:rPr>
              <w:t>。</w:t>
            </w:r>
          </w:p>
          <w:p w14:paraId="03F78F8A">
            <w:pPr>
              <w:spacing w:line="360" w:lineRule="auto"/>
              <w:rPr>
                <w:b/>
                <w:sz w:val="24"/>
              </w:rPr>
            </w:pPr>
            <w:r>
              <w:rPr>
                <w:b/>
                <w:sz w:val="24"/>
              </w:rPr>
              <w:t>7.2建议及要求</w:t>
            </w:r>
          </w:p>
          <w:p w14:paraId="1DE2F195">
            <w:pPr>
              <w:spacing w:line="360" w:lineRule="auto"/>
              <w:ind w:firstLine="480" w:firstLineChars="200"/>
              <w:rPr>
                <w:sz w:val="24"/>
              </w:rPr>
            </w:pPr>
            <w:r>
              <w:rPr>
                <w:rFonts w:hint="eastAsia"/>
                <w:sz w:val="24"/>
              </w:rPr>
              <w:t>（1）必须严格执行“三同时”制度，建设项目需要配套建设的环境保护设施经验收合格，建设项目方可正式投入生产使用。</w:t>
            </w:r>
          </w:p>
          <w:p w14:paraId="0EEABF35">
            <w:pPr>
              <w:spacing w:line="360" w:lineRule="auto"/>
              <w:ind w:firstLine="480" w:firstLineChars="200"/>
              <w:rPr>
                <w:sz w:val="24"/>
              </w:rPr>
            </w:pPr>
            <w:r>
              <w:rPr>
                <w:rFonts w:hint="eastAsia"/>
                <w:sz w:val="24"/>
              </w:rPr>
              <w:t>（2）所有固废应及时收集，放置在指定地点，分类回收或综合利用，避免在升压站长时间堆存引起二次污染。</w:t>
            </w:r>
          </w:p>
          <w:p w14:paraId="06C679D2">
            <w:pPr>
              <w:spacing w:line="360" w:lineRule="auto"/>
              <w:ind w:firstLine="480" w:firstLineChars="200"/>
              <w:rPr>
                <w:sz w:val="24"/>
              </w:rPr>
            </w:pPr>
            <w:r>
              <w:rPr>
                <w:rFonts w:hint="eastAsia"/>
                <w:sz w:val="24"/>
              </w:rPr>
              <w:t>（</w:t>
            </w:r>
            <w:r>
              <w:rPr>
                <w:sz w:val="24"/>
              </w:rPr>
              <w:t>3</w:t>
            </w:r>
            <w:r>
              <w:rPr>
                <w:rFonts w:hint="eastAsia"/>
                <w:sz w:val="24"/>
              </w:rPr>
              <w:t>）企业应加强环保设施的日常管理、维护，建立健全环保设施的运行管理制度、定期检查制度、设备维护和检修制度，确保环保设施高效运行，尽量避免污染物事故排放情况发生。</w:t>
            </w:r>
          </w:p>
          <w:p w14:paraId="150B9369">
            <w:pPr>
              <w:spacing w:line="360" w:lineRule="auto"/>
              <w:ind w:firstLine="480" w:firstLineChars="200"/>
              <w:rPr>
                <w:sz w:val="24"/>
              </w:rPr>
            </w:pPr>
          </w:p>
          <w:p w14:paraId="047A06C2">
            <w:pPr>
              <w:spacing w:line="360" w:lineRule="auto"/>
              <w:ind w:firstLine="480" w:firstLineChars="200"/>
              <w:rPr>
                <w:sz w:val="24"/>
              </w:rPr>
            </w:pPr>
          </w:p>
          <w:p w14:paraId="734B9A25">
            <w:pPr>
              <w:spacing w:line="360" w:lineRule="auto"/>
              <w:ind w:firstLine="480" w:firstLineChars="200"/>
              <w:rPr>
                <w:sz w:val="24"/>
              </w:rPr>
            </w:pPr>
          </w:p>
          <w:p w14:paraId="4E271CDC">
            <w:pPr>
              <w:spacing w:line="360" w:lineRule="auto"/>
              <w:ind w:firstLine="480" w:firstLineChars="200"/>
              <w:rPr>
                <w:sz w:val="24"/>
              </w:rPr>
            </w:pPr>
          </w:p>
          <w:p w14:paraId="69B9CA5E">
            <w:pPr>
              <w:spacing w:line="360" w:lineRule="auto"/>
              <w:ind w:firstLine="480" w:firstLineChars="200"/>
              <w:rPr>
                <w:sz w:val="24"/>
              </w:rPr>
            </w:pPr>
          </w:p>
          <w:p w14:paraId="3DF3C2D0">
            <w:pPr>
              <w:spacing w:line="360" w:lineRule="auto"/>
              <w:ind w:firstLine="480" w:firstLineChars="200"/>
              <w:rPr>
                <w:sz w:val="24"/>
              </w:rPr>
            </w:pPr>
          </w:p>
          <w:p w14:paraId="1FC65BF5">
            <w:pPr>
              <w:spacing w:line="360" w:lineRule="auto"/>
              <w:ind w:firstLine="480" w:firstLineChars="200"/>
              <w:rPr>
                <w:sz w:val="24"/>
              </w:rPr>
            </w:pPr>
          </w:p>
          <w:p w14:paraId="2F604C05">
            <w:pPr>
              <w:spacing w:line="360" w:lineRule="auto"/>
              <w:ind w:firstLine="480" w:firstLineChars="200"/>
              <w:rPr>
                <w:sz w:val="24"/>
              </w:rPr>
            </w:pPr>
          </w:p>
          <w:p w14:paraId="0CC0BCE0">
            <w:pPr>
              <w:spacing w:line="360" w:lineRule="auto"/>
              <w:ind w:firstLine="480" w:firstLineChars="200"/>
              <w:rPr>
                <w:sz w:val="24"/>
              </w:rPr>
            </w:pPr>
          </w:p>
        </w:tc>
      </w:tr>
    </w:tbl>
    <w:p w14:paraId="7D547CBE"/>
    <w:p w14:paraId="18140D38">
      <w:pPr>
        <w:pStyle w:val="3"/>
        <w:numPr>
          <w:ilvl w:val="0"/>
          <w:numId w:val="0"/>
        </w:numPr>
        <w:spacing w:line="360" w:lineRule="auto"/>
        <w:rPr>
          <w:rFonts w:hint="eastAsia"/>
          <w:lang w:val="en-US" w:eastAsia="zh-CN"/>
        </w:rPr>
      </w:pPr>
      <w:bookmarkStart w:id="324" w:name="_Toc7896"/>
      <w:r>
        <w:rPr>
          <w:rFonts w:hint="eastAsia"/>
          <w:lang w:val="en-US" w:eastAsia="zh-CN"/>
        </w:rPr>
        <w:t>八、</w:t>
      </w:r>
      <w:bookmarkStart w:id="325" w:name="_Toc13790"/>
      <w:r>
        <w:rPr>
          <w:rFonts w:hint="eastAsia"/>
          <w:lang w:val="en-US" w:eastAsia="zh-CN"/>
        </w:rPr>
        <w:t>耒阳市导子东湖风电场项目80MW风电项目</w:t>
      </w:r>
      <w:bookmarkEnd w:id="325"/>
      <w:r>
        <w:rPr>
          <w:rFonts w:hint="eastAsia"/>
          <w:lang w:val="en-US" w:eastAsia="zh-CN"/>
        </w:rPr>
        <w:t>对鸟类影响评价专题</w:t>
      </w:r>
      <w:bookmarkEnd w:id="324"/>
    </w:p>
    <w:p w14:paraId="16AA709A">
      <w:pPr>
        <w:spacing w:line="360" w:lineRule="auto"/>
        <w:ind w:firstLine="480" w:firstLineChars="200"/>
        <w:rPr>
          <w:rFonts w:hint="eastAsia"/>
          <w:sz w:val="24"/>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sz w:val="24"/>
          <w:lang w:val="en-US" w:eastAsia="zh-CN"/>
        </w:rPr>
        <w:t>鸟类影响评价专题单独成册。</w:t>
      </w:r>
    </w:p>
    <w:p w14:paraId="536E1082">
      <w:pPr>
        <w:pStyle w:val="3"/>
        <w:numPr>
          <w:ilvl w:val="0"/>
          <w:numId w:val="6"/>
        </w:numPr>
        <w:spacing w:line="360" w:lineRule="auto"/>
        <w:ind w:leftChars="0"/>
        <w:jc w:val="both"/>
        <w:rPr>
          <w:rFonts w:hint="eastAsia"/>
          <w:lang w:val="en-US" w:eastAsia="zh-CN"/>
        </w:rPr>
      </w:pPr>
      <w:bookmarkStart w:id="326" w:name="_Toc29347"/>
      <w:r>
        <w:rPr>
          <w:rFonts w:hint="eastAsia"/>
          <w:lang w:val="en-US" w:eastAsia="zh-CN"/>
        </w:rPr>
        <w:t>耒阳市导子东湖风电场项目电磁辐射评价专题</w:t>
      </w:r>
      <w:bookmarkEnd w:id="326"/>
    </w:p>
    <w:p w14:paraId="4734195A">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color w:val="auto"/>
          <w:sz w:val="28"/>
          <w:szCs w:val="28"/>
        </w:rPr>
      </w:pPr>
      <w:r>
        <w:rPr>
          <w:rFonts w:hint="eastAsia" w:ascii="Times New Roman" w:hAnsi="Times New Roman" w:eastAsia="宋体" w:cs="Times New Roman"/>
          <w:color w:val="auto"/>
          <w:sz w:val="28"/>
          <w:szCs w:val="28"/>
          <w:lang w:val="en-US" w:eastAsia="zh-CN"/>
        </w:rPr>
        <w:t>9</w:t>
      </w:r>
      <w:r>
        <w:rPr>
          <w:rFonts w:hint="default" w:ascii="Times New Roman" w:hAnsi="Times New Roman" w:eastAsia="宋体" w:cs="Times New Roman"/>
          <w:color w:val="auto"/>
          <w:sz w:val="28"/>
          <w:szCs w:val="28"/>
        </w:rPr>
        <w:t>.1 总则</w:t>
      </w:r>
    </w:p>
    <w:p w14:paraId="2BE11415">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9</w:t>
      </w:r>
      <w:r>
        <w:rPr>
          <w:rFonts w:hint="default" w:ascii="Times New Roman" w:hAnsi="Times New Roman" w:eastAsia="宋体" w:cs="Times New Roman"/>
          <w:color w:val="auto"/>
          <w:sz w:val="24"/>
          <w:szCs w:val="24"/>
        </w:rPr>
        <w:t>.1.1 评价因子</w:t>
      </w:r>
    </w:p>
    <w:p w14:paraId="69C79F8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rPr>
      </w:pPr>
      <w:r>
        <w:rPr>
          <w:color w:val="auto"/>
          <w:sz w:val="24"/>
        </w:rPr>
        <w:t>根据《环境影响评价技术导则</w:t>
      </w:r>
      <w:r>
        <w:rPr>
          <w:rFonts w:hint="eastAsia"/>
          <w:color w:val="auto"/>
          <w:sz w:val="24"/>
          <w:lang w:val="en-US" w:eastAsia="zh-CN"/>
        </w:rPr>
        <w:t xml:space="preserve"> </w:t>
      </w:r>
      <w:r>
        <w:rPr>
          <w:color w:val="auto"/>
          <w:sz w:val="24"/>
        </w:rPr>
        <w:t>输变电》（HJ24-2020</w:t>
      </w:r>
      <w:r>
        <w:rPr>
          <w:rFonts w:hint="eastAsia"/>
          <w:color w:val="auto"/>
          <w:sz w:val="24"/>
          <w:lang w:eastAsia="zh-CN"/>
        </w:rPr>
        <w:t>）</w:t>
      </w:r>
      <w:r>
        <w:rPr>
          <w:color w:val="auto"/>
          <w:sz w:val="24"/>
        </w:rPr>
        <w:t>表1，电磁环境评价因子为工频电场、工频磁场。</w:t>
      </w:r>
    </w:p>
    <w:p w14:paraId="6D4A8B00">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9.1.2 评价等级</w:t>
      </w:r>
    </w:p>
    <w:p w14:paraId="2797F7D3">
      <w:pPr>
        <w:spacing w:line="360" w:lineRule="auto"/>
        <w:ind w:firstLine="480"/>
        <w:rPr>
          <w:rFonts w:hint="eastAsia"/>
          <w:color w:val="auto"/>
          <w:sz w:val="24"/>
          <w:u w:val="none"/>
          <w:lang w:val="en-US" w:eastAsia="zh-CN"/>
        </w:rPr>
      </w:pPr>
      <w:r>
        <w:rPr>
          <w:color w:val="auto"/>
          <w:sz w:val="24"/>
          <w:u w:val="none"/>
        </w:rPr>
        <w:t>根据《环境影响评价技术导则</w:t>
      </w:r>
      <w:r>
        <w:rPr>
          <w:rFonts w:hint="eastAsia"/>
          <w:color w:val="auto"/>
          <w:sz w:val="24"/>
          <w:u w:val="none"/>
          <w:lang w:val="en-US" w:eastAsia="zh-CN"/>
        </w:rPr>
        <w:t xml:space="preserve"> </w:t>
      </w:r>
      <w:r>
        <w:rPr>
          <w:color w:val="auto"/>
          <w:sz w:val="24"/>
          <w:u w:val="none"/>
        </w:rPr>
        <w:t>输变电》（HJ24-2020</w:t>
      </w:r>
      <w:r>
        <w:rPr>
          <w:rFonts w:hint="eastAsia"/>
          <w:color w:val="auto"/>
          <w:sz w:val="24"/>
          <w:u w:val="none"/>
          <w:lang w:eastAsia="zh-CN"/>
        </w:rPr>
        <w:t>）</w:t>
      </w:r>
      <w:r>
        <w:rPr>
          <w:color w:val="auto"/>
          <w:sz w:val="24"/>
          <w:u w:val="none"/>
        </w:rPr>
        <w:t>表2，本</w:t>
      </w:r>
      <w:r>
        <w:rPr>
          <w:rFonts w:hint="eastAsia"/>
          <w:color w:val="auto"/>
          <w:sz w:val="24"/>
          <w:u w:val="none"/>
        </w:rPr>
        <w:t>项目</w:t>
      </w:r>
      <w:r>
        <w:rPr>
          <w:rFonts w:hint="eastAsia"/>
          <w:color w:val="auto"/>
          <w:sz w:val="24"/>
          <w:u w:val="none"/>
          <w:lang w:val="en-US" w:eastAsia="zh-CN"/>
        </w:rPr>
        <w:t>220KV升压站为户外式，电磁环境影响评价等级应为二级。</w:t>
      </w:r>
    </w:p>
    <w:p w14:paraId="0C2ACB74">
      <w:pPr>
        <w:spacing w:line="360" w:lineRule="auto"/>
        <w:ind w:firstLine="480"/>
        <w:rPr>
          <w:rFonts w:hint="default"/>
          <w:color w:val="auto"/>
          <w:sz w:val="24"/>
          <w:u w:val="none"/>
          <w:lang w:val="en-US" w:eastAsia="zh-CN"/>
        </w:rPr>
      </w:pPr>
      <w:r>
        <w:rPr>
          <w:rFonts w:hint="eastAsia"/>
          <w:color w:val="auto"/>
          <w:sz w:val="24"/>
          <w:u w:val="none"/>
          <w:lang w:val="en-US" w:eastAsia="zh-CN"/>
        </w:rPr>
        <w:t>根据《电磁环境控制限值》（GB8072-2014），从电磁环境保护管理角度，100kV以下电压等级的交流输变电设施可免于管理，属于豁免范围。本项目集电线路为35kV，属于豁免范围，因此不纳入评价。</w:t>
      </w:r>
    </w:p>
    <w:p w14:paraId="3CB71D1B">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9.1.3 评价范围</w:t>
      </w:r>
    </w:p>
    <w:p w14:paraId="2766B388">
      <w:pPr>
        <w:spacing w:line="360" w:lineRule="auto"/>
        <w:ind w:firstLine="480"/>
        <w:rPr>
          <w:rFonts w:hint="eastAsia" w:ascii="Times New Roman" w:hAnsi="Times New Roman" w:eastAsia="宋体" w:cs="Times New Roman"/>
          <w:color w:val="auto"/>
          <w:sz w:val="24"/>
          <w:u w:val="none"/>
          <w:lang w:val="en-US" w:eastAsia="zh-CN"/>
        </w:rPr>
      </w:pPr>
      <w:r>
        <w:rPr>
          <w:rFonts w:hint="eastAsia" w:cs="Times New Roman"/>
          <w:color w:val="auto"/>
          <w:sz w:val="24"/>
          <w:u w:val="none"/>
          <w:lang w:val="en-US" w:eastAsia="zh-CN"/>
        </w:rPr>
        <w:t>项目35kV集电线路属于豁免范围，外送输电线路不属于项目评价范围。因此</w:t>
      </w:r>
      <w:r>
        <w:rPr>
          <w:rFonts w:ascii="Times New Roman" w:hAnsi="Times New Roman" w:eastAsia="宋体" w:cs="Times New Roman"/>
          <w:color w:val="auto"/>
          <w:sz w:val="24"/>
          <w:u w:val="none"/>
        </w:rPr>
        <w:t>根据《环境影响评价技术导则</w:t>
      </w:r>
      <w:r>
        <w:rPr>
          <w:rFonts w:hint="eastAsia" w:ascii="Times New Roman" w:hAnsi="Times New Roman" w:eastAsia="宋体" w:cs="Times New Roman"/>
          <w:color w:val="auto"/>
          <w:sz w:val="24"/>
          <w:u w:val="none"/>
          <w:lang w:val="en-US" w:eastAsia="zh-CN"/>
        </w:rPr>
        <w:t xml:space="preserve"> </w:t>
      </w:r>
      <w:r>
        <w:rPr>
          <w:rFonts w:ascii="Times New Roman" w:hAnsi="Times New Roman" w:eastAsia="宋体" w:cs="Times New Roman"/>
          <w:color w:val="auto"/>
          <w:sz w:val="24"/>
          <w:u w:val="none"/>
        </w:rPr>
        <w:t>输变电》（HJ24-2020</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表3</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lang w:val="en-US" w:eastAsia="zh-CN"/>
        </w:rPr>
        <w:t>评价范围为：</w:t>
      </w:r>
      <w:r>
        <w:rPr>
          <w:rFonts w:hint="eastAsia" w:cs="Times New Roman"/>
          <w:color w:val="auto"/>
          <w:sz w:val="24"/>
          <w:u w:val="none"/>
          <w:lang w:val="en-US" w:eastAsia="zh-CN"/>
        </w:rPr>
        <w:t>220kV升压站站界外40米</w:t>
      </w:r>
      <w:r>
        <w:rPr>
          <w:rFonts w:ascii="Times New Roman" w:hAnsi="Times New Roman" w:eastAsia="宋体" w:cs="Times New Roman"/>
          <w:color w:val="auto"/>
          <w:sz w:val="24"/>
          <w:u w:val="none"/>
        </w:rPr>
        <w:t>范围内</w:t>
      </w:r>
      <w:r>
        <w:rPr>
          <w:rFonts w:hint="eastAsia" w:ascii="Times New Roman" w:hAnsi="Times New Roman" w:eastAsia="宋体" w:cs="Times New Roman"/>
          <w:color w:val="auto"/>
          <w:sz w:val="24"/>
          <w:u w:val="none"/>
          <w:lang w:eastAsia="zh-CN"/>
        </w:rPr>
        <w:t>。</w:t>
      </w:r>
    </w:p>
    <w:p w14:paraId="38662C73">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9.1.4 评价标准</w:t>
      </w:r>
    </w:p>
    <w:p w14:paraId="56F4D745">
      <w:pPr>
        <w:spacing w:line="360" w:lineRule="auto"/>
        <w:ind w:firstLine="480"/>
        <w:rPr>
          <w:rFonts w:ascii="Times New Roman" w:hAnsi="Times New Roman" w:eastAsia="宋体" w:cs="Times New Roman"/>
          <w:color w:val="auto"/>
          <w:sz w:val="24"/>
          <w:u w:val="none"/>
        </w:rPr>
      </w:pPr>
      <w:r>
        <w:rPr>
          <w:rFonts w:ascii="Times New Roman" w:hAnsi="Times New Roman" w:eastAsia="宋体" w:cs="Times New Roman"/>
          <w:color w:val="auto"/>
          <w:sz w:val="24"/>
          <w:u w:val="none"/>
        </w:rPr>
        <w:t>电磁环境执行《电磁环境控制限值》（GB8702</w:t>
      </w:r>
      <w:r>
        <w:rPr>
          <w:rFonts w:hint="eastAsia" w:ascii="Times New Roman" w:hAnsi="Times New Roman" w:eastAsia="宋体" w:cs="Times New Roman"/>
          <w:color w:val="auto"/>
          <w:sz w:val="24"/>
          <w:u w:val="none"/>
          <w:lang w:val="en-US" w:eastAsia="zh-CN"/>
        </w:rPr>
        <w:t>-</w:t>
      </w:r>
      <w:r>
        <w:rPr>
          <w:rFonts w:ascii="Times New Roman" w:hAnsi="Times New Roman" w:eastAsia="宋体" w:cs="Times New Roman"/>
          <w:color w:val="auto"/>
          <w:sz w:val="24"/>
          <w:u w:val="none"/>
        </w:rPr>
        <w:t>2014</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表1中公众曝露控制限值：50Hz</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工频</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电场强度公众曝露控制限值为4000V/m、50Hz</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工频</w:t>
      </w:r>
      <w:r>
        <w:rPr>
          <w:rFonts w:hint="eastAsia" w:ascii="Times New Roman" w:hAnsi="Times New Roman" w:eastAsia="宋体" w:cs="Times New Roman"/>
          <w:color w:val="auto"/>
          <w:sz w:val="24"/>
          <w:u w:val="none"/>
          <w:lang w:eastAsia="zh-CN"/>
        </w:rPr>
        <w:t>）</w:t>
      </w:r>
      <w:r>
        <w:rPr>
          <w:rFonts w:ascii="Times New Roman" w:hAnsi="Times New Roman" w:eastAsia="宋体" w:cs="Times New Roman"/>
          <w:color w:val="auto"/>
          <w:sz w:val="24"/>
          <w:u w:val="none"/>
        </w:rPr>
        <w:t>磁感应强度公众曝露控制限值为100μT</w:t>
      </w:r>
      <w:r>
        <w:rPr>
          <w:rFonts w:hint="eastAsia" w:ascii="Times New Roman" w:hAnsi="Times New Roman" w:eastAsia="宋体" w:cs="Times New Roman"/>
          <w:color w:val="auto"/>
          <w:sz w:val="24"/>
          <w:u w:val="none"/>
        </w:rPr>
        <w:t>。</w:t>
      </w:r>
    </w:p>
    <w:p w14:paraId="70078F2D">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rPr>
      </w:pPr>
      <w:r>
        <w:rPr>
          <w:rFonts w:hint="eastAsia" w:ascii="Times New Roman" w:hAnsi="Times New Roman" w:eastAsia="宋体" w:cs="Times New Roman"/>
          <w:b/>
          <w:color w:val="auto"/>
          <w:sz w:val="28"/>
          <w:szCs w:val="28"/>
          <w:lang w:val="en-US" w:eastAsia="zh-CN"/>
        </w:rPr>
        <w:t>9</w:t>
      </w:r>
      <w:r>
        <w:rPr>
          <w:rFonts w:hint="eastAsia" w:ascii="Times New Roman" w:hAnsi="Times New Roman" w:eastAsia="宋体" w:cs="Times New Roman"/>
          <w:b/>
          <w:color w:val="auto"/>
          <w:sz w:val="28"/>
          <w:szCs w:val="28"/>
        </w:rPr>
        <w:t>.2 电磁环境保护</w:t>
      </w:r>
      <w:r>
        <w:rPr>
          <w:rFonts w:hint="default" w:ascii="Times New Roman" w:hAnsi="Times New Roman" w:eastAsia="宋体" w:cs="Times New Roman"/>
          <w:b/>
          <w:color w:val="auto"/>
          <w:sz w:val="28"/>
          <w:szCs w:val="28"/>
        </w:rPr>
        <w:t>目标</w:t>
      </w:r>
    </w:p>
    <w:p w14:paraId="7C63C2A4">
      <w:pPr>
        <w:spacing w:line="360" w:lineRule="auto"/>
        <w:ind w:firstLine="480"/>
        <w:rPr>
          <w:rFonts w:hint="eastAsia" w:ascii="Times New Roman" w:hAnsi="Times New Roman" w:eastAsia="宋体" w:cs="Times New Roman"/>
          <w:color w:val="auto"/>
          <w:sz w:val="24"/>
          <w:u w:val="none"/>
          <w:lang w:val="en-US" w:eastAsia="zh-CN"/>
        </w:rPr>
      </w:pPr>
      <w:r>
        <w:rPr>
          <w:rFonts w:hint="eastAsia" w:ascii="Times New Roman" w:hAnsi="Times New Roman" w:eastAsia="宋体" w:cs="Times New Roman"/>
          <w:color w:val="auto"/>
          <w:sz w:val="24"/>
          <w:u w:val="none"/>
        </w:rPr>
        <w:t>根据</w:t>
      </w:r>
      <w:r>
        <w:rPr>
          <w:rFonts w:ascii="Times New Roman" w:hAnsi="Times New Roman" w:eastAsia="宋体" w:cs="Times New Roman"/>
          <w:color w:val="auto"/>
          <w:sz w:val="24"/>
          <w:u w:val="none"/>
        </w:rPr>
        <w:t>《环境影响评价技术导则 输变电》（HJ24-2020</w:t>
      </w:r>
      <w:r>
        <w:rPr>
          <w:rFonts w:hint="eastAsia" w:ascii="Times New Roman" w:hAnsi="Times New Roman" w:eastAsia="宋体" w:cs="Times New Roman"/>
          <w:color w:val="auto"/>
          <w:sz w:val="24"/>
          <w:u w:val="none"/>
          <w:lang w:eastAsia="zh-CN"/>
        </w:rPr>
        <w:t>）</w:t>
      </w:r>
      <w:r>
        <w:rPr>
          <w:rFonts w:hint="eastAsia" w:ascii="Times New Roman" w:hAnsi="Times New Roman" w:eastAsia="宋体" w:cs="Times New Roman"/>
          <w:color w:val="auto"/>
          <w:sz w:val="24"/>
          <w:u w:val="none"/>
        </w:rPr>
        <w:t>要求</w:t>
      </w:r>
      <w:r>
        <w:rPr>
          <w:rFonts w:ascii="Times New Roman" w:hAnsi="Times New Roman" w:eastAsia="宋体" w:cs="Times New Roman"/>
          <w:color w:val="auto"/>
          <w:sz w:val="24"/>
          <w:u w:val="none"/>
        </w:rPr>
        <w:t>，电磁环境</w:t>
      </w:r>
      <w:r>
        <w:rPr>
          <w:rFonts w:hint="eastAsia" w:ascii="Times New Roman" w:hAnsi="Times New Roman" w:eastAsia="宋体" w:cs="Times New Roman"/>
          <w:color w:val="auto"/>
          <w:sz w:val="24"/>
          <w:u w:val="none"/>
        </w:rPr>
        <w:t>保护</w:t>
      </w:r>
      <w:r>
        <w:rPr>
          <w:rFonts w:ascii="Times New Roman" w:hAnsi="Times New Roman" w:eastAsia="宋体" w:cs="Times New Roman"/>
          <w:color w:val="auto"/>
          <w:sz w:val="24"/>
          <w:u w:val="none"/>
        </w:rPr>
        <w:t>目标为电磁环境评价范围内的住宅、学校、医院、办公楼、工厂等有公众居住、工作或学习的建筑物。</w:t>
      </w:r>
      <w:r>
        <w:rPr>
          <w:rFonts w:hint="eastAsia" w:ascii="Times New Roman" w:hAnsi="Times New Roman" w:eastAsia="宋体" w:cs="Times New Roman"/>
          <w:color w:val="auto"/>
          <w:sz w:val="24"/>
          <w:u w:val="none"/>
          <w:lang w:val="en-US" w:eastAsia="zh-CN"/>
        </w:rPr>
        <w:t>根据现场调查，评价范围内无居民分布。</w:t>
      </w:r>
    </w:p>
    <w:p w14:paraId="0C2F5383">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rPr>
      </w:pPr>
      <w:r>
        <w:rPr>
          <w:rFonts w:hint="eastAsia" w:ascii="Times New Roman" w:hAnsi="Times New Roman" w:eastAsia="宋体" w:cs="Times New Roman"/>
          <w:b/>
          <w:color w:val="auto"/>
          <w:sz w:val="28"/>
          <w:szCs w:val="28"/>
          <w:lang w:val="en-US" w:eastAsia="zh-CN"/>
        </w:rPr>
        <w:t>9</w:t>
      </w:r>
      <w:r>
        <w:rPr>
          <w:rFonts w:hint="eastAsia" w:ascii="Times New Roman" w:hAnsi="Times New Roman" w:eastAsia="宋体" w:cs="Times New Roman"/>
          <w:b/>
          <w:color w:val="auto"/>
          <w:sz w:val="28"/>
          <w:szCs w:val="28"/>
        </w:rPr>
        <w:t>.3 电磁环境质量现状监测与评价</w:t>
      </w:r>
    </w:p>
    <w:p w14:paraId="33CB2112">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9.3.1监测布点原则</w:t>
      </w:r>
    </w:p>
    <w:p w14:paraId="463D7559">
      <w:pPr>
        <w:spacing w:line="360" w:lineRule="auto"/>
        <w:ind w:firstLine="480"/>
        <w:rPr>
          <w:rFonts w:hint="eastAsia" w:ascii="Times New Roman" w:hAnsi="Times New Roman" w:eastAsia="宋体" w:cs="Times New Roman"/>
          <w:color w:val="auto"/>
          <w:sz w:val="24"/>
          <w:u w:val="none"/>
        </w:rPr>
      </w:pPr>
      <w:r>
        <w:rPr>
          <w:rFonts w:hint="eastAsia" w:cs="Times New Roman"/>
          <w:color w:val="auto"/>
          <w:sz w:val="24"/>
          <w:u w:val="none"/>
          <w:lang w:val="en-US" w:eastAsia="zh-CN"/>
        </w:rPr>
        <w:t>由于升压站站界外40米范围无保护目标分布，因此仅</w:t>
      </w:r>
      <w:r>
        <w:rPr>
          <w:rFonts w:hint="eastAsia" w:ascii="Times New Roman" w:hAnsi="Times New Roman" w:eastAsia="宋体" w:cs="Times New Roman"/>
          <w:color w:val="auto"/>
          <w:sz w:val="24"/>
          <w:u w:val="none"/>
        </w:rPr>
        <w:t>对</w:t>
      </w:r>
      <w:r>
        <w:rPr>
          <w:rFonts w:hint="eastAsia" w:cs="Times New Roman"/>
          <w:color w:val="auto"/>
          <w:sz w:val="24"/>
          <w:u w:val="none"/>
          <w:lang w:val="en-US" w:eastAsia="zh-CN"/>
        </w:rPr>
        <w:t>升压站</w:t>
      </w:r>
      <w:r>
        <w:rPr>
          <w:rFonts w:hint="eastAsia" w:ascii="Times New Roman" w:hAnsi="Times New Roman" w:eastAsia="宋体" w:cs="Times New Roman"/>
          <w:color w:val="auto"/>
          <w:sz w:val="24"/>
          <w:u w:val="none"/>
          <w:lang w:val="en-US" w:eastAsia="zh-CN"/>
        </w:rPr>
        <w:t>厂界</w:t>
      </w:r>
      <w:r>
        <w:rPr>
          <w:rFonts w:hint="eastAsia" w:cs="Times New Roman"/>
          <w:color w:val="auto"/>
          <w:sz w:val="24"/>
          <w:u w:val="none"/>
          <w:lang w:val="en-US" w:eastAsia="zh-CN"/>
        </w:rPr>
        <w:t>进行</w:t>
      </w:r>
      <w:r>
        <w:rPr>
          <w:rFonts w:hint="eastAsia" w:ascii="Times New Roman" w:hAnsi="Times New Roman" w:eastAsia="宋体" w:cs="Times New Roman"/>
          <w:color w:val="auto"/>
          <w:sz w:val="24"/>
          <w:u w:val="none"/>
        </w:rPr>
        <w:t>布点监测。</w:t>
      </w:r>
    </w:p>
    <w:p w14:paraId="14BD29AE">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9.3.2监测布点</w:t>
      </w:r>
    </w:p>
    <w:p w14:paraId="3D3237AF">
      <w:pPr>
        <w:spacing w:line="360" w:lineRule="auto"/>
        <w:ind w:firstLine="48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本</w:t>
      </w:r>
      <w:r>
        <w:rPr>
          <w:rFonts w:hint="eastAsia" w:ascii="Times New Roman" w:hAnsi="Times New Roman" w:eastAsia="宋体" w:cs="Times New Roman"/>
          <w:color w:val="auto"/>
          <w:sz w:val="24"/>
          <w:u w:val="none"/>
          <w:lang w:val="en-US" w:eastAsia="zh-CN"/>
        </w:rPr>
        <w:t>项目</w:t>
      </w:r>
      <w:r>
        <w:rPr>
          <w:rFonts w:hint="default" w:ascii="Times New Roman" w:hAnsi="Times New Roman" w:eastAsia="宋体" w:cs="Times New Roman"/>
          <w:color w:val="auto"/>
          <w:sz w:val="24"/>
          <w:u w:val="none"/>
        </w:rPr>
        <w:t>电磁环境监测点位见表</w:t>
      </w:r>
      <w:r>
        <w:rPr>
          <w:rFonts w:hint="eastAsia" w:cs="Times New Roman"/>
          <w:color w:val="auto"/>
          <w:sz w:val="24"/>
          <w:u w:val="none"/>
          <w:lang w:val="en-US" w:eastAsia="zh-CN"/>
        </w:rPr>
        <w:t>9</w:t>
      </w:r>
      <w:r>
        <w:rPr>
          <w:rFonts w:hint="default" w:ascii="Times New Roman" w:hAnsi="Times New Roman" w:eastAsia="宋体" w:cs="Times New Roman"/>
          <w:color w:val="auto"/>
          <w:sz w:val="24"/>
          <w:u w:val="none"/>
          <w:lang w:val="en-US" w:eastAsia="zh-CN"/>
        </w:rPr>
        <w:t>-1</w:t>
      </w:r>
      <w:r>
        <w:rPr>
          <w:rFonts w:hint="default" w:ascii="Times New Roman" w:hAnsi="Times New Roman" w:eastAsia="宋体" w:cs="Times New Roman"/>
          <w:color w:val="auto"/>
          <w:sz w:val="24"/>
          <w:u w:val="none"/>
        </w:rPr>
        <w:t>及附图</w:t>
      </w:r>
      <w:r>
        <w:rPr>
          <w:rFonts w:hint="default" w:ascii="Times New Roman" w:hAnsi="Times New Roman" w:eastAsia="宋体" w:cs="Times New Roman"/>
          <w:color w:val="auto"/>
          <w:sz w:val="24"/>
          <w:u w:val="none"/>
          <w:lang w:val="en-US" w:eastAsia="zh-CN"/>
        </w:rPr>
        <w:t>4</w:t>
      </w:r>
      <w:r>
        <w:rPr>
          <w:rFonts w:hint="default" w:ascii="Times New Roman" w:hAnsi="Times New Roman" w:eastAsia="宋体" w:cs="Times New Roman"/>
          <w:color w:val="auto"/>
          <w:sz w:val="24"/>
          <w:u w:val="none"/>
        </w:rPr>
        <w:t>。</w:t>
      </w:r>
    </w:p>
    <w:p w14:paraId="5EFD448F">
      <w:pPr>
        <w:spacing w:line="240" w:lineRule="auto"/>
        <w:ind w:firstLine="480"/>
        <w:jc w:val="center"/>
        <w:rPr>
          <w:rFonts w:hint="eastAsia" w:ascii="Times New Roman" w:hAnsi="Times New Roman" w:eastAsia="宋体" w:cs="Times New Roman"/>
          <w:b/>
          <w:bCs/>
          <w:color w:val="auto"/>
          <w:sz w:val="24"/>
          <w:u w:val="none"/>
          <w:lang w:val="en-US" w:eastAsia="zh-CN"/>
        </w:rPr>
      </w:pPr>
      <w:r>
        <w:rPr>
          <w:rFonts w:hint="default" w:ascii="Times New Roman" w:hAnsi="Times New Roman" w:eastAsia="宋体" w:cs="Times New Roman"/>
          <w:b/>
          <w:bCs/>
          <w:color w:val="auto"/>
          <w:sz w:val="24"/>
          <w:u w:val="none"/>
          <w:lang w:val="en-US" w:eastAsia="zh-CN"/>
        </w:rPr>
        <w:t>表</w:t>
      </w:r>
      <w:r>
        <w:rPr>
          <w:rFonts w:hint="eastAsia" w:ascii="Times New Roman" w:hAnsi="Times New Roman" w:eastAsia="宋体" w:cs="Times New Roman"/>
          <w:b/>
          <w:bCs/>
          <w:color w:val="auto"/>
          <w:sz w:val="24"/>
          <w:u w:val="none"/>
          <w:lang w:val="en-US" w:eastAsia="zh-CN"/>
        </w:rPr>
        <w:t>9</w:t>
      </w:r>
      <w:r>
        <w:rPr>
          <w:rFonts w:hint="default" w:ascii="Times New Roman" w:hAnsi="Times New Roman" w:eastAsia="宋体" w:cs="Times New Roman"/>
          <w:b/>
          <w:bCs/>
          <w:color w:val="auto"/>
          <w:sz w:val="24"/>
          <w:u w:val="none"/>
          <w:lang w:val="en-US" w:eastAsia="zh-CN"/>
        </w:rPr>
        <w:t>-1  电磁环境监测</w:t>
      </w:r>
      <w:r>
        <w:rPr>
          <w:rFonts w:hint="eastAsia" w:ascii="Times New Roman" w:hAnsi="Times New Roman" w:eastAsia="宋体" w:cs="Times New Roman"/>
          <w:b/>
          <w:bCs/>
          <w:color w:val="auto"/>
          <w:sz w:val="24"/>
          <w:u w:val="none"/>
          <w:lang w:val="en-US" w:eastAsia="zh-CN"/>
        </w:rPr>
        <w:t>布点</w:t>
      </w:r>
    </w:p>
    <w:tbl>
      <w:tblPr>
        <w:tblStyle w:val="33"/>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060"/>
        <w:gridCol w:w="2065"/>
        <w:gridCol w:w="2089"/>
        <w:gridCol w:w="2093"/>
        <w:gridCol w:w="1274"/>
      </w:tblGrid>
      <w:tr w14:paraId="770550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3" w:hRule="atLeast"/>
        </w:trPr>
        <w:tc>
          <w:tcPr>
            <w:tcW w:w="377" w:type="pct"/>
            <w:vMerge w:val="restart"/>
            <w:tcBorders>
              <w:tl2br w:val="nil"/>
              <w:tr2bl w:val="nil"/>
            </w:tcBorders>
            <w:noWrap w:val="0"/>
            <w:vAlign w:val="center"/>
          </w:tcPr>
          <w:p w14:paraId="5EDA0AA6">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序号</w:t>
            </w:r>
          </w:p>
        </w:tc>
        <w:tc>
          <w:tcPr>
            <w:tcW w:w="1683" w:type="pct"/>
            <w:gridSpan w:val="2"/>
            <w:vMerge w:val="restart"/>
            <w:tcBorders>
              <w:tl2br w:val="nil"/>
              <w:tr2bl w:val="nil"/>
            </w:tcBorders>
            <w:noWrap w:val="0"/>
            <w:vAlign w:val="center"/>
          </w:tcPr>
          <w:p w14:paraId="23BAC830">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监测点位</w:t>
            </w:r>
          </w:p>
        </w:tc>
        <w:tc>
          <w:tcPr>
            <w:tcW w:w="2252" w:type="pct"/>
            <w:gridSpan w:val="2"/>
            <w:tcBorders>
              <w:tl2br w:val="nil"/>
              <w:tr2bl w:val="nil"/>
            </w:tcBorders>
            <w:noWrap w:val="0"/>
            <w:vAlign w:val="center"/>
          </w:tcPr>
          <w:p w14:paraId="7F8C9B9E">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坐标</w:t>
            </w:r>
          </w:p>
        </w:tc>
        <w:tc>
          <w:tcPr>
            <w:tcW w:w="686" w:type="pct"/>
            <w:vMerge w:val="restart"/>
            <w:tcBorders>
              <w:tl2br w:val="nil"/>
              <w:tr2bl w:val="nil"/>
            </w:tcBorders>
            <w:noWrap w:val="0"/>
            <w:vAlign w:val="center"/>
          </w:tcPr>
          <w:p w14:paraId="6BDD546F">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备注</w:t>
            </w:r>
          </w:p>
        </w:tc>
      </w:tr>
      <w:tr w14:paraId="78B619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vMerge w:val="continue"/>
            <w:tcBorders>
              <w:tl2br w:val="nil"/>
              <w:tr2bl w:val="nil"/>
            </w:tcBorders>
            <w:noWrap w:val="0"/>
            <w:vAlign w:val="center"/>
          </w:tcPr>
          <w:p w14:paraId="4B63A1B2">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683" w:type="pct"/>
            <w:gridSpan w:val="2"/>
            <w:vMerge w:val="continue"/>
            <w:tcBorders>
              <w:tl2br w:val="nil"/>
              <w:tr2bl w:val="nil"/>
            </w:tcBorders>
            <w:noWrap w:val="0"/>
            <w:vAlign w:val="center"/>
          </w:tcPr>
          <w:p w14:paraId="68169098">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25" w:type="pct"/>
            <w:tcBorders>
              <w:tl2br w:val="nil"/>
              <w:tr2bl w:val="nil"/>
            </w:tcBorders>
            <w:noWrap w:val="0"/>
            <w:vAlign w:val="center"/>
          </w:tcPr>
          <w:p w14:paraId="69DC6ECE">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东经</w:t>
            </w:r>
          </w:p>
        </w:tc>
        <w:tc>
          <w:tcPr>
            <w:tcW w:w="1127" w:type="pct"/>
            <w:tcBorders>
              <w:tl2br w:val="nil"/>
              <w:tr2bl w:val="nil"/>
            </w:tcBorders>
            <w:noWrap w:val="0"/>
            <w:vAlign w:val="center"/>
          </w:tcPr>
          <w:p w14:paraId="531B6F5D">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北纬</w:t>
            </w:r>
          </w:p>
        </w:tc>
        <w:tc>
          <w:tcPr>
            <w:tcW w:w="686" w:type="pct"/>
            <w:vMerge w:val="continue"/>
            <w:tcBorders>
              <w:tl2br w:val="nil"/>
              <w:tr2bl w:val="nil"/>
            </w:tcBorders>
            <w:noWrap w:val="0"/>
            <w:vAlign w:val="center"/>
          </w:tcPr>
          <w:p w14:paraId="7226CC05">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60F91A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38386D28">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1</w:t>
            </w:r>
          </w:p>
        </w:tc>
        <w:tc>
          <w:tcPr>
            <w:tcW w:w="571" w:type="pct"/>
            <w:vMerge w:val="restart"/>
            <w:tcBorders>
              <w:tl2br w:val="nil"/>
              <w:tr2bl w:val="nil"/>
            </w:tcBorders>
            <w:noWrap w:val="0"/>
            <w:vAlign w:val="center"/>
          </w:tcPr>
          <w:p w14:paraId="3604C3C0">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220KV升压站</w:t>
            </w:r>
          </w:p>
        </w:tc>
        <w:tc>
          <w:tcPr>
            <w:tcW w:w="1112" w:type="pct"/>
            <w:tcBorders>
              <w:tl2br w:val="nil"/>
              <w:tr2bl w:val="nil"/>
            </w:tcBorders>
            <w:noWrap w:val="0"/>
            <w:vAlign w:val="center"/>
          </w:tcPr>
          <w:p w14:paraId="184CE52F">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升压站东面厂界</w:t>
            </w:r>
          </w:p>
        </w:tc>
        <w:tc>
          <w:tcPr>
            <w:tcW w:w="1125" w:type="pct"/>
            <w:tcBorders>
              <w:tl2br w:val="nil"/>
              <w:tr2bl w:val="nil"/>
            </w:tcBorders>
            <w:noWrap w:val="0"/>
            <w:vAlign w:val="center"/>
          </w:tcPr>
          <w:p w14:paraId="1213DD5D">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113°3′49.35213″</w:t>
            </w:r>
          </w:p>
        </w:tc>
        <w:tc>
          <w:tcPr>
            <w:tcW w:w="1127" w:type="pct"/>
            <w:tcBorders>
              <w:tl2br w:val="nil"/>
              <w:tr2bl w:val="nil"/>
            </w:tcBorders>
            <w:noWrap w:val="0"/>
            <w:vAlign w:val="center"/>
          </w:tcPr>
          <w:p w14:paraId="646FD978">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26°27′56.82225″</w:t>
            </w:r>
          </w:p>
        </w:tc>
        <w:tc>
          <w:tcPr>
            <w:tcW w:w="686" w:type="pct"/>
            <w:tcBorders>
              <w:tl2br w:val="nil"/>
              <w:tr2bl w:val="nil"/>
            </w:tcBorders>
            <w:noWrap w:val="0"/>
            <w:vAlign w:val="center"/>
          </w:tcPr>
          <w:p w14:paraId="11695339">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4611F3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1469C649">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2</w:t>
            </w:r>
          </w:p>
        </w:tc>
        <w:tc>
          <w:tcPr>
            <w:tcW w:w="571" w:type="pct"/>
            <w:vMerge w:val="continue"/>
            <w:tcBorders>
              <w:tl2br w:val="nil"/>
              <w:tr2bl w:val="nil"/>
            </w:tcBorders>
            <w:noWrap w:val="0"/>
            <w:vAlign w:val="center"/>
          </w:tcPr>
          <w:p w14:paraId="049155F8">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12" w:type="pct"/>
            <w:tcBorders>
              <w:tl2br w:val="nil"/>
              <w:tr2bl w:val="nil"/>
            </w:tcBorders>
            <w:noWrap w:val="0"/>
            <w:vAlign w:val="center"/>
          </w:tcPr>
          <w:p w14:paraId="597C9177">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升压站南面厂界</w:t>
            </w:r>
          </w:p>
        </w:tc>
        <w:tc>
          <w:tcPr>
            <w:tcW w:w="1125" w:type="pct"/>
            <w:tcBorders>
              <w:tl2br w:val="nil"/>
              <w:tr2bl w:val="nil"/>
            </w:tcBorders>
            <w:noWrap w:val="0"/>
            <w:vAlign w:val="center"/>
          </w:tcPr>
          <w:p w14:paraId="1FEAF0F7">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113°3′47.71062″</w:t>
            </w:r>
          </w:p>
        </w:tc>
        <w:tc>
          <w:tcPr>
            <w:tcW w:w="1127" w:type="pct"/>
            <w:tcBorders>
              <w:tl2br w:val="nil"/>
              <w:tr2bl w:val="nil"/>
            </w:tcBorders>
            <w:noWrap w:val="0"/>
            <w:vAlign w:val="center"/>
          </w:tcPr>
          <w:p w14:paraId="2937ADAC">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26°27′54.52413″</w:t>
            </w:r>
          </w:p>
        </w:tc>
        <w:tc>
          <w:tcPr>
            <w:tcW w:w="686" w:type="pct"/>
            <w:tcBorders>
              <w:tl2br w:val="nil"/>
              <w:tr2bl w:val="nil"/>
            </w:tcBorders>
            <w:noWrap w:val="0"/>
            <w:vAlign w:val="center"/>
          </w:tcPr>
          <w:p w14:paraId="7FE643BA">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714777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14F206BC">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3</w:t>
            </w:r>
          </w:p>
        </w:tc>
        <w:tc>
          <w:tcPr>
            <w:tcW w:w="571" w:type="pct"/>
            <w:vMerge w:val="continue"/>
            <w:tcBorders>
              <w:tl2br w:val="nil"/>
              <w:tr2bl w:val="nil"/>
            </w:tcBorders>
            <w:noWrap w:val="0"/>
            <w:vAlign w:val="center"/>
          </w:tcPr>
          <w:p w14:paraId="350892DB">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12" w:type="pct"/>
            <w:tcBorders>
              <w:tl2br w:val="nil"/>
              <w:tr2bl w:val="nil"/>
            </w:tcBorders>
            <w:noWrap w:val="0"/>
            <w:vAlign w:val="center"/>
          </w:tcPr>
          <w:p w14:paraId="32FC766C">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升压站西面厂界</w:t>
            </w:r>
          </w:p>
        </w:tc>
        <w:tc>
          <w:tcPr>
            <w:tcW w:w="1125" w:type="pct"/>
            <w:tcBorders>
              <w:tl2br w:val="nil"/>
              <w:tr2bl w:val="nil"/>
            </w:tcBorders>
            <w:noWrap w:val="0"/>
            <w:vAlign w:val="center"/>
          </w:tcPr>
          <w:p w14:paraId="3723C6CE">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113°3′45.93393″</w:t>
            </w:r>
          </w:p>
        </w:tc>
        <w:tc>
          <w:tcPr>
            <w:tcW w:w="1127" w:type="pct"/>
            <w:tcBorders>
              <w:tl2br w:val="nil"/>
              <w:tr2bl w:val="nil"/>
            </w:tcBorders>
            <w:noWrap w:val="0"/>
            <w:vAlign w:val="center"/>
          </w:tcPr>
          <w:p w14:paraId="29B4EABF">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26°27′56.72569″</w:t>
            </w:r>
          </w:p>
        </w:tc>
        <w:tc>
          <w:tcPr>
            <w:tcW w:w="686" w:type="pct"/>
            <w:tcBorders>
              <w:tl2br w:val="nil"/>
              <w:tr2bl w:val="nil"/>
            </w:tcBorders>
            <w:noWrap w:val="0"/>
            <w:vAlign w:val="center"/>
          </w:tcPr>
          <w:p w14:paraId="23986469">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r w14:paraId="419F6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7" w:type="pct"/>
            <w:tcBorders>
              <w:tl2br w:val="nil"/>
              <w:tr2bl w:val="nil"/>
            </w:tcBorders>
            <w:noWrap w:val="0"/>
            <w:vAlign w:val="center"/>
          </w:tcPr>
          <w:p w14:paraId="7A16D449">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default"/>
                <w:lang w:val="en-US" w:eastAsia="zh-CN"/>
              </w:rPr>
              <w:t>4</w:t>
            </w:r>
          </w:p>
        </w:tc>
        <w:tc>
          <w:tcPr>
            <w:tcW w:w="571" w:type="pct"/>
            <w:vMerge w:val="continue"/>
            <w:tcBorders>
              <w:tl2br w:val="nil"/>
              <w:tr2bl w:val="nil"/>
            </w:tcBorders>
            <w:noWrap w:val="0"/>
            <w:vAlign w:val="center"/>
          </w:tcPr>
          <w:p w14:paraId="2FAD2FC6">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c>
          <w:tcPr>
            <w:tcW w:w="1112" w:type="pct"/>
            <w:tcBorders>
              <w:tl2br w:val="nil"/>
              <w:tr2bl w:val="nil"/>
            </w:tcBorders>
            <w:noWrap w:val="0"/>
            <w:vAlign w:val="center"/>
          </w:tcPr>
          <w:p w14:paraId="6F7CBCAD">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r>
              <w:rPr>
                <w:rFonts w:hint="eastAsia"/>
                <w:lang w:val="en-US" w:eastAsia="zh-CN"/>
              </w:rPr>
              <w:t>升压站北面厂界</w:t>
            </w:r>
          </w:p>
        </w:tc>
        <w:tc>
          <w:tcPr>
            <w:tcW w:w="1125" w:type="pct"/>
            <w:tcBorders>
              <w:tl2br w:val="nil"/>
              <w:tr2bl w:val="nil"/>
            </w:tcBorders>
            <w:noWrap w:val="0"/>
            <w:vAlign w:val="center"/>
          </w:tcPr>
          <w:p w14:paraId="450179BC">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113°3′47.63337″</w:t>
            </w:r>
          </w:p>
        </w:tc>
        <w:tc>
          <w:tcPr>
            <w:tcW w:w="1127" w:type="pct"/>
            <w:tcBorders>
              <w:tl2br w:val="nil"/>
              <w:tr2bl w:val="nil"/>
            </w:tcBorders>
            <w:noWrap w:val="0"/>
            <w:vAlign w:val="center"/>
          </w:tcPr>
          <w:p w14:paraId="082DBCC4">
            <w:pPr>
              <w:jc w:val="center"/>
              <w:rPr>
                <w:rFonts w:hint="default"/>
                <w:lang w:val="en-US" w:eastAsia="zh-CN"/>
              </w:rPr>
            </w:pPr>
            <w:r>
              <w:rPr>
                <w:rFonts w:hint="default" w:ascii="Times New Roman" w:hAnsi="Times New Roman" w:eastAsia="宋体" w:cs="Times New Roman"/>
                <w:b w:val="0"/>
                <w:bCs w:val="0"/>
                <w:color w:val="auto"/>
                <w:sz w:val="21"/>
                <w:szCs w:val="21"/>
                <w:lang w:val="en-US" w:eastAsia="zh-CN"/>
              </w:rPr>
              <w:t>26°27′58.67619″</w:t>
            </w:r>
          </w:p>
        </w:tc>
        <w:tc>
          <w:tcPr>
            <w:tcW w:w="686" w:type="pct"/>
            <w:tcBorders>
              <w:tl2br w:val="nil"/>
              <w:tr2bl w:val="nil"/>
            </w:tcBorders>
            <w:noWrap w:val="0"/>
            <w:vAlign w:val="center"/>
          </w:tcPr>
          <w:p w14:paraId="112B39A4">
            <w:pPr>
              <w:keepNext w:val="0"/>
              <w:keepLines w:val="0"/>
              <w:pageBreakBefore w:val="0"/>
              <w:widowControl w:val="0"/>
              <w:kinsoku/>
              <w:wordWrap/>
              <w:overflowPunct/>
              <w:topLinePunct w:val="0"/>
              <w:autoSpaceDE/>
              <w:autoSpaceDN/>
              <w:bidi w:val="0"/>
              <w:adjustRightInd/>
              <w:snapToGrid/>
              <w:jc w:val="center"/>
              <w:textAlignment w:val="auto"/>
              <w:rPr>
                <w:rFonts w:hint="default"/>
                <w:lang w:val="en-US" w:eastAsia="zh-CN"/>
              </w:rPr>
            </w:pPr>
          </w:p>
        </w:tc>
      </w:tr>
    </w:tbl>
    <w:p w14:paraId="53F9A11A">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9.3.3监测时间、监测频次、监测环境、监测单位和运行工况</w:t>
      </w:r>
    </w:p>
    <w:p w14:paraId="0F95A15E">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default" w:ascii="Times New Roman" w:hAnsi="Times New Roman" w:eastAsia="宋体" w:cs="Times New Roman"/>
          <w:color w:val="auto"/>
          <w:spacing w:val="-6"/>
          <w:sz w:val="24"/>
          <w:szCs w:val="24"/>
          <w:u w:val="none"/>
          <w:lang w:eastAsia="zh-CN"/>
        </w:rPr>
      </w:pPr>
      <w:r>
        <w:rPr>
          <w:rFonts w:hint="eastAsia" w:ascii="Times New Roman" w:hAnsi="Times New Roman" w:eastAsia="宋体" w:cs="Times New Roman"/>
          <w:color w:val="auto"/>
          <w:spacing w:val="-6"/>
          <w:sz w:val="24"/>
          <w:szCs w:val="24"/>
          <w:u w:val="none"/>
          <w:lang w:eastAsia="zh-CN"/>
        </w:rPr>
        <w:t>（</w:t>
      </w:r>
      <w:r>
        <w:rPr>
          <w:rFonts w:hint="eastAsia" w:ascii="Times New Roman" w:hAnsi="Times New Roman" w:eastAsia="宋体" w:cs="Times New Roman"/>
          <w:color w:val="auto"/>
          <w:spacing w:val="-6"/>
          <w:sz w:val="24"/>
          <w:szCs w:val="24"/>
          <w:u w:val="none"/>
          <w:lang w:val="en-US" w:eastAsia="zh-CN"/>
        </w:rPr>
        <w:t>1</w:t>
      </w:r>
      <w:r>
        <w:rPr>
          <w:rFonts w:hint="eastAsia" w:ascii="Times New Roman" w:hAnsi="Times New Roman" w:eastAsia="宋体" w:cs="Times New Roman"/>
          <w:color w:val="auto"/>
          <w:spacing w:val="-6"/>
          <w:sz w:val="24"/>
          <w:szCs w:val="24"/>
          <w:u w:val="none"/>
          <w:lang w:eastAsia="zh-CN"/>
        </w:rPr>
        <w:t>）</w:t>
      </w:r>
      <w:r>
        <w:rPr>
          <w:rFonts w:hint="default" w:ascii="Times New Roman" w:hAnsi="Times New Roman" w:eastAsia="宋体" w:cs="Times New Roman"/>
          <w:color w:val="auto"/>
          <w:spacing w:val="-6"/>
          <w:sz w:val="24"/>
          <w:szCs w:val="24"/>
          <w:u w:val="none"/>
          <w:lang w:eastAsia="zh-CN"/>
        </w:rPr>
        <w:t>监测时间：202</w:t>
      </w:r>
      <w:r>
        <w:rPr>
          <w:rFonts w:hint="eastAsia" w:cs="Times New Roman"/>
          <w:color w:val="auto"/>
          <w:spacing w:val="-6"/>
          <w:sz w:val="24"/>
          <w:szCs w:val="24"/>
          <w:u w:val="none"/>
          <w:lang w:val="en-US" w:eastAsia="zh-CN"/>
        </w:rPr>
        <w:t>3</w:t>
      </w:r>
      <w:r>
        <w:rPr>
          <w:rFonts w:hint="default" w:ascii="Times New Roman" w:hAnsi="Times New Roman" w:eastAsia="宋体" w:cs="Times New Roman"/>
          <w:color w:val="auto"/>
          <w:spacing w:val="-6"/>
          <w:sz w:val="24"/>
          <w:szCs w:val="24"/>
          <w:u w:val="none"/>
          <w:lang w:eastAsia="zh-CN"/>
        </w:rPr>
        <w:t>年</w:t>
      </w:r>
      <w:r>
        <w:rPr>
          <w:rFonts w:hint="eastAsia" w:cs="Times New Roman"/>
          <w:color w:val="auto"/>
          <w:spacing w:val="-6"/>
          <w:sz w:val="24"/>
          <w:szCs w:val="24"/>
          <w:u w:val="none"/>
          <w:lang w:val="en-US" w:eastAsia="zh-CN"/>
        </w:rPr>
        <w:t>9</w:t>
      </w:r>
      <w:r>
        <w:rPr>
          <w:rFonts w:hint="default" w:ascii="Times New Roman" w:hAnsi="Times New Roman" w:eastAsia="宋体" w:cs="Times New Roman"/>
          <w:color w:val="auto"/>
          <w:spacing w:val="-6"/>
          <w:sz w:val="24"/>
          <w:szCs w:val="24"/>
          <w:u w:val="none"/>
          <w:lang w:eastAsia="zh-CN"/>
        </w:rPr>
        <w:t>月</w:t>
      </w:r>
      <w:r>
        <w:rPr>
          <w:rFonts w:hint="eastAsia" w:cs="Times New Roman"/>
          <w:color w:val="auto"/>
          <w:spacing w:val="-6"/>
          <w:sz w:val="24"/>
          <w:szCs w:val="24"/>
          <w:u w:val="none"/>
          <w:lang w:val="en-US" w:eastAsia="zh-CN"/>
        </w:rPr>
        <w:t>20</w:t>
      </w:r>
      <w:r>
        <w:rPr>
          <w:rFonts w:hint="default" w:ascii="Times New Roman" w:hAnsi="Times New Roman" w:eastAsia="宋体" w:cs="Times New Roman"/>
          <w:color w:val="auto"/>
          <w:spacing w:val="-6"/>
          <w:sz w:val="24"/>
          <w:szCs w:val="24"/>
          <w:u w:val="none"/>
          <w:lang w:eastAsia="zh-CN"/>
        </w:rPr>
        <w:t>日。</w:t>
      </w:r>
    </w:p>
    <w:p w14:paraId="725BC290">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default" w:ascii="Times New Roman" w:hAnsi="Times New Roman" w:eastAsia="宋体" w:cs="Times New Roman"/>
          <w:color w:val="auto"/>
          <w:spacing w:val="-6"/>
          <w:sz w:val="24"/>
          <w:szCs w:val="24"/>
          <w:lang w:eastAsia="zh-CN"/>
        </w:rPr>
      </w:pP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2</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eastAsia="zh-CN"/>
        </w:rPr>
        <w:t>监测频次：监测一次。</w:t>
      </w:r>
    </w:p>
    <w:p w14:paraId="786C50A2">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default" w:ascii="Times New Roman" w:hAnsi="Times New Roman" w:eastAsia="宋体" w:cs="Times New Roman"/>
          <w:color w:val="auto"/>
          <w:spacing w:val="-6"/>
          <w:sz w:val="24"/>
          <w:szCs w:val="24"/>
          <w:lang w:eastAsia="zh-CN"/>
        </w:rPr>
      </w:pP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3</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eastAsia="zh-CN"/>
        </w:rPr>
        <w:t>监测环境：监测期间环境情况见表</w:t>
      </w:r>
      <w:r>
        <w:rPr>
          <w:rFonts w:hint="eastAsia" w:cs="Times New Roman"/>
          <w:color w:val="auto"/>
          <w:spacing w:val="-6"/>
          <w:sz w:val="24"/>
          <w:szCs w:val="24"/>
          <w:lang w:val="en-US" w:eastAsia="zh-CN"/>
        </w:rPr>
        <w:t>9</w:t>
      </w:r>
      <w:r>
        <w:rPr>
          <w:rFonts w:hint="eastAsia" w:ascii="Times New Roman" w:hAnsi="Times New Roman" w:eastAsia="宋体" w:cs="Times New Roman"/>
          <w:color w:val="auto"/>
          <w:spacing w:val="-6"/>
          <w:sz w:val="24"/>
          <w:szCs w:val="24"/>
          <w:lang w:val="en-US" w:eastAsia="zh-CN"/>
        </w:rPr>
        <w:t>-2</w:t>
      </w:r>
      <w:r>
        <w:rPr>
          <w:rFonts w:hint="default" w:ascii="Times New Roman" w:hAnsi="Times New Roman" w:eastAsia="宋体" w:cs="Times New Roman"/>
          <w:color w:val="auto"/>
          <w:spacing w:val="-6"/>
          <w:sz w:val="24"/>
          <w:szCs w:val="24"/>
          <w:lang w:eastAsia="zh-CN"/>
        </w:rPr>
        <w:t>。</w:t>
      </w:r>
    </w:p>
    <w:p w14:paraId="7E12F608">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eastAsia" w:ascii="Times New Roman" w:hAnsi="Times New Roman" w:eastAsia="宋体" w:cs="Times New Roman"/>
          <w:color w:val="auto"/>
          <w:spacing w:val="-6"/>
          <w:sz w:val="24"/>
          <w:szCs w:val="24"/>
          <w:lang w:val="en-US" w:eastAsia="zh-CN"/>
        </w:rPr>
      </w:pPr>
      <w:r>
        <w:rPr>
          <w:rFonts w:hint="eastAsia" w:ascii="Times New Roman" w:hAnsi="Times New Roman" w:eastAsia="宋体" w:cs="Times New Roman"/>
          <w:color w:val="auto"/>
          <w:spacing w:val="-6"/>
          <w:sz w:val="24"/>
          <w:szCs w:val="24"/>
          <w:lang w:eastAsia="zh-CN"/>
        </w:rPr>
        <w:t>（</w:t>
      </w:r>
      <w:r>
        <w:rPr>
          <w:rFonts w:hint="eastAsia" w:ascii="Times New Roman" w:hAnsi="Times New Roman" w:eastAsia="宋体" w:cs="Times New Roman"/>
          <w:color w:val="auto"/>
          <w:spacing w:val="-6"/>
          <w:sz w:val="24"/>
          <w:szCs w:val="24"/>
          <w:lang w:val="en-US" w:eastAsia="zh-CN"/>
        </w:rPr>
        <w:t>4</w:t>
      </w:r>
      <w:r>
        <w:rPr>
          <w:rFonts w:hint="eastAsia" w:ascii="Times New Roman" w:hAnsi="Times New Roman" w:eastAsia="宋体" w:cs="Times New Roman"/>
          <w:color w:val="auto"/>
          <w:spacing w:val="-6"/>
          <w:sz w:val="24"/>
          <w:szCs w:val="24"/>
          <w:lang w:eastAsia="zh-CN"/>
        </w:rPr>
        <w:t>）</w:t>
      </w:r>
      <w:r>
        <w:rPr>
          <w:rFonts w:hint="default" w:ascii="Times New Roman" w:hAnsi="Times New Roman" w:eastAsia="宋体" w:cs="Times New Roman"/>
          <w:color w:val="auto"/>
          <w:spacing w:val="-6"/>
          <w:sz w:val="24"/>
          <w:szCs w:val="24"/>
          <w:lang w:eastAsia="zh-CN"/>
        </w:rPr>
        <w:t>监测单位：</w:t>
      </w:r>
      <w:r>
        <w:rPr>
          <w:rFonts w:hint="eastAsia" w:cs="Times New Roman"/>
          <w:color w:val="auto"/>
          <w:spacing w:val="-6"/>
          <w:sz w:val="24"/>
          <w:szCs w:val="24"/>
          <w:lang w:val="en-US" w:eastAsia="zh-CN"/>
        </w:rPr>
        <w:t>湖南瑾杰环保科技有限公司</w:t>
      </w:r>
      <w:r>
        <w:rPr>
          <w:rFonts w:hint="default" w:ascii="Times New Roman" w:hAnsi="Times New Roman" w:eastAsia="宋体" w:cs="Times New Roman"/>
          <w:color w:val="auto"/>
          <w:spacing w:val="-6"/>
          <w:sz w:val="24"/>
          <w:szCs w:val="24"/>
          <w:lang w:eastAsia="zh-CN"/>
        </w:rPr>
        <w:t>。</w:t>
      </w:r>
    </w:p>
    <w:p w14:paraId="741E642C">
      <w:pPr>
        <w:keepNext w:val="0"/>
        <w:keepLines w:val="0"/>
        <w:pageBreakBefore w:val="0"/>
        <w:widowControl w:val="0"/>
        <w:kinsoku/>
        <w:wordWrap/>
        <w:overflowPunct/>
        <w:topLinePunct w:val="0"/>
        <w:autoSpaceDE/>
        <w:autoSpaceDN/>
        <w:bidi w:val="0"/>
        <w:adjustRightInd/>
        <w:snapToGrid/>
        <w:spacing w:line="240" w:lineRule="auto"/>
        <w:ind w:left="493"/>
        <w:jc w:val="center"/>
        <w:textAlignment w:val="auto"/>
        <w:rPr>
          <w:rFonts w:hint="default" w:ascii="Times New Roman" w:hAnsi="Times New Roman" w:eastAsia="宋体" w:cs="Times New Roman"/>
          <w:b/>
          <w:bCs/>
          <w:color w:val="auto"/>
          <w:spacing w:val="16"/>
          <w:sz w:val="24"/>
          <w:szCs w:val="24"/>
          <w:u w:val="none"/>
          <w:lang w:val="en-US" w:eastAsia="zh-CN"/>
        </w:rPr>
      </w:pPr>
      <w:r>
        <w:rPr>
          <w:rFonts w:hint="eastAsia" w:ascii="Times New Roman" w:hAnsi="Times New Roman" w:eastAsia="宋体" w:cs="Times New Roman"/>
          <w:b/>
          <w:bCs/>
          <w:color w:val="auto"/>
          <w:spacing w:val="16"/>
          <w:sz w:val="24"/>
          <w:szCs w:val="24"/>
          <w:u w:val="none"/>
          <w:lang w:val="en-US" w:eastAsia="zh-CN"/>
        </w:rPr>
        <w:t>表</w:t>
      </w:r>
      <w:r>
        <w:rPr>
          <w:rFonts w:hint="eastAsia" w:cs="Times New Roman"/>
          <w:b/>
          <w:bCs/>
          <w:color w:val="auto"/>
          <w:spacing w:val="16"/>
          <w:sz w:val="24"/>
          <w:szCs w:val="24"/>
          <w:u w:val="none"/>
          <w:lang w:val="en-US" w:eastAsia="zh-CN"/>
        </w:rPr>
        <w:t>9</w:t>
      </w:r>
      <w:r>
        <w:rPr>
          <w:rFonts w:hint="eastAsia" w:ascii="Times New Roman" w:hAnsi="Times New Roman" w:eastAsia="宋体" w:cs="Times New Roman"/>
          <w:b/>
          <w:bCs/>
          <w:color w:val="auto"/>
          <w:spacing w:val="16"/>
          <w:sz w:val="24"/>
          <w:szCs w:val="24"/>
          <w:u w:val="none"/>
          <w:lang w:val="en-US" w:eastAsia="zh-CN"/>
        </w:rPr>
        <w:t>-2  监测期间环境情况</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0"/>
        <w:gridCol w:w="1785"/>
        <w:gridCol w:w="2575"/>
        <w:gridCol w:w="2604"/>
      </w:tblGrid>
      <w:tr w14:paraId="146E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49" w:type="pct"/>
            <w:tcBorders>
              <w:top w:val="single" w:color="auto" w:sz="12" w:space="0"/>
              <w:left w:val="single" w:color="auto" w:sz="12" w:space="0"/>
            </w:tcBorders>
            <w:noWrap w:val="0"/>
            <w:vAlign w:val="top"/>
          </w:tcPr>
          <w:p w14:paraId="140D67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检测时间</w:t>
            </w:r>
          </w:p>
        </w:tc>
        <w:tc>
          <w:tcPr>
            <w:tcW w:w="961" w:type="pct"/>
            <w:tcBorders>
              <w:top w:val="single" w:color="auto" w:sz="12" w:space="0"/>
            </w:tcBorders>
            <w:noWrap w:val="0"/>
            <w:vAlign w:val="top"/>
          </w:tcPr>
          <w:p w14:paraId="62556A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天气</w:t>
            </w:r>
          </w:p>
        </w:tc>
        <w:tc>
          <w:tcPr>
            <w:tcW w:w="1386" w:type="pct"/>
            <w:tcBorders>
              <w:top w:val="single" w:color="auto" w:sz="12" w:space="0"/>
            </w:tcBorders>
            <w:noWrap w:val="0"/>
            <w:vAlign w:val="top"/>
          </w:tcPr>
          <w:p w14:paraId="0FED30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温度（℃）</w:t>
            </w:r>
          </w:p>
        </w:tc>
        <w:tc>
          <w:tcPr>
            <w:tcW w:w="1402" w:type="pct"/>
            <w:tcBorders>
              <w:top w:val="single" w:color="auto" w:sz="12" w:space="0"/>
              <w:right w:val="single" w:color="auto" w:sz="12" w:space="0"/>
            </w:tcBorders>
            <w:noWrap w:val="0"/>
            <w:vAlign w:val="top"/>
          </w:tcPr>
          <w:p w14:paraId="380353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相对</w:t>
            </w:r>
            <w:r>
              <w:rPr>
                <w:rFonts w:hint="eastAsia" w:ascii="Times New Roman" w:hAnsi="Times New Roman" w:eastAsia="宋体" w:cs="Times New Roman"/>
                <w:color w:val="auto"/>
                <w:sz w:val="21"/>
                <w:szCs w:val="21"/>
                <w:lang w:val="en-US" w:eastAsia="zh-CN"/>
              </w:rPr>
              <w:t>湿度（%）</w:t>
            </w:r>
          </w:p>
        </w:tc>
      </w:tr>
      <w:tr w14:paraId="0F88F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49" w:type="pct"/>
            <w:tcBorders>
              <w:left w:val="single" w:color="auto" w:sz="12" w:space="0"/>
              <w:bottom w:val="single" w:color="auto" w:sz="12" w:space="0"/>
            </w:tcBorders>
            <w:noWrap w:val="0"/>
            <w:vAlign w:val="top"/>
          </w:tcPr>
          <w:p w14:paraId="1E2391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w:t>
            </w:r>
            <w:r>
              <w:rPr>
                <w:rFonts w:hint="eastAsia"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9</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20</w:t>
            </w:r>
          </w:p>
        </w:tc>
        <w:tc>
          <w:tcPr>
            <w:tcW w:w="961" w:type="pct"/>
            <w:tcBorders>
              <w:bottom w:val="single" w:color="auto" w:sz="12" w:space="0"/>
            </w:tcBorders>
            <w:noWrap w:val="0"/>
            <w:vAlign w:val="top"/>
          </w:tcPr>
          <w:p w14:paraId="4F59A8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多云</w:t>
            </w:r>
          </w:p>
        </w:tc>
        <w:tc>
          <w:tcPr>
            <w:tcW w:w="1386" w:type="pct"/>
            <w:tcBorders>
              <w:bottom w:val="single" w:color="auto" w:sz="12" w:space="0"/>
            </w:tcBorders>
            <w:noWrap w:val="0"/>
            <w:vAlign w:val="top"/>
          </w:tcPr>
          <w:p w14:paraId="2CDA9A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27.8</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29.3</w:t>
            </w:r>
          </w:p>
        </w:tc>
        <w:tc>
          <w:tcPr>
            <w:tcW w:w="1402" w:type="pct"/>
            <w:tcBorders>
              <w:bottom w:val="single" w:color="auto" w:sz="12" w:space="0"/>
              <w:right w:val="single" w:color="auto" w:sz="12" w:space="0"/>
            </w:tcBorders>
            <w:noWrap w:val="0"/>
            <w:vAlign w:val="top"/>
          </w:tcPr>
          <w:p w14:paraId="6DAD89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53.1</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54.7</w:t>
            </w:r>
          </w:p>
        </w:tc>
      </w:tr>
    </w:tbl>
    <w:p w14:paraId="16F6A453">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9.3.4监测方法</w:t>
      </w:r>
    </w:p>
    <w:p w14:paraId="2475D9AF">
      <w:pPr>
        <w:keepNext w:val="0"/>
        <w:keepLines w:val="0"/>
        <w:pageBreakBefore w:val="0"/>
        <w:widowControl w:val="0"/>
        <w:kinsoku/>
        <w:wordWrap/>
        <w:overflowPunct/>
        <w:topLinePunct w:val="0"/>
        <w:autoSpaceDE/>
        <w:autoSpaceDN/>
        <w:bidi w:val="0"/>
        <w:adjustRightInd/>
        <w:snapToGrid/>
        <w:spacing w:line="360" w:lineRule="auto"/>
        <w:ind w:left="493"/>
        <w:textAlignment w:val="auto"/>
        <w:rPr>
          <w:rFonts w:ascii="宋体" w:hAnsi="宋体" w:eastAsia="宋体" w:cs="宋体"/>
          <w:color w:val="auto"/>
          <w:sz w:val="24"/>
          <w:szCs w:val="24"/>
        </w:rPr>
      </w:pPr>
      <w:r>
        <w:rPr>
          <w:rFonts w:ascii="宋体" w:hAnsi="宋体" w:eastAsia="宋体" w:cs="宋体"/>
          <w:color w:val="auto"/>
          <w:spacing w:val="16"/>
          <w:sz w:val="24"/>
          <w:szCs w:val="24"/>
        </w:rPr>
        <w:t>按</w:t>
      </w:r>
      <w:r>
        <w:rPr>
          <w:rFonts w:ascii="宋体" w:hAnsi="宋体" w:eastAsia="宋体" w:cs="宋体"/>
          <w:color w:val="auto"/>
          <w:spacing w:val="12"/>
          <w:sz w:val="24"/>
          <w:szCs w:val="24"/>
        </w:rPr>
        <w:t>《交流输变电工程电磁环境监测方法(试行)》(</w:t>
      </w:r>
      <w:r>
        <w:rPr>
          <w:rFonts w:ascii="Times New Roman" w:hAnsi="Times New Roman" w:eastAsia="Times New Roman" w:cs="Times New Roman"/>
          <w:color w:val="auto"/>
          <w:sz w:val="24"/>
          <w:szCs w:val="24"/>
        </w:rPr>
        <w:t>HJ</w:t>
      </w:r>
      <w:r>
        <w:rPr>
          <w:rFonts w:ascii="Times New Roman" w:hAnsi="Times New Roman" w:eastAsia="Times New Roman" w:cs="Times New Roman"/>
          <w:color w:val="auto"/>
          <w:spacing w:val="12"/>
          <w:sz w:val="24"/>
          <w:szCs w:val="24"/>
        </w:rPr>
        <w:t>681-2013</w:t>
      </w:r>
      <w:r>
        <w:rPr>
          <w:rFonts w:ascii="宋体" w:hAnsi="宋体" w:eastAsia="宋体" w:cs="宋体"/>
          <w:color w:val="auto"/>
          <w:spacing w:val="12"/>
          <w:sz w:val="24"/>
          <w:szCs w:val="24"/>
        </w:rPr>
        <w:t>)执行。</w:t>
      </w:r>
    </w:p>
    <w:p w14:paraId="205CC0E0">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9.3.5监测仪器</w:t>
      </w:r>
    </w:p>
    <w:p w14:paraId="59DDD919">
      <w:pPr>
        <w:keepNext w:val="0"/>
        <w:keepLines w:val="0"/>
        <w:pageBreakBefore w:val="0"/>
        <w:widowControl w:val="0"/>
        <w:kinsoku/>
        <w:wordWrap/>
        <w:overflowPunct/>
        <w:topLinePunct w:val="0"/>
        <w:autoSpaceDE/>
        <w:autoSpaceDN/>
        <w:bidi w:val="0"/>
        <w:adjustRightInd/>
        <w:snapToGrid/>
        <w:spacing w:line="360" w:lineRule="auto"/>
        <w:ind w:left="493"/>
        <w:textAlignment w:val="auto"/>
        <w:rPr>
          <w:rFonts w:hint="default" w:ascii="Times New Roman" w:hAnsi="Times New Roman" w:eastAsia="宋体" w:cs="Times New Roman"/>
          <w:color w:val="auto"/>
          <w:spacing w:val="16"/>
          <w:sz w:val="24"/>
          <w:szCs w:val="24"/>
        </w:rPr>
      </w:pPr>
      <w:r>
        <w:rPr>
          <w:rFonts w:hint="default" w:ascii="Times New Roman" w:hAnsi="Times New Roman" w:eastAsia="宋体" w:cs="Times New Roman"/>
          <w:color w:val="auto"/>
          <w:spacing w:val="16"/>
          <w:sz w:val="24"/>
          <w:szCs w:val="24"/>
        </w:rPr>
        <w:t>电磁环境现状监测仪器见表</w:t>
      </w:r>
      <w:r>
        <w:rPr>
          <w:rFonts w:hint="eastAsia" w:cs="Times New Roman"/>
          <w:color w:val="auto"/>
          <w:spacing w:val="16"/>
          <w:sz w:val="24"/>
          <w:szCs w:val="24"/>
          <w:lang w:val="en-US" w:eastAsia="zh-CN"/>
        </w:rPr>
        <w:t>9</w:t>
      </w:r>
      <w:r>
        <w:rPr>
          <w:rFonts w:hint="default" w:ascii="Times New Roman" w:hAnsi="Times New Roman" w:eastAsia="宋体" w:cs="Times New Roman"/>
          <w:color w:val="auto"/>
          <w:spacing w:val="16"/>
          <w:sz w:val="24"/>
          <w:szCs w:val="24"/>
          <w:lang w:val="en-US" w:eastAsia="zh-CN"/>
        </w:rPr>
        <w:t>-3</w:t>
      </w:r>
      <w:r>
        <w:rPr>
          <w:rFonts w:hint="default" w:ascii="Times New Roman" w:hAnsi="Times New Roman" w:eastAsia="宋体" w:cs="Times New Roman"/>
          <w:color w:val="auto"/>
          <w:spacing w:val="16"/>
          <w:sz w:val="24"/>
          <w:szCs w:val="24"/>
        </w:rPr>
        <w:t>。</w:t>
      </w:r>
    </w:p>
    <w:p w14:paraId="7619F260">
      <w:pPr>
        <w:keepNext w:val="0"/>
        <w:keepLines w:val="0"/>
        <w:pageBreakBefore w:val="0"/>
        <w:widowControl w:val="0"/>
        <w:kinsoku/>
        <w:wordWrap/>
        <w:overflowPunct/>
        <w:topLinePunct w:val="0"/>
        <w:autoSpaceDE/>
        <w:autoSpaceDN/>
        <w:bidi w:val="0"/>
        <w:adjustRightInd/>
        <w:snapToGrid/>
        <w:spacing w:line="240" w:lineRule="auto"/>
        <w:ind w:left="493"/>
        <w:jc w:val="center"/>
        <w:textAlignment w:val="auto"/>
        <w:rPr>
          <w:rFonts w:hint="default" w:ascii="Times New Roman" w:hAnsi="Times New Roman" w:eastAsia="宋体" w:cs="Times New Roman"/>
          <w:b/>
          <w:bCs/>
          <w:color w:val="auto"/>
          <w:spacing w:val="16"/>
          <w:sz w:val="24"/>
          <w:szCs w:val="24"/>
          <w:u w:val="none"/>
        </w:rPr>
      </w:pPr>
      <w:bookmarkStart w:id="327" w:name="_bookmark43"/>
      <w:bookmarkEnd w:id="327"/>
      <w:r>
        <w:rPr>
          <w:rFonts w:hint="default" w:ascii="Times New Roman" w:hAnsi="Times New Roman" w:eastAsia="宋体" w:cs="Times New Roman"/>
          <w:b/>
          <w:bCs/>
          <w:color w:val="auto"/>
          <w:spacing w:val="16"/>
          <w:sz w:val="24"/>
          <w:szCs w:val="24"/>
          <w:u w:val="none"/>
          <w:lang w:val="en-US" w:eastAsia="zh-CN"/>
        </w:rPr>
        <w:t>表</w:t>
      </w:r>
      <w:r>
        <w:rPr>
          <w:rFonts w:hint="eastAsia" w:cs="Times New Roman"/>
          <w:b/>
          <w:bCs/>
          <w:color w:val="auto"/>
          <w:spacing w:val="16"/>
          <w:sz w:val="24"/>
          <w:szCs w:val="24"/>
          <w:u w:val="none"/>
          <w:lang w:val="en-US" w:eastAsia="zh-CN"/>
        </w:rPr>
        <w:t>9</w:t>
      </w:r>
      <w:r>
        <w:rPr>
          <w:rFonts w:hint="default" w:ascii="Times New Roman" w:hAnsi="Times New Roman" w:eastAsia="宋体" w:cs="Times New Roman"/>
          <w:b/>
          <w:bCs/>
          <w:color w:val="auto"/>
          <w:spacing w:val="16"/>
          <w:sz w:val="24"/>
          <w:szCs w:val="24"/>
          <w:u w:val="none"/>
          <w:lang w:val="en-US" w:eastAsia="zh-CN"/>
        </w:rPr>
        <w:t>-3</w:t>
      </w:r>
      <w:r>
        <w:rPr>
          <w:rFonts w:hint="default" w:ascii="Times New Roman" w:hAnsi="Times New Roman" w:eastAsia="宋体" w:cs="Times New Roman"/>
          <w:b/>
          <w:bCs/>
          <w:color w:val="auto"/>
          <w:spacing w:val="16"/>
          <w:sz w:val="24"/>
          <w:szCs w:val="24"/>
          <w:u w:val="none"/>
        </w:rPr>
        <w:t xml:space="preserve">  电磁环境现状监测仪器</w:t>
      </w:r>
    </w:p>
    <w:tbl>
      <w:tblPr>
        <w:tblStyle w:val="96"/>
        <w:tblW w:w="509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7"/>
        <w:gridCol w:w="1489"/>
        <w:gridCol w:w="1726"/>
        <w:gridCol w:w="2233"/>
        <w:gridCol w:w="2110"/>
      </w:tblGrid>
      <w:tr w14:paraId="32A7F2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5" w:type="pct"/>
            <w:tcBorders>
              <w:top w:val="single" w:color="000000" w:sz="12" w:space="0"/>
              <w:left w:val="single" w:color="000000" w:sz="12" w:space="0"/>
              <w:bottom w:val="single" w:color="000000" w:sz="4" w:space="0"/>
              <w:right w:val="single" w:color="auto" w:sz="4" w:space="0"/>
            </w:tcBorders>
            <w:noWrap w:val="0"/>
            <w:vAlign w:val="center"/>
          </w:tcPr>
          <w:p w14:paraId="3E0119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仪</w:t>
            </w:r>
            <w:r>
              <w:rPr>
                <w:rFonts w:ascii="宋体" w:hAnsi="宋体" w:eastAsia="宋体" w:cs="宋体"/>
                <w:color w:val="auto"/>
                <w:sz w:val="21"/>
                <w:szCs w:val="21"/>
              </w:rPr>
              <w:t>器名称</w:t>
            </w:r>
          </w:p>
        </w:tc>
        <w:tc>
          <w:tcPr>
            <w:tcW w:w="802" w:type="pct"/>
            <w:tcBorders>
              <w:top w:val="single" w:color="000000" w:sz="12" w:space="0"/>
              <w:left w:val="single" w:color="auto" w:sz="4" w:space="0"/>
              <w:bottom w:val="single" w:color="000000" w:sz="4" w:space="0"/>
              <w:right w:val="single" w:color="000000" w:sz="4" w:space="0"/>
            </w:tcBorders>
            <w:noWrap w:val="0"/>
            <w:vAlign w:val="center"/>
          </w:tcPr>
          <w:p w14:paraId="37EEBB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宋体" w:hAnsi="宋体" w:eastAsia="宋体" w:cs="宋体"/>
                <w:color w:val="auto"/>
                <w:spacing w:val="-1"/>
                <w:sz w:val="21"/>
                <w:szCs w:val="21"/>
              </w:rPr>
            </w:pPr>
            <w:r>
              <w:rPr>
                <w:rFonts w:hint="eastAsia" w:ascii="宋体" w:hAnsi="宋体" w:cs="宋体"/>
                <w:color w:val="auto"/>
                <w:sz w:val="21"/>
                <w:szCs w:val="21"/>
                <w:lang w:val="en-US" w:eastAsia="zh-CN"/>
              </w:rPr>
              <w:t>仪器</w:t>
            </w:r>
            <w:r>
              <w:rPr>
                <w:rFonts w:ascii="宋体" w:hAnsi="宋体" w:eastAsia="宋体" w:cs="宋体"/>
                <w:color w:val="auto"/>
                <w:sz w:val="21"/>
                <w:szCs w:val="21"/>
              </w:rPr>
              <w:t>编号</w:t>
            </w:r>
          </w:p>
        </w:tc>
        <w:tc>
          <w:tcPr>
            <w:tcW w:w="930" w:type="pct"/>
            <w:tcBorders>
              <w:top w:val="single" w:color="000000" w:sz="12" w:space="0"/>
              <w:left w:val="single" w:color="000000" w:sz="4" w:space="0"/>
              <w:bottom w:val="single" w:color="000000" w:sz="4" w:space="0"/>
              <w:right w:val="single" w:color="auto" w:sz="4" w:space="0"/>
            </w:tcBorders>
            <w:noWrap w:val="0"/>
            <w:vAlign w:val="center"/>
          </w:tcPr>
          <w:p w14:paraId="13E75C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pacing w:val="-1"/>
                <w:sz w:val="21"/>
                <w:szCs w:val="21"/>
                <w:lang w:val="en-US" w:eastAsia="zh-CN"/>
              </w:rPr>
              <w:t>出厂编号</w:t>
            </w:r>
          </w:p>
        </w:tc>
        <w:tc>
          <w:tcPr>
            <w:tcW w:w="1203" w:type="pct"/>
            <w:tcBorders>
              <w:top w:val="single" w:color="000000" w:sz="12" w:space="0"/>
              <w:left w:val="single" w:color="auto" w:sz="4" w:space="0"/>
              <w:bottom w:val="single" w:color="000000" w:sz="4" w:space="0"/>
              <w:right w:val="single" w:color="000000" w:sz="4" w:space="0"/>
            </w:tcBorders>
            <w:noWrap w:val="0"/>
            <w:vAlign w:val="center"/>
          </w:tcPr>
          <w:p w14:paraId="47B604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pacing w:val="-1"/>
                <w:sz w:val="21"/>
                <w:szCs w:val="21"/>
                <w:lang w:val="en-US" w:eastAsia="zh-CN"/>
              </w:rPr>
            </w:pPr>
            <w:r>
              <w:rPr>
                <w:rFonts w:hint="eastAsia" w:ascii="宋体" w:hAnsi="宋体" w:cs="宋体"/>
                <w:color w:val="auto"/>
                <w:spacing w:val="-1"/>
                <w:sz w:val="21"/>
                <w:szCs w:val="21"/>
                <w:lang w:val="en-US" w:eastAsia="zh-CN"/>
              </w:rPr>
              <w:t>证书编号</w:t>
            </w:r>
          </w:p>
        </w:tc>
        <w:tc>
          <w:tcPr>
            <w:tcW w:w="1137" w:type="pct"/>
            <w:tcBorders>
              <w:top w:val="single" w:color="000000" w:sz="12" w:space="0"/>
              <w:left w:val="single" w:color="000000" w:sz="4" w:space="0"/>
              <w:bottom w:val="single" w:color="000000" w:sz="4" w:space="0"/>
              <w:right w:val="single" w:color="000000" w:sz="12" w:space="0"/>
            </w:tcBorders>
            <w:noWrap w:val="0"/>
            <w:vAlign w:val="center"/>
          </w:tcPr>
          <w:p w14:paraId="32EC69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有效期至</w:t>
            </w:r>
          </w:p>
        </w:tc>
      </w:tr>
      <w:tr w14:paraId="0A4EED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5" w:type="pct"/>
            <w:tcBorders>
              <w:top w:val="single" w:color="000000" w:sz="4" w:space="0"/>
              <w:left w:val="single" w:color="000000" w:sz="12" w:space="0"/>
              <w:bottom w:val="single" w:color="000000" w:sz="4" w:space="0"/>
              <w:right w:val="single" w:color="auto" w:sz="4" w:space="0"/>
            </w:tcBorders>
            <w:noWrap w:val="0"/>
            <w:vAlign w:val="center"/>
          </w:tcPr>
          <w:p w14:paraId="3FE3A5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工频电磁场测试仪</w:t>
            </w:r>
          </w:p>
        </w:tc>
        <w:tc>
          <w:tcPr>
            <w:tcW w:w="802" w:type="pct"/>
            <w:tcBorders>
              <w:top w:val="single" w:color="000000" w:sz="4" w:space="0"/>
              <w:left w:val="single" w:color="auto" w:sz="4" w:space="0"/>
              <w:bottom w:val="single" w:color="000000" w:sz="4" w:space="0"/>
              <w:right w:val="single" w:color="000000" w:sz="4" w:space="0"/>
            </w:tcBorders>
            <w:noWrap w:val="0"/>
            <w:vAlign w:val="center"/>
          </w:tcPr>
          <w:p w14:paraId="1210DD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SEM-600/LF-01</w:t>
            </w:r>
          </w:p>
        </w:tc>
        <w:tc>
          <w:tcPr>
            <w:tcW w:w="930" w:type="pct"/>
            <w:tcBorders>
              <w:top w:val="single" w:color="000000" w:sz="4" w:space="0"/>
              <w:left w:val="single" w:color="000000" w:sz="4" w:space="0"/>
              <w:bottom w:val="single" w:color="000000" w:sz="4" w:space="0"/>
              <w:right w:val="single" w:color="auto" w:sz="4" w:space="0"/>
            </w:tcBorders>
            <w:noWrap w:val="0"/>
            <w:vAlign w:val="center"/>
          </w:tcPr>
          <w:p w14:paraId="63A13E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D-2292/G-2304</w:t>
            </w:r>
          </w:p>
        </w:tc>
        <w:tc>
          <w:tcPr>
            <w:tcW w:w="1203" w:type="pct"/>
            <w:tcBorders>
              <w:top w:val="single" w:color="000000" w:sz="4" w:space="0"/>
              <w:left w:val="single" w:color="auto" w:sz="4" w:space="0"/>
              <w:bottom w:val="single" w:color="000000" w:sz="4" w:space="0"/>
              <w:right w:val="single" w:color="000000" w:sz="4" w:space="0"/>
            </w:tcBorders>
            <w:noWrap w:val="0"/>
            <w:vAlign w:val="center"/>
          </w:tcPr>
          <w:p w14:paraId="5546A0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J202308310004-0002</w:t>
            </w:r>
          </w:p>
        </w:tc>
        <w:tc>
          <w:tcPr>
            <w:tcW w:w="1137" w:type="pct"/>
            <w:tcBorders>
              <w:top w:val="single" w:color="000000" w:sz="4" w:space="0"/>
              <w:left w:val="single" w:color="000000" w:sz="4" w:space="0"/>
              <w:bottom w:val="single" w:color="000000" w:sz="4" w:space="0"/>
              <w:right w:val="single" w:color="000000" w:sz="12" w:space="0"/>
            </w:tcBorders>
            <w:noWrap w:val="0"/>
            <w:vAlign w:val="center"/>
          </w:tcPr>
          <w:p w14:paraId="65B554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2024年9月6日</w:t>
            </w:r>
          </w:p>
        </w:tc>
      </w:tr>
      <w:tr w14:paraId="21CCF4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925" w:type="pct"/>
            <w:tcBorders>
              <w:top w:val="single" w:color="000000" w:sz="4" w:space="0"/>
              <w:left w:val="single" w:color="000000" w:sz="12" w:space="0"/>
              <w:bottom w:val="single" w:color="000000" w:sz="12" w:space="0"/>
              <w:right w:val="single" w:color="auto" w:sz="4" w:space="0"/>
            </w:tcBorders>
            <w:noWrap w:val="0"/>
            <w:vAlign w:val="center"/>
          </w:tcPr>
          <w:p w14:paraId="1BDA32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数字温湿度计</w:t>
            </w:r>
          </w:p>
        </w:tc>
        <w:tc>
          <w:tcPr>
            <w:tcW w:w="802" w:type="pct"/>
            <w:tcBorders>
              <w:top w:val="single" w:color="000000" w:sz="4" w:space="0"/>
              <w:left w:val="single" w:color="auto" w:sz="4" w:space="0"/>
              <w:bottom w:val="single" w:color="000000" w:sz="12" w:space="0"/>
              <w:right w:val="single" w:color="000000" w:sz="4" w:space="0"/>
            </w:tcBorders>
            <w:noWrap w:val="0"/>
            <w:vAlign w:val="center"/>
          </w:tcPr>
          <w:p w14:paraId="206297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TES-1360A</w:t>
            </w:r>
          </w:p>
        </w:tc>
        <w:tc>
          <w:tcPr>
            <w:tcW w:w="930" w:type="pct"/>
            <w:tcBorders>
              <w:top w:val="single" w:color="000000" w:sz="4" w:space="0"/>
              <w:left w:val="single" w:color="000000" w:sz="4" w:space="0"/>
              <w:bottom w:val="single" w:color="000000" w:sz="12" w:space="0"/>
              <w:right w:val="single" w:color="auto" w:sz="4" w:space="0"/>
            </w:tcBorders>
            <w:noWrap w:val="0"/>
            <w:vAlign w:val="center"/>
          </w:tcPr>
          <w:p w14:paraId="1348F2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210203259</w:t>
            </w:r>
          </w:p>
        </w:tc>
        <w:tc>
          <w:tcPr>
            <w:tcW w:w="1203" w:type="pct"/>
            <w:tcBorders>
              <w:top w:val="single" w:color="000000" w:sz="4" w:space="0"/>
              <w:left w:val="single" w:color="auto" w:sz="4" w:space="0"/>
              <w:bottom w:val="single" w:color="000000" w:sz="12" w:space="0"/>
              <w:right w:val="single" w:color="000000" w:sz="4" w:space="0"/>
            </w:tcBorders>
            <w:noWrap w:val="0"/>
            <w:vAlign w:val="center"/>
          </w:tcPr>
          <w:p w14:paraId="586244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2023072403649011</w:t>
            </w:r>
          </w:p>
        </w:tc>
        <w:tc>
          <w:tcPr>
            <w:tcW w:w="1137" w:type="pct"/>
            <w:tcBorders>
              <w:top w:val="single" w:color="000000" w:sz="4" w:space="0"/>
              <w:left w:val="single" w:color="000000" w:sz="4" w:space="0"/>
              <w:bottom w:val="single" w:color="000000" w:sz="12" w:space="0"/>
              <w:right w:val="single" w:color="000000" w:sz="12" w:space="0"/>
            </w:tcBorders>
            <w:noWrap w:val="0"/>
            <w:vAlign w:val="center"/>
          </w:tcPr>
          <w:p w14:paraId="19E5C9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2024年7月23日</w:t>
            </w:r>
          </w:p>
        </w:tc>
      </w:tr>
    </w:tbl>
    <w:p w14:paraId="16C43894">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9.3.6监测结果</w:t>
      </w:r>
    </w:p>
    <w:p w14:paraId="1C32D36A">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eastAsia" w:ascii="Times New Roman" w:hAnsi="Times New Roman" w:eastAsia="宋体" w:cs="Times New Roman"/>
          <w:color w:val="auto"/>
          <w:spacing w:val="-6"/>
          <w:sz w:val="24"/>
          <w:szCs w:val="24"/>
          <w:lang w:val="en-US" w:eastAsia="zh-CN"/>
        </w:rPr>
      </w:pPr>
      <w:r>
        <w:rPr>
          <w:rFonts w:hint="eastAsia" w:ascii="Times New Roman" w:hAnsi="Times New Roman" w:eastAsia="宋体" w:cs="Times New Roman"/>
          <w:color w:val="auto"/>
          <w:spacing w:val="-6"/>
          <w:sz w:val="24"/>
          <w:szCs w:val="24"/>
          <w:lang w:val="en-US" w:eastAsia="zh-CN"/>
        </w:rPr>
        <w:t>电磁环境现状监测结果见表</w:t>
      </w:r>
      <w:r>
        <w:rPr>
          <w:rFonts w:hint="eastAsia" w:cs="Times New Roman"/>
          <w:color w:val="auto"/>
          <w:spacing w:val="-6"/>
          <w:sz w:val="24"/>
          <w:szCs w:val="24"/>
          <w:lang w:val="en-US" w:eastAsia="zh-CN"/>
        </w:rPr>
        <w:t>9</w:t>
      </w:r>
      <w:r>
        <w:rPr>
          <w:rFonts w:hint="eastAsia" w:ascii="Times New Roman" w:hAnsi="Times New Roman" w:eastAsia="宋体" w:cs="Times New Roman"/>
          <w:color w:val="auto"/>
          <w:spacing w:val="-6"/>
          <w:sz w:val="24"/>
          <w:szCs w:val="24"/>
          <w:lang w:val="en-US" w:eastAsia="zh-CN"/>
        </w:rPr>
        <w:t>-4。</w:t>
      </w:r>
    </w:p>
    <w:p w14:paraId="11196DDC">
      <w:pPr>
        <w:keepNext w:val="0"/>
        <w:keepLines w:val="0"/>
        <w:pageBreakBefore w:val="0"/>
        <w:widowControl w:val="0"/>
        <w:kinsoku/>
        <w:wordWrap/>
        <w:overflowPunct/>
        <w:topLinePunct w:val="0"/>
        <w:autoSpaceDE/>
        <w:autoSpaceDN/>
        <w:bidi w:val="0"/>
        <w:adjustRightInd/>
        <w:snapToGrid/>
        <w:spacing w:line="240" w:lineRule="auto"/>
        <w:ind w:left="9" w:firstLine="486"/>
        <w:jc w:val="center"/>
        <w:textAlignment w:val="auto"/>
        <w:rPr>
          <w:rFonts w:hint="eastAsia" w:ascii="Times New Roman" w:hAnsi="Times New Roman" w:eastAsia="宋体" w:cs="Times New Roman"/>
          <w:b/>
          <w:bCs/>
          <w:color w:val="auto"/>
          <w:spacing w:val="-6"/>
          <w:sz w:val="24"/>
          <w:szCs w:val="24"/>
          <w:u w:val="none"/>
          <w:lang w:val="en-US" w:eastAsia="zh-CN"/>
        </w:rPr>
      </w:pPr>
      <w:r>
        <w:rPr>
          <w:rFonts w:hint="eastAsia" w:ascii="Times New Roman" w:hAnsi="Times New Roman" w:eastAsia="宋体" w:cs="Times New Roman"/>
          <w:b/>
          <w:bCs/>
          <w:color w:val="auto"/>
          <w:spacing w:val="-6"/>
          <w:sz w:val="24"/>
          <w:szCs w:val="24"/>
          <w:u w:val="none"/>
          <w:lang w:val="en-US" w:eastAsia="zh-CN"/>
        </w:rPr>
        <w:t>表</w:t>
      </w:r>
      <w:r>
        <w:rPr>
          <w:rFonts w:hint="eastAsia" w:cs="Times New Roman"/>
          <w:b/>
          <w:bCs/>
          <w:color w:val="auto"/>
          <w:spacing w:val="-6"/>
          <w:sz w:val="24"/>
          <w:szCs w:val="24"/>
          <w:u w:val="none"/>
          <w:lang w:val="en-US" w:eastAsia="zh-CN"/>
        </w:rPr>
        <w:t>9</w:t>
      </w:r>
      <w:r>
        <w:rPr>
          <w:rFonts w:hint="eastAsia" w:ascii="Times New Roman" w:hAnsi="Times New Roman" w:eastAsia="宋体" w:cs="Times New Roman"/>
          <w:b/>
          <w:bCs/>
          <w:color w:val="auto"/>
          <w:spacing w:val="-6"/>
          <w:sz w:val="24"/>
          <w:szCs w:val="24"/>
          <w:u w:val="none"/>
          <w:lang w:val="en-US" w:eastAsia="zh-CN"/>
        </w:rPr>
        <w:t>-4  各监测点位工频电场、工频磁场现状监测结果</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2319"/>
        <w:gridCol w:w="2722"/>
        <w:gridCol w:w="2722"/>
      </w:tblGrid>
      <w:tr w14:paraId="6D338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top w:val="single" w:color="auto" w:sz="12" w:space="0"/>
              <w:left w:val="single" w:color="auto" w:sz="12" w:space="0"/>
            </w:tcBorders>
            <w:vAlign w:val="center"/>
          </w:tcPr>
          <w:p w14:paraId="32C3DF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测点编号</w:t>
            </w:r>
          </w:p>
        </w:tc>
        <w:tc>
          <w:tcPr>
            <w:tcW w:w="2319" w:type="dxa"/>
            <w:tcBorders>
              <w:top w:val="single" w:color="auto" w:sz="12" w:space="0"/>
            </w:tcBorders>
            <w:vAlign w:val="center"/>
          </w:tcPr>
          <w:p w14:paraId="55752E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测点位置</w:t>
            </w:r>
          </w:p>
        </w:tc>
        <w:tc>
          <w:tcPr>
            <w:tcW w:w="2722" w:type="dxa"/>
            <w:tcBorders>
              <w:top w:val="single" w:color="auto" w:sz="12" w:space="0"/>
            </w:tcBorders>
            <w:vAlign w:val="center"/>
          </w:tcPr>
          <w:p w14:paraId="2FAB2A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工频电场强度（V/m）</w:t>
            </w:r>
          </w:p>
        </w:tc>
        <w:tc>
          <w:tcPr>
            <w:tcW w:w="2722" w:type="dxa"/>
            <w:tcBorders>
              <w:top w:val="single" w:color="auto" w:sz="12" w:space="0"/>
              <w:right w:val="single" w:color="auto" w:sz="12" w:space="0"/>
            </w:tcBorders>
            <w:vAlign w:val="center"/>
          </w:tcPr>
          <w:p w14:paraId="24C287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工频磁感应强度（</w:t>
            </w:r>
            <w:r>
              <w:rPr>
                <w:rFonts w:hint="eastAsia" w:ascii="Times New Roman" w:hAnsi="Times New Roman" w:eastAsia="宋体" w:cs="Times New Roman"/>
                <w:color w:val="auto"/>
                <w:kern w:val="0"/>
                <w:sz w:val="21"/>
                <w:szCs w:val="21"/>
                <w:lang w:val="en-US" w:eastAsia="zh-CN"/>
              </w:rPr>
              <w:t>µT</w:t>
            </w:r>
            <w:r>
              <w:rPr>
                <w:rFonts w:hint="eastAsia" w:cs="Times New Roman"/>
                <w:color w:val="auto"/>
                <w:spacing w:val="-9"/>
                <w:sz w:val="21"/>
                <w:szCs w:val="21"/>
                <w:lang w:val="en-US" w:eastAsia="zh-CN"/>
              </w:rPr>
              <w:t>）</w:t>
            </w:r>
          </w:p>
        </w:tc>
      </w:tr>
      <w:tr w14:paraId="768A0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0E3CD0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1</w:t>
            </w:r>
          </w:p>
        </w:tc>
        <w:tc>
          <w:tcPr>
            <w:tcW w:w="2319" w:type="dxa"/>
            <w:vAlign w:val="center"/>
          </w:tcPr>
          <w:p w14:paraId="614871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升压站东面厂界</w:t>
            </w:r>
          </w:p>
        </w:tc>
        <w:tc>
          <w:tcPr>
            <w:tcW w:w="2722" w:type="dxa"/>
            <w:vAlign w:val="center"/>
          </w:tcPr>
          <w:p w14:paraId="5F3E84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0.4</w:t>
            </w:r>
          </w:p>
        </w:tc>
        <w:tc>
          <w:tcPr>
            <w:tcW w:w="2722" w:type="dxa"/>
            <w:tcBorders>
              <w:right w:val="single" w:color="auto" w:sz="12" w:space="0"/>
            </w:tcBorders>
            <w:vAlign w:val="center"/>
          </w:tcPr>
          <w:p w14:paraId="352960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0.007</w:t>
            </w:r>
          </w:p>
        </w:tc>
      </w:tr>
      <w:tr w14:paraId="6F645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3A3FC1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2</w:t>
            </w:r>
          </w:p>
        </w:tc>
        <w:tc>
          <w:tcPr>
            <w:tcW w:w="2319" w:type="dxa"/>
            <w:vAlign w:val="center"/>
          </w:tcPr>
          <w:p w14:paraId="7E8066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升压站南面厂界</w:t>
            </w:r>
          </w:p>
        </w:tc>
        <w:tc>
          <w:tcPr>
            <w:tcW w:w="2722" w:type="dxa"/>
            <w:vAlign w:val="center"/>
          </w:tcPr>
          <w:p w14:paraId="504AB7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0.7</w:t>
            </w:r>
          </w:p>
        </w:tc>
        <w:tc>
          <w:tcPr>
            <w:tcW w:w="2722" w:type="dxa"/>
            <w:tcBorders>
              <w:right w:val="single" w:color="auto" w:sz="12" w:space="0"/>
            </w:tcBorders>
            <w:vAlign w:val="center"/>
          </w:tcPr>
          <w:p w14:paraId="39CBD7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0.009</w:t>
            </w:r>
          </w:p>
        </w:tc>
      </w:tr>
      <w:tr w14:paraId="09D05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35EA37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3</w:t>
            </w:r>
          </w:p>
        </w:tc>
        <w:tc>
          <w:tcPr>
            <w:tcW w:w="2319" w:type="dxa"/>
            <w:vAlign w:val="center"/>
          </w:tcPr>
          <w:p w14:paraId="4D4E92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升压站西面厂界</w:t>
            </w:r>
          </w:p>
        </w:tc>
        <w:tc>
          <w:tcPr>
            <w:tcW w:w="2722" w:type="dxa"/>
            <w:vAlign w:val="center"/>
          </w:tcPr>
          <w:p w14:paraId="459FC4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0.4</w:t>
            </w:r>
          </w:p>
        </w:tc>
        <w:tc>
          <w:tcPr>
            <w:tcW w:w="2722" w:type="dxa"/>
            <w:tcBorders>
              <w:right w:val="single" w:color="auto" w:sz="12" w:space="0"/>
            </w:tcBorders>
            <w:vAlign w:val="center"/>
          </w:tcPr>
          <w:p w14:paraId="7DF688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0.005</w:t>
            </w:r>
          </w:p>
        </w:tc>
      </w:tr>
      <w:tr w14:paraId="189C3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25" w:type="dxa"/>
            <w:tcBorders>
              <w:left w:val="single" w:color="auto" w:sz="12" w:space="0"/>
            </w:tcBorders>
            <w:vAlign w:val="center"/>
          </w:tcPr>
          <w:p w14:paraId="104F9D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4</w:t>
            </w:r>
          </w:p>
        </w:tc>
        <w:tc>
          <w:tcPr>
            <w:tcW w:w="2319" w:type="dxa"/>
            <w:vAlign w:val="center"/>
          </w:tcPr>
          <w:p w14:paraId="45DEA8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4"/>
                <w:lang w:val="en-US" w:eastAsia="zh-CN" w:bidi="ar-SA"/>
              </w:rPr>
            </w:pPr>
            <w:r>
              <w:rPr>
                <w:rFonts w:hint="eastAsia"/>
                <w:lang w:val="en-US" w:eastAsia="zh-CN"/>
              </w:rPr>
              <w:t>升压站北面厂界</w:t>
            </w:r>
          </w:p>
        </w:tc>
        <w:tc>
          <w:tcPr>
            <w:tcW w:w="2722" w:type="dxa"/>
            <w:vAlign w:val="center"/>
          </w:tcPr>
          <w:p w14:paraId="6F221C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0.5</w:t>
            </w:r>
          </w:p>
        </w:tc>
        <w:tc>
          <w:tcPr>
            <w:tcW w:w="2722" w:type="dxa"/>
            <w:tcBorders>
              <w:right w:val="single" w:color="auto" w:sz="12" w:space="0"/>
            </w:tcBorders>
            <w:vAlign w:val="center"/>
          </w:tcPr>
          <w:p w14:paraId="122C41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0.007</w:t>
            </w:r>
          </w:p>
        </w:tc>
      </w:tr>
      <w:tr w14:paraId="163F8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844" w:type="dxa"/>
            <w:gridSpan w:val="2"/>
            <w:tcBorders>
              <w:left w:val="single" w:color="auto" w:sz="12" w:space="0"/>
              <w:bottom w:val="single" w:color="auto" w:sz="12" w:space="0"/>
            </w:tcBorders>
            <w:vAlign w:val="center"/>
          </w:tcPr>
          <w:p w14:paraId="6F5B67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《电磁环境控制限值》（GB8702-2014）表1中公众曝露控制限值</w:t>
            </w:r>
          </w:p>
        </w:tc>
        <w:tc>
          <w:tcPr>
            <w:tcW w:w="2722" w:type="dxa"/>
            <w:tcBorders>
              <w:bottom w:val="single" w:color="auto" w:sz="12" w:space="0"/>
            </w:tcBorders>
            <w:vAlign w:val="center"/>
          </w:tcPr>
          <w:p w14:paraId="5D61AA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4000</w:t>
            </w:r>
          </w:p>
        </w:tc>
        <w:tc>
          <w:tcPr>
            <w:tcW w:w="2722" w:type="dxa"/>
            <w:tcBorders>
              <w:bottom w:val="single" w:color="auto" w:sz="12" w:space="0"/>
              <w:right w:val="single" w:color="auto" w:sz="12" w:space="0"/>
            </w:tcBorders>
            <w:vAlign w:val="center"/>
          </w:tcPr>
          <w:p w14:paraId="0EF7B9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pacing w:val="-9"/>
                <w:sz w:val="21"/>
                <w:szCs w:val="21"/>
                <w:lang w:val="en-US" w:eastAsia="zh-CN"/>
              </w:rPr>
            </w:pPr>
            <w:r>
              <w:rPr>
                <w:rFonts w:hint="eastAsia" w:cs="Times New Roman"/>
                <w:color w:val="auto"/>
                <w:spacing w:val="-9"/>
                <w:sz w:val="21"/>
                <w:szCs w:val="21"/>
                <w:lang w:val="en-US" w:eastAsia="zh-CN"/>
              </w:rPr>
              <w:t>100</w:t>
            </w:r>
          </w:p>
        </w:tc>
      </w:tr>
    </w:tbl>
    <w:p w14:paraId="3507A091">
      <w:pPr>
        <w:keepNext w:val="0"/>
        <w:keepLines w:val="0"/>
        <w:pageBreakBefore w:val="0"/>
        <w:widowControl w:val="0"/>
        <w:kinsoku/>
        <w:wordWrap/>
        <w:overflowPunct/>
        <w:topLinePunct w:val="0"/>
        <w:autoSpaceDE/>
        <w:autoSpaceDN/>
        <w:bidi w:val="0"/>
        <w:adjustRightInd/>
        <w:snapToGrid/>
        <w:spacing w:line="360" w:lineRule="auto"/>
        <w:ind w:left="9" w:firstLine="486"/>
        <w:textAlignment w:val="auto"/>
        <w:rPr>
          <w:rFonts w:hint="eastAsia" w:ascii="Times New Roman" w:hAnsi="Times New Roman" w:eastAsia="宋体" w:cs="Times New Roman"/>
          <w:color w:val="auto"/>
          <w:spacing w:val="-6"/>
          <w:sz w:val="24"/>
          <w:szCs w:val="24"/>
          <w:u w:val="none"/>
          <w:lang w:eastAsia="zh-CN"/>
        </w:rPr>
      </w:pPr>
      <w:r>
        <w:rPr>
          <w:rFonts w:hint="eastAsia" w:ascii="Times New Roman" w:hAnsi="Times New Roman" w:eastAsia="宋体" w:cs="Times New Roman"/>
          <w:color w:val="auto"/>
          <w:spacing w:val="-6"/>
          <w:sz w:val="24"/>
          <w:szCs w:val="24"/>
          <w:u w:val="none"/>
          <w:lang w:val="en-US" w:eastAsia="zh-CN"/>
        </w:rPr>
        <w:t>从表9-4可以看出，</w:t>
      </w:r>
      <w:r>
        <w:rPr>
          <w:rFonts w:hint="eastAsia" w:cs="Times New Roman"/>
          <w:color w:val="auto"/>
          <w:spacing w:val="-6"/>
          <w:sz w:val="24"/>
          <w:szCs w:val="24"/>
          <w:u w:val="none"/>
          <w:lang w:val="en-US" w:eastAsia="zh-CN"/>
        </w:rPr>
        <w:t>升压站各监测点位</w:t>
      </w:r>
      <w:r>
        <w:rPr>
          <w:rFonts w:hint="eastAsia" w:ascii="Times New Roman" w:hAnsi="Times New Roman" w:eastAsia="宋体" w:cs="Times New Roman"/>
          <w:color w:val="auto"/>
          <w:spacing w:val="-6"/>
          <w:sz w:val="24"/>
          <w:szCs w:val="24"/>
          <w:u w:val="none"/>
          <w:lang w:val="en-US" w:eastAsia="zh-CN"/>
        </w:rPr>
        <w:t>的工频电场监测值为</w:t>
      </w:r>
      <w:r>
        <w:rPr>
          <w:rFonts w:hint="eastAsia" w:cs="Times New Roman"/>
          <w:color w:val="auto"/>
          <w:spacing w:val="-6"/>
          <w:sz w:val="24"/>
          <w:szCs w:val="24"/>
          <w:u w:val="none"/>
          <w:lang w:val="en-US" w:eastAsia="zh-CN"/>
        </w:rPr>
        <w:t>0.4</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0.7</w:t>
      </w:r>
      <w:r>
        <w:rPr>
          <w:rFonts w:hint="eastAsia" w:ascii="Times New Roman" w:hAnsi="Times New Roman" w:eastAsia="宋体" w:cs="Times New Roman"/>
          <w:color w:val="auto"/>
          <w:spacing w:val="-6"/>
          <w:sz w:val="24"/>
          <w:szCs w:val="24"/>
          <w:u w:val="none"/>
          <w:lang w:val="en-US" w:eastAsia="zh-CN"/>
        </w:rPr>
        <w:t>V/m，工频磁场监测值为0.</w:t>
      </w:r>
      <w:r>
        <w:rPr>
          <w:rFonts w:hint="eastAsia" w:cs="Times New Roman"/>
          <w:color w:val="auto"/>
          <w:spacing w:val="-6"/>
          <w:sz w:val="24"/>
          <w:szCs w:val="24"/>
          <w:u w:val="none"/>
          <w:lang w:val="en-US" w:eastAsia="zh-CN"/>
        </w:rPr>
        <w:t>005</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0.009</w:t>
      </w:r>
      <w:r>
        <w:rPr>
          <w:rFonts w:hint="eastAsia" w:ascii="Times New Roman" w:hAnsi="Times New Roman" w:eastAsia="宋体" w:cs="Times New Roman"/>
          <w:color w:val="auto"/>
          <w:spacing w:val="-6"/>
          <w:sz w:val="24"/>
          <w:szCs w:val="24"/>
          <w:u w:val="none"/>
          <w:lang w:val="en-US" w:eastAsia="zh-CN"/>
        </w:rPr>
        <w:t>µT，满足《电磁环境控制限值》（GB8702-2014）</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工频电场强度4000V/m、</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工频磁感应强度100</w:t>
      </w:r>
      <w:r>
        <w:rPr>
          <w:rFonts w:hint="eastAsia" w:ascii="Times New Roman" w:hAnsi="Times New Roman" w:eastAsia="宋体" w:cs="Times New Roman"/>
          <w:color w:val="auto"/>
          <w:spacing w:val="-6"/>
          <w:sz w:val="24"/>
          <w:szCs w:val="24"/>
          <w:u w:val="none"/>
          <w:lang w:eastAsia="zh-CN"/>
        </w:rPr>
        <w:t>μT的限值标准</w:t>
      </w:r>
      <w:r>
        <w:rPr>
          <w:rFonts w:hint="eastAsia" w:ascii="Times New Roman" w:hAnsi="Times New Roman" w:eastAsia="宋体" w:cs="Times New Roman"/>
          <w:color w:val="auto"/>
          <w:spacing w:val="-6"/>
          <w:sz w:val="24"/>
          <w:szCs w:val="24"/>
          <w:u w:val="none"/>
          <w:lang w:val="en-US" w:eastAsia="zh-CN"/>
        </w:rPr>
        <w:t>。</w:t>
      </w:r>
    </w:p>
    <w:p w14:paraId="49A2EB68">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lang w:val="en-US" w:eastAsia="zh-CN"/>
        </w:rPr>
      </w:pPr>
      <w:r>
        <w:rPr>
          <w:rFonts w:hint="eastAsia" w:ascii="Times New Roman" w:hAnsi="Times New Roman" w:eastAsia="宋体" w:cs="Times New Roman"/>
          <w:b/>
          <w:color w:val="auto"/>
          <w:sz w:val="28"/>
          <w:szCs w:val="28"/>
          <w:lang w:val="en-US" w:eastAsia="zh-CN"/>
        </w:rPr>
        <w:t>9.4 电磁环境影响预测与评价</w:t>
      </w:r>
    </w:p>
    <w:p w14:paraId="706B8A44">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9.4.1 预测与评价方法</w:t>
      </w:r>
    </w:p>
    <w:p w14:paraId="73938ECF">
      <w:pPr>
        <w:numPr>
          <w:ilvl w:val="0"/>
          <w:numId w:val="0"/>
        </w:numPr>
        <w:adjustRightInd w:val="0"/>
        <w:snapToGrid w:val="0"/>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项目22</w:t>
      </w:r>
      <w:r>
        <w:rPr>
          <w:rFonts w:hint="eastAsia" w:ascii="Times New Roman" w:hAnsi="Times New Roman" w:eastAsia="宋体" w:cs="Times New Roman"/>
          <w:color w:val="auto"/>
          <w:kern w:val="0"/>
          <w:sz w:val="24"/>
          <w:lang w:val="en-US" w:eastAsia="zh-CN"/>
        </w:rPr>
        <w:t>0kV</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采用类比法进行电磁环境影响预测评价。</w:t>
      </w:r>
    </w:p>
    <w:p w14:paraId="04A2E613">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9.4.2 类比对象选择的原则</w:t>
      </w:r>
    </w:p>
    <w:p w14:paraId="24D2E47C">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工频电场主要取决于电压等级及关心点与源的距离，并与环境湿度、植被及地理地形因子等屏蔽条件相关；工频磁场主要取决于电流及关心点与源的距离。</w:t>
      </w:r>
    </w:p>
    <w:p w14:paraId="47204816">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电磁环境类比测量，从严格意义讲，具有相同的型式、完全相同的设备型号（决定了电压等级及额定功率、额定电流等）、布置情况（决定了距离因子）和环境条件是最理想的，即：不仅有相同型式、主变压器数量和容量，而且一次主接线也相同，布置情况及环境条件也相同。但是要满足这样的条件是很困难的，要解决这一实际困难，可以在关键部分相同，而达到进行类比的条件。所谓关键部分，就是主要的工频电场、工频磁场产生源。</w:t>
      </w:r>
    </w:p>
    <w:p w14:paraId="548C6410">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对于</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围墙外的工频电场，要求最近的高压带电构架布置一致、电压相同，此时就可以认为具有可比性；同样对于</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围墙外的工频磁场，也要求最近的通流导体的布置和电流相同才具有可比性。实际情况是，工频电场的类比条件相对容易实现，因为</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主设备和母线电压是基本稳定的，不会随时间和负荷的变化而产生大的变化。但是产生工频磁场的电流却是随负荷变化而有较大的变化。</w:t>
      </w:r>
    </w:p>
    <w:p w14:paraId="37BECCA9">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根据以往对诸多</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的电磁环境的类比监测结果，</w:t>
      </w:r>
      <w:r>
        <w:rPr>
          <w:rFonts w:hint="eastAsia" w:cs="Times New Roman"/>
          <w:color w:val="auto"/>
          <w:kern w:val="0"/>
          <w:sz w:val="24"/>
          <w:lang w:val="en-US" w:eastAsia="zh-CN"/>
        </w:rPr>
        <w:t>升压站</w:t>
      </w:r>
      <w:r>
        <w:rPr>
          <w:rFonts w:hint="eastAsia" w:ascii="Times New Roman" w:hAnsi="Times New Roman" w:eastAsia="宋体" w:cs="Times New Roman"/>
          <w:color w:val="auto"/>
          <w:kern w:val="0"/>
          <w:sz w:val="24"/>
          <w:lang w:val="en-US" w:eastAsia="zh-CN"/>
        </w:rPr>
        <w:t>周围的工频磁场远小于100μT的限值标准，因此本工程主要针对工频电场选取类比对象。</w:t>
      </w:r>
    </w:p>
    <w:p w14:paraId="4A0F9BB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9.4.3 类比对象</w:t>
      </w:r>
    </w:p>
    <w:p w14:paraId="609369A6">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根据本工程的变电站布置形式、电压等级、主变容量、主变数量及平面布置等因素，本工程户外变电站选择</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作为类比对象。</w:t>
      </w:r>
    </w:p>
    <w:p w14:paraId="225D264E">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已通过竣工环保验收，目前稳定运行。</w:t>
      </w:r>
    </w:p>
    <w:p w14:paraId="70D32966">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9.4.4 类比的可行性分析</w:t>
      </w:r>
    </w:p>
    <w:p w14:paraId="1A550DE3">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根据类比对象选择的原则，工频电场主要与运行电压及布置型式有关，只要电压等级相同、布型式一致、出线方式相同，工频电场的影响就具有可类比性；工频磁场主要与主变容量有关。</w:t>
      </w:r>
    </w:p>
    <w:p w14:paraId="4FE89E2B">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由表</w:t>
      </w:r>
      <w:r>
        <w:rPr>
          <w:rFonts w:hint="eastAsia" w:ascii="Times New Roman" w:hAnsi="Times New Roman" w:eastAsia="宋体" w:cs="Times New Roman"/>
          <w:color w:val="auto"/>
          <w:kern w:val="0"/>
          <w:sz w:val="24"/>
          <w:lang w:val="en-US" w:eastAsia="zh-CN"/>
        </w:rPr>
        <w:t>9</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5可知，类比项目主变更多，总容量更大，主变距厂界更近。同时布置形式、区域自然环境等与本项目类似。可以推断类比项目在厂界处产生的</w:t>
      </w:r>
      <w:r>
        <w:rPr>
          <w:rFonts w:hint="default" w:ascii="Times New Roman" w:hAnsi="Times New Roman" w:eastAsia="宋体" w:cs="Times New Roman"/>
          <w:color w:val="auto"/>
          <w:kern w:val="0"/>
          <w:sz w:val="24"/>
          <w:lang w:val="en-US" w:eastAsia="zh-CN"/>
        </w:rPr>
        <w:t>工频磁场</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工频电场</w:t>
      </w:r>
      <w:r>
        <w:rPr>
          <w:rFonts w:hint="eastAsia" w:ascii="Times New Roman" w:hAnsi="Times New Roman" w:eastAsia="宋体" w:cs="Times New Roman"/>
          <w:color w:val="auto"/>
          <w:kern w:val="0"/>
          <w:sz w:val="24"/>
          <w:lang w:val="en-US" w:eastAsia="zh-CN"/>
        </w:rPr>
        <w:t>应高于本项目在厂界处产生的</w:t>
      </w:r>
      <w:r>
        <w:rPr>
          <w:rFonts w:hint="default" w:ascii="Times New Roman" w:hAnsi="Times New Roman" w:eastAsia="宋体" w:cs="Times New Roman"/>
          <w:color w:val="auto"/>
          <w:kern w:val="0"/>
          <w:sz w:val="24"/>
          <w:lang w:val="en-US" w:eastAsia="zh-CN"/>
        </w:rPr>
        <w:t>工频磁场</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工频电场</w:t>
      </w:r>
      <w:r>
        <w:rPr>
          <w:rFonts w:hint="eastAsia" w:ascii="Times New Roman" w:hAnsi="Times New Roman" w:eastAsia="宋体" w:cs="Times New Roman"/>
          <w:color w:val="auto"/>
          <w:kern w:val="0"/>
          <w:sz w:val="24"/>
          <w:lang w:val="en-US" w:eastAsia="zh-CN"/>
        </w:rPr>
        <w:t>。</w:t>
      </w:r>
      <w:r>
        <w:rPr>
          <w:rFonts w:hint="default" w:ascii="Times New Roman" w:hAnsi="Times New Roman" w:eastAsia="宋体" w:cs="Times New Roman"/>
          <w:color w:val="auto"/>
          <w:kern w:val="0"/>
          <w:sz w:val="24"/>
          <w:lang w:val="en-US" w:eastAsia="zh-CN"/>
        </w:rPr>
        <w:t>因此，采用</w:t>
      </w:r>
      <w:r>
        <w:rPr>
          <w:rFonts w:hint="eastAsia" w:ascii="Times New Roman" w:hAnsi="Times New Roman" w:eastAsia="宋体" w:cs="Times New Roman"/>
          <w:color w:val="auto"/>
          <w:kern w:val="0"/>
          <w:sz w:val="24"/>
          <w:lang w:val="zh-CN" w:eastAsia="zh-CN"/>
        </w:rPr>
        <w:t>益阳滨湖220kV变电站</w:t>
      </w:r>
      <w:r>
        <w:rPr>
          <w:rFonts w:hint="default" w:ascii="Times New Roman" w:hAnsi="Times New Roman" w:eastAsia="宋体" w:cs="Times New Roman"/>
          <w:color w:val="auto"/>
          <w:kern w:val="0"/>
          <w:sz w:val="24"/>
          <w:lang w:val="en-US" w:eastAsia="zh-CN"/>
        </w:rPr>
        <w:t>作为本工程变电站的类比对象是可行的。</w:t>
      </w:r>
    </w:p>
    <w:p w14:paraId="52049657">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为更好的预测项目升压站完成后运行产生的工频电场、工频磁场对变电站周围环境的影响，选择与等级相同、主变容量相同、布置型式相同的</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作为类比监测对象，进行工频电场、工频磁场的类比实测调查。具体类比对象情况见表9-5。</w:t>
      </w:r>
    </w:p>
    <w:p w14:paraId="725CD9B2">
      <w:pPr>
        <w:pStyle w:val="98"/>
        <w:keepNext w:val="0"/>
        <w:keepLines w:val="0"/>
        <w:pageBreakBefore w:val="0"/>
        <w:widowControl w:val="0"/>
        <w:kinsoku/>
        <w:wordWrap/>
        <w:overflowPunct/>
        <w:topLinePunct w:val="0"/>
        <w:autoSpaceDE/>
        <w:autoSpaceDN/>
        <w:bidi w:val="0"/>
        <w:adjustRightInd w:val="0"/>
        <w:snapToGrid w:val="0"/>
        <w:spacing w:before="0" w:beforeLines="0"/>
        <w:textAlignment w:val="auto"/>
        <w:rPr>
          <w:color w:val="FF0000"/>
        </w:rPr>
      </w:pPr>
      <w:r>
        <w:rPr>
          <w:color w:val="FF0000"/>
        </w:rPr>
        <w:t>表</w:t>
      </w:r>
      <w:r>
        <w:rPr>
          <w:rFonts w:hint="eastAsia"/>
          <w:color w:val="FF0000"/>
          <w:lang w:val="en-US" w:eastAsia="zh-CN"/>
        </w:rPr>
        <w:t>9</w:t>
      </w:r>
      <w:r>
        <w:rPr>
          <w:rFonts w:hint="eastAsia"/>
          <w:color w:val="FF0000"/>
        </w:rPr>
        <w:t>-5</w:t>
      </w:r>
      <w:r>
        <w:rPr>
          <w:color w:val="FF0000"/>
        </w:rPr>
        <w:t xml:space="preserve"> </w:t>
      </w:r>
      <w:r>
        <w:rPr>
          <w:rFonts w:hint="eastAsia"/>
          <w:color w:val="FF0000"/>
        </w:rPr>
        <w:t xml:space="preserve"> </w:t>
      </w:r>
      <w:r>
        <w:rPr>
          <w:rFonts w:hint="eastAsia"/>
          <w:color w:val="FF0000"/>
          <w:lang w:val="en-US" w:eastAsia="zh-CN"/>
        </w:rPr>
        <w:t>本项目</w:t>
      </w:r>
      <w:r>
        <w:rPr>
          <w:color w:val="FF0000"/>
        </w:rPr>
        <w:t>220kV</w:t>
      </w:r>
      <w:r>
        <w:rPr>
          <w:rFonts w:hint="eastAsia"/>
          <w:color w:val="FF0000"/>
          <w:lang w:val="en-US" w:eastAsia="zh-CN"/>
        </w:rPr>
        <w:t>升压</w:t>
      </w:r>
      <w:r>
        <w:rPr>
          <w:color w:val="FF0000"/>
        </w:rPr>
        <w:t>站与</w:t>
      </w:r>
      <w:r>
        <w:rPr>
          <w:rFonts w:hint="eastAsia"/>
          <w:color w:val="FF0000"/>
          <w:lang w:val="zh-CN"/>
        </w:rPr>
        <w:t>益阳滨湖220kV变电站</w:t>
      </w:r>
      <w:r>
        <w:rPr>
          <w:color w:val="FF0000"/>
        </w:rPr>
        <w:t>类比</w:t>
      </w:r>
      <w:r>
        <w:rPr>
          <w:rFonts w:hint="eastAsia"/>
          <w:color w:val="FF0000"/>
          <w:lang w:val="en-US" w:eastAsia="zh-CN"/>
        </w:rPr>
        <w:t>对照</w:t>
      </w:r>
      <w:r>
        <w:rPr>
          <w:color w:val="FF0000"/>
        </w:rPr>
        <w:t>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3833"/>
        <w:gridCol w:w="3079"/>
      </w:tblGrid>
      <w:tr w14:paraId="10673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2E2FB6EC">
            <w:pPr>
              <w:pStyle w:val="99"/>
              <w:rPr>
                <w:lang w:val="en-US"/>
              </w:rPr>
            </w:pPr>
            <w:r>
              <w:rPr>
                <w:lang w:val="en-US"/>
              </w:rPr>
              <w:t>类比项目</w:t>
            </w:r>
          </w:p>
        </w:tc>
        <w:tc>
          <w:tcPr>
            <w:tcW w:w="3833" w:type="dxa"/>
            <w:noWrap w:val="0"/>
            <w:vAlign w:val="center"/>
          </w:tcPr>
          <w:p w14:paraId="3D968BB3">
            <w:pPr>
              <w:pStyle w:val="99"/>
              <w:ind w:right="0" w:rightChars="0" w:firstLine="0" w:firstLineChars="0"/>
              <w:rPr>
                <w:rFonts w:ascii="Times New Roman" w:hAnsi="Times New Roman" w:eastAsia="宋体" w:cs="Times New Roman"/>
                <w:kern w:val="2"/>
                <w:sz w:val="21"/>
                <w:szCs w:val="21"/>
                <w:lang w:val="en-US" w:eastAsia="zh-CN" w:bidi="ar-SA"/>
              </w:rPr>
            </w:pPr>
            <w:r>
              <w:rPr>
                <w:rFonts w:hint="eastAsia"/>
                <w:lang w:val="zh-CN"/>
              </w:rPr>
              <w:t>益阳滨湖220kV变电站</w:t>
            </w:r>
          </w:p>
        </w:tc>
        <w:tc>
          <w:tcPr>
            <w:tcW w:w="3079" w:type="dxa"/>
            <w:noWrap w:val="0"/>
            <w:vAlign w:val="center"/>
          </w:tcPr>
          <w:p w14:paraId="2277A572">
            <w:pPr>
              <w:pStyle w:val="99"/>
              <w:rPr>
                <w:rFonts w:hint="default" w:eastAsia="宋体"/>
                <w:lang w:val="en-US" w:eastAsia="zh-CN"/>
              </w:rPr>
            </w:pPr>
            <w:r>
              <w:rPr>
                <w:rFonts w:hint="eastAsia"/>
                <w:lang w:val="en-US" w:eastAsia="zh-CN"/>
              </w:rPr>
              <w:t>导子东湖220KV升压站</w:t>
            </w:r>
          </w:p>
        </w:tc>
      </w:tr>
      <w:tr w14:paraId="519DEF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6E978AC7">
            <w:pPr>
              <w:pStyle w:val="99"/>
              <w:rPr>
                <w:lang w:val="en-US"/>
              </w:rPr>
            </w:pPr>
            <w:r>
              <w:rPr>
                <w:lang w:val="en-US"/>
              </w:rPr>
              <w:t>地理位置</w:t>
            </w:r>
          </w:p>
        </w:tc>
        <w:tc>
          <w:tcPr>
            <w:tcW w:w="3833" w:type="dxa"/>
            <w:noWrap w:val="0"/>
            <w:vAlign w:val="center"/>
          </w:tcPr>
          <w:p w14:paraId="67BA21DB">
            <w:pPr>
              <w:pStyle w:val="99"/>
              <w:ind w:right="0" w:rightChars="0" w:firstLine="0" w:firstLineChars="0"/>
              <w:rPr>
                <w:rFonts w:hint="default" w:ascii="Times New Roman" w:hAnsi="Times New Roman" w:eastAsia="宋体" w:cs="Times New Roman"/>
                <w:kern w:val="2"/>
                <w:sz w:val="21"/>
                <w:szCs w:val="21"/>
                <w:lang w:val="en-US" w:eastAsia="zh-CN" w:bidi="ar-SA"/>
              </w:rPr>
            </w:pPr>
            <w:r>
              <w:rPr>
                <w:rFonts w:hint="eastAsia"/>
                <w:lang w:val="en-US" w:eastAsia="zh-CN"/>
              </w:rPr>
              <w:t>益阳市大通湖区千山红镇大西港村</w:t>
            </w:r>
          </w:p>
        </w:tc>
        <w:tc>
          <w:tcPr>
            <w:tcW w:w="3079" w:type="dxa"/>
            <w:noWrap w:val="0"/>
            <w:vAlign w:val="center"/>
          </w:tcPr>
          <w:p w14:paraId="2AEA0C2D">
            <w:pPr>
              <w:pStyle w:val="99"/>
              <w:rPr>
                <w:rFonts w:hint="default" w:eastAsia="宋体"/>
                <w:lang w:val="en-US" w:eastAsia="zh-CN"/>
              </w:rPr>
            </w:pPr>
            <w:r>
              <w:rPr>
                <w:rFonts w:hint="eastAsia" w:eastAsia="宋体"/>
                <w:lang w:val="en-US" w:eastAsia="zh-CN"/>
              </w:rPr>
              <w:t>衡阳市耒阳市</w:t>
            </w:r>
          </w:p>
        </w:tc>
      </w:tr>
      <w:tr w14:paraId="4A1B76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0FBAB355">
            <w:pPr>
              <w:pStyle w:val="99"/>
              <w:rPr>
                <w:lang w:val="en-US"/>
              </w:rPr>
            </w:pPr>
            <w:r>
              <w:rPr>
                <w:lang w:val="en-US"/>
              </w:rPr>
              <w:t>站址地形</w:t>
            </w:r>
          </w:p>
        </w:tc>
        <w:tc>
          <w:tcPr>
            <w:tcW w:w="3833" w:type="dxa"/>
            <w:noWrap w:val="0"/>
            <w:vAlign w:val="center"/>
          </w:tcPr>
          <w:p w14:paraId="14975D7E">
            <w:pPr>
              <w:pStyle w:val="99"/>
              <w:ind w:right="0" w:rightChars="0" w:firstLine="0" w:firstLineChars="0"/>
              <w:rPr>
                <w:rFonts w:ascii="Times New Roman" w:hAnsi="Times New Roman" w:eastAsia="宋体" w:cs="Times New Roman"/>
                <w:kern w:val="2"/>
                <w:sz w:val="21"/>
                <w:szCs w:val="21"/>
                <w:lang w:val="en-US" w:eastAsia="zh-CN" w:bidi="ar-SA"/>
              </w:rPr>
            </w:pPr>
            <w:r>
              <w:rPr>
                <w:lang w:val="en-US"/>
              </w:rPr>
              <w:t>平地</w:t>
            </w:r>
          </w:p>
        </w:tc>
        <w:tc>
          <w:tcPr>
            <w:tcW w:w="3079" w:type="dxa"/>
            <w:noWrap w:val="0"/>
            <w:vAlign w:val="center"/>
          </w:tcPr>
          <w:p w14:paraId="57BFF1A7">
            <w:pPr>
              <w:pStyle w:val="99"/>
              <w:rPr>
                <w:rFonts w:hint="eastAsia" w:eastAsia="宋体"/>
                <w:lang w:val="en-US" w:eastAsia="zh-CN"/>
              </w:rPr>
            </w:pPr>
            <w:r>
              <w:rPr>
                <w:rFonts w:hint="eastAsia"/>
                <w:lang w:val="en-US" w:eastAsia="zh-CN"/>
              </w:rPr>
              <w:t>平地</w:t>
            </w:r>
          </w:p>
        </w:tc>
      </w:tr>
      <w:tr w14:paraId="011CCD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6815F5DD">
            <w:pPr>
              <w:pStyle w:val="99"/>
              <w:rPr>
                <w:lang w:val="en-US"/>
              </w:rPr>
            </w:pPr>
            <w:r>
              <w:rPr>
                <w:lang w:val="en-US"/>
              </w:rPr>
              <w:t>电压等级</w:t>
            </w:r>
          </w:p>
        </w:tc>
        <w:tc>
          <w:tcPr>
            <w:tcW w:w="3833" w:type="dxa"/>
            <w:noWrap w:val="0"/>
            <w:vAlign w:val="center"/>
          </w:tcPr>
          <w:p w14:paraId="42311224">
            <w:pPr>
              <w:pStyle w:val="99"/>
              <w:ind w:right="0" w:rightChars="0" w:firstLine="0" w:firstLineChars="0"/>
              <w:rPr>
                <w:rFonts w:ascii="Times New Roman" w:hAnsi="Times New Roman" w:eastAsia="宋体" w:cs="Times New Roman"/>
                <w:kern w:val="2"/>
                <w:sz w:val="21"/>
                <w:szCs w:val="21"/>
                <w:lang w:val="en-US" w:eastAsia="zh-CN" w:bidi="ar-SA"/>
              </w:rPr>
            </w:pPr>
            <w:r>
              <w:rPr>
                <w:rFonts w:hint="eastAsia"/>
                <w:lang w:val="en-US"/>
              </w:rPr>
              <w:t>22</w:t>
            </w:r>
            <w:r>
              <w:rPr>
                <w:lang w:val="en-US"/>
              </w:rPr>
              <w:t>0kV</w:t>
            </w:r>
          </w:p>
        </w:tc>
        <w:tc>
          <w:tcPr>
            <w:tcW w:w="3079" w:type="dxa"/>
            <w:noWrap w:val="0"/>
            <w:vAlign w:val="center"/>
          </w:tcPr>
          <w:p w14:paraId="12BDD580">
            <w:pPr>
              <w:pStyle w:val="99"/>
              <w:rPr>
                <w:rFonts w:hint="default" w:eastAsia="宋体"/>
                <w:lang w:val="en-US" w:eastAsia="zh-CN"/>
              </w:rPr>
            </w:pPr>
            <w:r>
              <w:rPr>
                <w:rFonts w:hint="eastAsia"/>
                <w:lang w:val="en-US" w:eastAsia="zh-CN"/>
              </w:rPr>
              <w:t>220kV</w:t>
            </w:r>
          </w:p>
        </w:tc>
      </w:tr>
      <w:tr w14:paraId="4ED78F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656AE21A">
            <w:pPr>
              <w:pStyle w:val="99"/>
              <w:rPr>
                <w:lang w:val="en-US"/>
              </w:rPr>
            </w:pPr>
            <w:r>
              <w:rPr>
                <w:lang w:val="en-US"/>
              </w:rPr>
              <w:t>主变压器</w:t>
            </w:r>
          </w:p>
        </w:tc>
        <w:tc>
          <w:tcPr>
            <w:tcW w:w="3833" w:type="dxa"/>
            <w:noWrap w:val="0"/>
            <w:vAlign w:val="center"/>
          </w:tcPr>
          <w:p w14:paraId="16369897">
            <w:pPr>
              <w:pStyle w:val="99"/>
              <w:ind w:right="0" w:rightChars="0" w:firstLine="0" w:firstLineChars="0"/>
              <w:rPr>
                <w:rFonts w:ascii="Times New Roman" w:hAnsi="Times New Roman" w:eastAsia="宋体" w:cs="Times New Roman"/>
                <w:kern w:val="2"/>
                <w:sz w:val="21"/>
                <w:szCs w:val="21"/>
                <w:lang w:val="en-US" w:eastAsia="zh-CN" w:bidi="ar-SA"/>
              </w:rPr>
            </w:pPr>
            <w:r>
              <w:rPr>
                <w:rFonts w:hint="eastAsia"/>
                <w:lang w:val="en-US"/>
              </w:rPr>
              <w:t>1</w:t>
            </w:r>
            <w:r>
              <w:rPr>
                <w:lang w:val="en-US"/>
              </w:rPr>
              <w:t>×</w:t>
            </w:r>
            <w:r>
              <w:rPr>
                <w:rFonts w:hint="eastAsia"/>
                <w:lang w:val="en-US"/>
              </w:rPr>
              <w:t>（180+240）</w:t>
            </w:r>
            <w:r>
              <w:rPr>
                <w:lang w:val="en-US"/>
              </w:rPr>
              <w:t>MVA</w:t>
            </w:r>
          </w:p>
        </w:tc>
        <w:tc>
          <w:tcPr>
            <w:tcW w:w="3079" w:type="dxa"/>
            <w:noWrap w:val="0"/>
            <w:vAlign w:val="center"/>
          </w:tcPr>
          <w:p w14:paraId="117E32EF">
            <w:pPr>
              <w:pStyle w:val="99"/>
              <w:rPr>
                <w:rFonts w:hint="default" w:eastAsia="宋体"/>
                <w:lang w:val="en-US" w:eastAsia="zh-CN"/>
              </w:rPr>
            </w:pPr>
            <w:r>
              <w:rPr>
                <w:rFonts w:hint="eastAsia"/>
                <w:lang w:val="en-US" w:eastAsia="zh-CN"/>
              </w:rPr>
              <w:t>1×180</w:t>
            </w:r>
            <w:r>
              <w:rPr>
                <w:lang w:val="en-US"/>
              </w:rPr>
              <w:t>MVA</w:t>
            </w:r>
          </w:p>
        </w:tc>
      </w:tr>
      <w:tr w14:paraId="60C1EF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noWrap w:val="0"/>
            <w:vAlign w:val="center"/>
          </w:tcPr>
          <w:p w14:paraId="0F4631D2">
            <w:pPr>
              <w:pStyle w:val="99"/>
              <w:rPr>
                <w:lang w:val="en-US"/>
              </w:rPr>
            </w:pPr>
            <w:r>
              <w:rPr>
                <w:lang w:val="en-US"/>
              </w:rPr>
              <w:t xml:space="preserve">主变布置型式 </w:t>
            </w:r>
          </w:p>
        </w:tc>
        <w:tc>
          <w:tcPr>
            <w:tcW w:w="3833" w:type="dxa"/>
            <w:noWrap w:val="0"/>
            <w:vAlign w:val="center"/>
          </w:tcPr>
          <w:p w14:paraId="02275DDA">
            <w:pPr>
              <w:pStyle w:val="99"/>
              <w:ind w:right="0" w:rightChars="0" w:firstLine="0" w:firstLineChars="0"/>
              <w:rPr>
                <w:rFonts w:ascii="Times New Roman" w:hAnsi="Times New Roman" w:eastAsia="宋体" w:cs="Times New Roman"/>
                <w:kern w:val="2"/>
                <w:sz w:val="21"/>
                <w:szCs w:val="21"/>
                <w:lang w:val="en-US" w:eastAsia="zh-CN" w:bidi="ar-SA"/>
              </w:rPr>
            </w:pPr>
            <w:r>
              <w:rPr>
                <w:lang w:val="en-US"/>
              </w:rPr>
              <w:t>户外布置</w:t>
            </w:r>
          </w:p>
        </w:tc>
        <w:tc>
          <w:tcPr>
            <w:tcW w:w="3079" w:type="dxa"/>
            <w:noWrap w:val="0"/>
            <w:vAlign w:val="center"/>
          </w:tcPr>
          <w:p w14:paraId="099BC5D2">
            <w:pPr>
              <w:pStyle w:val="99"/>
              <w:rPr>
                <w:rFonts w:hint="default" w:eastAsia="宋体"/>
                <w:lang w:val="en-US" w:eastAsia="zh-CN"/>
              </w:rPr>
            </w:pPr>
            <w:r>
              <w:rPr>
                <w:rFonts w:hint="eastAsia"/>
                <w:lang w:val="en-US" w:eastAsia="zh-CN"/>
              </w:rPr>
              <w:t>户外布置</w:t>
            </w:r>
          </w:p>
        </w:tc>
      </w:tr>
    </w:tbl>
    <w:p w14:paraId="046C80E7">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从</w:t>
      </w:r>
      <w:r>
        <w:rPr>
          <w:rFonts w:hint="eastAsia" w:ascii="Times New Roman" w:hAnsi="Times New Roman" w:eastAsia="宋体" w:cs="Times New Roman"/>
          <w:color w:val="auto"/>
          <w:kern w:val="0"/>
          <w:sz w:val="24"/>
          <w:lang w:val="en-US" w:eastAsia="zh-CN"/>
        </w:rPr>
        <w:t>上</w:t>
      </w:r>
      <w:r>
        <w:rPr>
          <w:rFonts w:hint="default" w:ascii="Times New Roman" w:hAnsi="Times New Roman" w:eastAsia="宋体" w:cs="Times New Roman"/>
          <w:color w:val="auto"/>
          <w:kern w:val="0"/>
          <w:sz w:val="24"/>
          <w:lang w:val="en-US" w:eastAsia="zh-CN"/>
        </w:rPr>
        <w:t>表可以看出，</w:t>
      </w:r>
      <w:r>
        <w:rPr>
          <w:rFonts w:hint="eastAsia" w:ascii="Times New Roman" w:hAnsi="Times New Roman" w:eastAsia="宋体" w:cs="Times New Roman"/>
          <w:color w:val="auto"/>
          <w:kern w:val="0"/>
          <w:sz w:val="24"/>
          <w:lang w:val="en-US" w:eastAsia="zh-CN"/>
        </w:rPr>
        <w:t>本项目</w:t>
      </w:r>
      <w:r>
        <w:rPr>
          <w:rFonts w:hint="default" w:ascii="Times New Roman" w:hAnsi="Times New Roman" w:eastAsia="宋体" w:cs="Times New Roman"/>
          <w:color w:val="auto"/>
          <w:kern w:val="0"/>
          <w:sz w:val="24"/>
          <w:lang w:val="en-US" w:eastAsia="zh-CN"/>
        </w:rPr>
        <w:t>220kV</w:t>
      </w:r>
      <w:r>
        <w:rPr>
          <w:rFonts w:hint="eastAsia" w:ascii="Times New Roman" w:hAnsi="Times New Roman" w:eastAsia="宋体" w:cs="Times New Roman"/>
          <w:color w:val="auto"/>
          <w:kern w:val="0"/>
          <w:sz w:val="24"/>
          <w:lang w:val="en-US" w:eastAsia="zh-CN"/>
        </w:rPr>
        <w:t>升压</w:t>
      </w:r>
      <w:r>
        <w:rPr>
          <w:rFonts w:hint="default" w:ascii="Times New Roman" w:hAnsi="Times New Roman" w:eastAsia="宋体" w:cs="Times New Roman"/>
          <w:color w:val="auto"/>
          <w:kern w:val="0"/>
          <w:sz w:val="24"/>
          <w:lang w:val="en-US" w:eastAsia="zh-CN"/>
        </w:rPr>
        <w:t>站与</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电压等级</w:t>
      </w:r>
      <w:r>
        <w:rPr>
          <w:rFonts w:hint="default" w:ascii="Times New Roman" w:hAnsi="Times New Roman" w:eastAsia="宋体" w:cs="Times New Roman"/>
          <w:color w:val="auto"/>
          <w:kern w:val="0"/>
          <w:sz w:val="24"/>
          <w:lang w:val="en-US" w:eastAsia="zh-CN"/>
        </w:rPr>
        <w:t>、主变布置形式相同，</w:t>
      </w:r>
      <w:r>
        <w:rPr>
          <w:rFonts w:hint="eastAsia" w:ascii="Times New Roman" w:hAnsi="Times New Roman" w:eastAsia="宋体" w:cs="Times New Roman"/>
          <w:color w:val="auto"/>
          <w:kern w:val="0"/>
          <w:sz w:val="24"/>
          <w:lang w:val="en-US" w:eastAsia="zh-CN"/>
        </w:rPr>
        <w:t>同时项目升压站二期拟再增设一台变压器，因此</w:t>
      </w:r>
      <w:r>
        <w:rPr>
          <w:rFonts w:hint="default" w:ascii="Times New Roman" w:hAnsi="Times New Roman" w:eastAsia="宋体" w:cs="Times New Roman"/>
          <w:color w:val="auto"/>
          <w:kern w:val="0"/>
          <w:sz w:val="24"/>
          <w:lang w:val="en-US" w:eastAsia="zh-CN"/>
        </w:rPr>
        <w:t>选用</w:t>
      </w:r>
      <w:r>
        <w:rPr>
          <w:rFonts w:hint="eastAsia" w:ascii="Times New Roman" w:hAnsi="Times New Roman" w:eastAsia="宋体" w:cs="Times New Roman"/>
          <w:color w:val="auto"/>
          <w:kern w:val="0"/>
          <w:sz w:val="24"/>
          <w:lang w:val="zh-CN" w:eastAsia="zh-CN"/>
        </w:rPr>
        <w:t>益阳滨湖220kV变电站</w:t>
      </w:r>
      <w:r>
        <w:rPr>
          <w:rFonts w:hint="eastAsia" w:ascii="Times New Roman" w:hAnsi="Times New Roman" w:eastAsia="宋体" w:cs="Times New Roman"/>
          <w:color w:val="auto"/>
          <w:kern w:val="0"/>
          <w:sz w:val="24"/>
          <w:lang w:val="en-US" w:eastAsia="zh-CN"/>
        </w:rPr>
        <w:t>实测数据</w:t>
      </w:r>
      <w:r>
        <w:rPr>
          <w:rFonts w:hint="default" w:ascii="Times New Roman" w:hAnsi="Times New Roman" w:eastAsia="宋体" w:cs="Times New Roman"/>
          <w:color w:val="auto"/>
          <w:kern w:val="0"/>
          <w:sz w:val="24"/>
          <w:lang w:val="en-US" w:eastAsia="zh-CN"/>
        </w:rPr>
        <w:t>作为类比对象是合理的。</w:t>
      </w:r>
      <w:bookmarkStart w:id="328" w:name="_Toc8210"/>
      <w:bookmarkStart w:id="329" w:name="_Toc2026"/>
      <w:bookmarkStart w:id="330" w:name="_Toc9365"/>
    </w:p>
    <w:p w14:paraId="7869D55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9.4.5 类比监测结果</w:t>
      </w:r>
    </w:p>
    <w:p w14:paraId="557A845A">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default" w:ascii="Times New Roman" w:hAnsi="Times New Roman" w:eastAsia="宋体" w:cs="Times New Roman"/>
          <w:color w:val="auto"/>
          <w:kern w:val="0"/>
          <w:sz w:val="24"/>
          <w:lang w:val="en-US" w:eastAsia="zh-CN"/>
        </w:rPr>
        <w:t>（1）监测单位：江苏核众环境监测技术有限公司</w:t>
      </w:r>
    </w:p>
    <w:p w14:paraId="08F2D7FF">
      <w:pPr>
        <w:numPr>
          <w:ilvl w:val="0"/>
          <w:numId w:val="0"/>
        </w:numPr>
        <w:adjustRightInd w:val="0"/>
        <w:snapToGrid w:val="0"/>
        <w:spacing w:line="360" w:lineRule="auto"/>
        <w:ind w:firstLine="480" w:firstLineChars="200"/>
        <w:jc w:val="left"/>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（2）</w:t>
      </w:r>
      <w:r>
        <w:rPr>
          <w:rFonts w:hint="default" w:ascii="Times New Roman" w:hAnsi="Times New Roman" w:eastAsia="宋体" w:cs="Times New Roman"/>
          <w:color w:val="auto"/>
          <w:kern w:val="0"/>
          <w:sz w:val="24"/>
          <w:lang w:val="en-US" w:eastAsia="zh-CN"/>
        </w:rPr>
        <w:t>监测时间、环境条件见表</w:t>
      </w:r>
      <w:r>
        <w:rPr>
          <w:rFonts w:hint="eastAsia" w:ascii="Times New Roman" w:hAnsi="Times New Roman" w:eastAsia="宋体" w:cs="Times New Roman"/>
          <w:color w:val="auto"/>
          <w:kern w:val="0"/>
          <w:sz w:val="24"/>
          <w:lang w:val="en-US" w:eastAsia="zh-CN"/>
        </w:rPr>
        <w:t>9-6</w:t>
      </w:r>
      <w:r>
        <w:rPr>
          <w:rFonts w:hint="default" w:ascii="Times New Roman" w:hAnsi="Times New Roman" w:eastAsia="宋体" w:cs="Times New Roman"/>
          <w:color w:val="auto"/>
          <w:kern w:val="0"/>
          <w:sz w:val="24"/>
          <w:lang w:val="en-US" w:eastAsia="zh-CN"/>
        </w:rPr>
        <w:t>。</w:t>
      </w:r>
    </w:p>
    <w:p w14:paraId="30E5936D">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default" w:ascii="Times New Roman" w:hAnsi="Times New Roman" w:eastAsia="宋体" w:cs="Times New Roman"/>
          <w:b/>
          <w:color w:val="000000"/>
          <w:kern w:val="2"/>
          <w:sz w:val="21"/>
          <w:szCs w:val="24"/>
          <w:lang w:val="en-US" w:eastAsia="zh-CN" w:bidi="ar-SA"/>
        </w:rPr>
        <w:t>表</w:t>
      </w:r>
      <w:r>
        <w:rPr>
          <w:rFonts w:hint="eastAsia" w:ascii="Times New Roman" w:hAnsi="Times New Roman" w:eastAsia="宋体" w:cs="Times New Roman"/>
          <w:b/>
          <w:color w:val="000000"/>
          <w:kern w:val="2"/>
          <w:sz w:val="21"/>
          <w:szCs w:val="24"/>
          <w:lang w:val="en-US" w:eastAsia="zh-CN" w:bidi="ar-SA"/>
        </w:rPr>
        <w:t>9-6</w:t>
      </w:r>
      <w:r>
        <w:rPr>
          <w:rFonts w:hint="default" w:ascii="Times New Roman" w:hAnsi="Times New Roman" w:eastAsia="宋体" w:cs="Times New Roman"/>
          <w:b/>
          <w:color w:val="000000"/>
          <w:kern w:val="2"/>
          <w:sz w:val="21"/>
          <w:szCs w:val="24"/>
          <w:lang w:val="en-US" w:eastAsia="zh-CN" w:bidi="ar-SA"/>
        </w:rPr>
        <w:t xml:space="preserve">  监测时间及环境条件一览表</w:t>
      </w:r>
    </w:p>
    <w:p w14:paraId="6B993E4D">
      <w:pPr>
        <w:spacing w:before="2" w:line="40" w:lineRule="exact"/>
        <w:ind w:firstLine="80"/>
        <w:jc w:val="left"/>
        <w:rPr>
          <w:rFonts w:ascii="Microsoft JhengHei" w:hAnsi="Microsoft JhengHei" w:eastAsia="Microsoft JhengHei"/>
          <w:sz w:val="4"/>
        </w:rPr>
      </w:pP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919"/>
        <w:gridCol w:w="1511"/>
        <w:gridCol w:w="1714"/>
        <w:gridCol w:w="1714"/>
        <w:gridCol w:w="1714"/>
        <w:gridCol w:w="1714"/>
      </w:tblGrid>
      <w:tr w14:paraId="659B15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5" w:type="pct"/>
            <w:noWrap w:val="0"/>
            <w:vAlign w:val="center"/>
          </w:tcPr>
          <w:p w14:paraId="0C9FD74A">
            <w:pPr>
              <w:pStyle w:val="99"/>
              <w:rPr>
                <w:lang w:val="en-US"/>
              </w:rPr>
            </w:pPr>
            <w:r>
              <w:rPr>
                <w:lang w:val="en-US"/>
              </w:rPr>
              <w:t>序号</w:t>
            </w:r>
          </w:p>
        </w:tc>
        <w:tc>
          <w:tcPr>
            <w:tcW w:w="813" w:type="pct"/>
            <w:noWrap w:val="0"/>
            <w:vAlign w:val="center"/>
          </w:tcPr>
          <w:p w14:paraId="2029B920">
            <w:pPr>
              <w:pStyle w:val="99"/>
              <w:rPr>
                <w:lang w:val="en-US"/>
              </w:rPr>
            </w:pPr>
            <w:r>
              <w:rPr>
                <w:lang w:val="en-US"/>
              </w:rPr>
              <w:t>监测时间</w:t>
            </w:r>
          </w:p>
        </w:tc>
        <w:tc>
          <w:tcPr>
            <w:tcW w:w="922" w:type="pct"/>
            <w:noWrap w:val="0"/>
            <w:vAlign w:val="center"/>
          </w:tcPr>
          <w:p w14:paraId="5FF7889F">
            <w:pPr>
              <w:pStyle w:val="99"/>
              <w:rPr>
                <w:lang w:val="en-US"/>
              </w:rPr>
            </w:pPr>
            <w:r>
              <w:rPr>
                <w:lang w:val="en-US"/>
              </w:rPr>
              <w:t>天气</w:t>
            </w:r>
          </w:p>
        </w:tc>
        <w:tc>
          <w:tcPr>
            <w:tcW w:w="922" w:type="pct"/>
            <w:noWrap w:val="0"/>
            <w:vAlign w:val="center"/>
          </w:tcPr>
          <w:p w14:paraId="641651F0">
            <w:pPr>
              <w:pStyle w:val="99"/>
              <w:rPr>
                <w:lang w:val="en-US"/>
              </w:rPr>
            </w:pPr>
            <w:r>
              <w:rPr>
                <w:lang w:val="en-US"/>
              </w:rPr>
              <w:t>温度（℃）</w:t>
            </w:r>
          </w:p>
        </w:tc>
        <w:tc>
          <w:tcPr>
            <w:tcW w:w="922" w:type="pct"/>
            <w:noWrap w:val="0"/>
            <w:vAlign w:val="center"/>
          </w:tcPr>
          <w:p w14:paraId="033B8E03">
            <w:pPr>
              <w:pStyle w:val="99"/>
              <w:rPr>
                <w:lang w:val="en-US"/>
              </w:rPr>
            </w:pPr>
            <w:r>
              <w:rPr>
                <w:lang w:val="en-US"/>
              </w:rPr>
              <w:t>湿度（Rh%）</w:t>
            </w:r>
          </w:p>
        </w:tc>
        <w:tc>
          <w:tcPr>
            <w:tcW w:w="922" w:type="pct"/>
            <w:noWrap w:val="0"/>
            <w:vAlign w:val="center"/>
          </w:tcPr>
          <w:p w14:paraId="7D8DA92D">
            <w:pPr>
              <w:pStyle w:val="99"/>
              <w:rPr>
                <w:lang w:val="en-US"/>
              </w:rPr>
            </w:pPr>
            <w:r>
              <w:rPr>
                <w:lang w:val="en-US"/>
              </w:rPr>
              <w:t>风速（m/s）</w:t>
            </w:r>
          </w:p>
        </w:tc>
      </w:tr>
      <w:tr w14:paraId="4B993B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95" w:type="pct"/>
            <w:noWrap w:val="0"/>
            <w:vAlign w:val="center"/>
          </w:tcPr>
          <w:p w14:paraId="79496EF7">
            <w:pPr>
              <w:pStyle w:val="99"/>
              <w:rPr>
                <w:lang w:val="en-US"/>
              </w:rPr>
            </w:pPr>
            <w:r>
              <w:rPr>
                <w:lang w:val="en-US"/>
              </w:rPr>
              <w:t>1</w:t>
            </w:r>
          </w:p>
        </w:tc>
        <w:tc>
          <w:tcPr>
            <w:tcW w:w="813" w:type="pct"/>
            <w:noWrap w:val="0"/>
            <w:vAlign w:val="center"/>
          </w:tcPr>
          <w:p w14:paraId="12C9839C">
            <w:pPr>
              <w:pStyle w:val="99"/>
              <w:rPr>
                <w:lang w:val="en-US"/>
              </w:rPr>
            </w:pPr>
            <w:r>
              <w:rPr>
                <w:lang w:val="en-US"/>
              </w:rPr>
              <w:t>2021.7.9</w:t>
            </w:r>
          </w:p>
        </w:tc>
        <w:tc>
          <w:tcPr>
            <w:tcW w:w="922" w:type="pct"/>
            <w:noWrap w:val="0"/>
            <w:vAlign w:val="center"/>
          </w:tcPr>
          <w:p w14:paraId="3D3DF18C">
            <w:pPr>
              <w:pStyle w:val="99"/>
              <w:rPr>
                <w:lang w:val="en-US"/>
              </w:rPr>
            </w:pPr>
            <w:r>
              <w:rPr>
                <w:lang w:val="en-US"/>
              </w:rPr>
              <w:t>阴</w:t>
            </w:r>
          </w:p>
        </w:tc>
        <w:tc>
          <w:tcPr>
            <w:tcW w:w="922" w:type="pct"/>
            <w:noWrap w:val="0"/>
            <w:vAlign w:val="center"/>
          </w:tcPr>
          <w:p w14:paraId="63BCC310">
            <w:pPr>
              <w:pStyle w:val="99"/>
              <w:rPr>
                <w:lang w:val="en-US"/>
              </w:rPr>
            </w:pPr>
            <w:r>
              <w:rPr>
                <w:lang w:val="en-US"/>
              </w:rPr>
              <w:t>27~36</w:t>
            </w:r>
          </w:p>
        </w:tc>
        <w:tc>
          <w:tcPr>
            <w:tcW w:w="922" w:type="pct"/>
            <w:noWrap w:val="0"/>
            <w:vAlign w:val="center"/>
          </w:tcPr>
          <w:p w14:paraId="40D628EB">
            <w:pPr>
              <w:pStyle w:val="99"/>
              <w:rPr>
                <w:lang w:val="en-US"/>
              </w:rPr>
            </w:pPr>
            <w:r>
              <w:rPr>
                <w:lang w:val="en-US"/>
              </w:rPr>
              <w:t>68~78</w:t>
            </w:r>
          </w:p>
        </w:tc>
        <w:tc>
          <w:tcPr>
            <w:tcW w:w="922" w:type="pct"/>
            <w:noWrap w:val="0"/>
            <w:vAlign w:val="center"/>
          </w:tcPr>
          <w:p w14:paraId="6C47D598">
            <w:pPr>
              <w:pStyle w:val="99"/>
              <w:rPr>
                <w:lang w:val="en-US"/>
              </w:rPr>
            </w:pPr>
            <w:r>
              <w:rPr>
                <w:lang w:val="en-US"/>
              </w:rPr>
              <w:t>1.8~2.5</w:t>
            </w:r>
          </w:p>
        </w:tc>
      </w:tr>
    </w:tbl>
    <w:p w14:paraId="3FB8FB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eastAsia="宋体" w:cs="Times New Roman"/>
          <w:kern w:val="2"/>
          <w:sz w:val="24"/>
          <w:szCs w:val="24"/>
          <w:lang w:val="en-US" w:eastAsia="zh-CN" w:bidi="ar-SA"/>
        </w:rPr>
        <w:t>3</w:t>
      </w:r>
      <w:r>
        <w:rPr>
          <w:rFonts w:hint="default" w:ascii="Times New Roman" w:hAnsi="Times New Roman" w:eastAsia="宋体" w:cs="Times New Roman"/>
          <w:kern w:val="2"/>
          <w:sz w:val="24"/>
          <w:szCs w:val="24"/>
          <w:lang w:val="en-US" w:eastAsia="zh-CN" w:bidi="ar-SA"/>
        </w:rPr>
        <w:t>）监测内容：工频电场强度、工频磁感应强度。</w:t>
      </w:r>
    </w:p>
    <w:p w14:paraId="755C5D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eastAsia="宋体" w:cs="Times New Roman"/>
          <w:kern w:val="2"/>
          <w:sz w:val="24"/>
          <w:szCs w:val="24"/>
          <w:lang w:val="en-US" w:eastAsia="zh-CN" w:bidi="ar-SA"/>
        </w:rPr>
        <w:t>4</w:t>
      </w:r>
      <w:r>
        <w:rPr>
          <w:rFonts w:hint="default" w:ascii="Times New Roman" w:hAnsi="Times New Roman" w:eastAsia="宋体" w:cs="Times New Roman"/>
          <w:kern w:val="2"/>
          <w:sz w:val="24"/>
          <w:szCs w:val="24"/>
          <w:lang w:val="en-US" w:eastAsia="zh-CN" w:bidi="ar-SA"/>
        </w:rPr>
        <w:t>）监测方法：电磁环境现状监测按《交流输变电工程电磁环境监测方法》（HJ 681-2013）和《环境影响评价技术导则 输变电》（HJ24-2020）中相关规定执行。</w:t>
      </w:r>
    </w:p>
    <w:p w14:paraId="1850238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w:t>
      </w:r>
      <w:r>
        <w:rPr>
          <w:rFonts w:hint="eastAsia" w:eastAsia="宋体" w:cs="Times New Roman"/>
          <w:kern w:val="2"/>
          <w:sz w:val="24"/>
          <w:szCs w:val="24"/>
          <w:lang w:val="en-US" w:eastAsia="zh-CN" w:bidi="ar-SA"/>
        </w:rPr>
        <w:t>5</w:t>
      </w:r>
      <w:r>
        <w:rPr>
          <w:rFonts w:hint="default" w:ascii="Times New Roman" w:hAnsi="Times New Roman" w:eastAsia="宋体" w:cs="Times New Roman"/>
          <w:kern w:val="2"/>
          <w:sz w:val="24"/>
          <w:szCs w:val="24"/>
          <w:lang w:val="en-US" w:eastAsia="zh-CN" w:bidi="ar-SA"/>
        </w:rPr>
        <w:t>）监测仪器：类比监测所用相关仪器情况见</w:t>
      </w:r>
      <w:r>
        <w:rPr>
          <w:rFonts w:hint="eastAsia" w:eastAsia="宋体" w:cs="Times New Roman"/>
          <w:kern w:val="2"/>
          <w:sz w:val="24"/>
          <w:szCs w:val="24"/>
          <w:lang w:val="en-US" w:eastAsia="zh-CN" w:bidi="ar-SA"/>
        </w:rPr>
        <w:t>下</w:t>
      </w:r>
      <w:r>
        <w:rPr>
          <w:rFonts w:hint="default" w:ascii="Times New Roman" w:hAnsi="Times New Roman" w:eastAsia="宋体" w:cs="Times New Roman"/>
          <w:kern w:val="2"/>
          <w:sz w:val="24"/>
          <w:szCs w:val="24"/>
          <w:lang w:val="en-US" w:eastAsia="zh-CN" w:bidi="ar-SA"/>
        </w:rPr>
        <w:t>表。</w:t>
      </w:r>
    </w:p>
    <w:p w14:paraId="68C0C91B">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default" w:ascii="Times New Roman" w:hAnsi="Times New Roman" w:eastAsia="宋体" w:cs="Times New Roman"/>
          <w:b/>
          <w:color w:val="000000"/>
          <w:kern w:val="2"/>
          <w:sz w:val="21"/>
          <w:szCs w:val="24"/>
          <w:lang w:val="en-US" w:eastAsia="zh-CN" w:bidi="ar-SA"/>
        </w:rPr>
        <w:t>表</w:t>
      </w:r>
      <w:r>
        <w:rPr>
          <w:rFonts w:hint="eastAsia" w:ascii="Times New Roman" w:hAnsi="Times New Roman" w:eastAsia="宋体" w:cs="Times New Roman"/>
          <w:b/>
          <w:color w:val="000000"/>
          <w:kern w:val="2"/>
          <w:sz w:val="21"/>
          <w:szCs w:val="24"/>
          <w:lang w:val="en-US" w:eastAsia="zh-CN" w:bidi="ar-SA"/>
        </w:rPr>
        <w:t>9</w:t>
      </w:r>
      <w:r>
        <w:rPr>
          <w:rFonts w:hint="default" w:ascii="Times New Roman" w:hAnsi="Times New Roman" w:eastAsia="宋体" w:cs="Times New Roman"/>
          <w:b/>
          <w:color w:val="000000"/>
          <w:kern w:val="2"/>
          <w:sz w:val="21"/>
          <w:szCs w:val="24"/>
          <w:lang w:val="en-US" w:eastAsia="zh-CN" w:bidi="ar-SA"/>
        </w:rPr>
        <w:t>-</w:t>
      </w:r>
      <w:r>
        <w:rPr>
          <w:rFonts w:hint="eastAsia" w:ascii="Times New Roman" w:hAnsi="Times New Roman" w:eastAsia="宋体" w:cs="Times New Roman"/>
          <w:b/>
          <w:color w:val="000000"/>
          <w:kern w:val="2"/>
          <w:sz w:val="21"/>
          <w:szCs w:val="24"/>
          <w:lang w:val="en-US" w:eastAsia="zh-CN" w:bidi="ar-SA"/>
        </w:rPr>
        <w:t>7</w:t>
      </w:r>
      <w:r>
        <w:rPr>
          <w:rFonts w:hint="default" w:ascii="Times New Roman" w:hAnsi="Times New Roman" w:eastAsia="宋体" w:cs="Times New Roman"/>
          <w:b/>
          <w:color w:val="000000"/>
          <w:kern w:val="2"/>
          <w:sz w:val="21"/>
          <w:szCs w:val="24"/>
          <w:lang w:val="en-US" w:eastAsia="zh-CN" w:bidi="ar-SA"/>
        </w:rPr>
        <w:t xml:space="preserve"> </w:t>
      </w:r>
      <w:r>
        <w:rPr>
          <w:rFonts w:hint="eastAsia" w:ascii="Times New Roman" w:hAnsi="Times New Roman" w:eastAsia="宋体" w:cs="Times New Roman"/>
          <w:b/>
          <w:color w:val="000000"/>
          <w:kern w:val="2"/>
          <w:sz w:val="21"/>
          <w:szCs w:val="24"/>
          <w:lang w:val="en-US" w:eastAsia="zh-CN" w:bidi="ar-SA"/>
        </w:rPr>
        <w:t xml:space="preserve"> </w:t>
      </w:r>
      <w:r>
        <w:rPr>
          <w:rFonts w:hint="default" w:ascii="Times New Roman" w:hAnsi="Times New Roman" w:eastAsia="宋体" w:cs="Times New Roman"/>
          <w:b/>
          <w:color w:val="000000"/>
          <w:kern w:val="2"/>
          <w:sz w:val="21"/>
          <w:szCs w:val="24"/>
          <w:lang w:val="en-US" w:eastAsia="zh-CN" w:bidi="ar-SA"/>
        </w:rPr>
        <w:t>监测所用仪器一览表</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319"/>
        <w:gridCol w:w="5967"/>
      </w:tblGrid>
      <w:tr w14:paraId="4B66D8D0">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4CAB96C8">
            <w:pPr>
              <w:pStyle w:val="99"/>
              <w:bidi w:val="0"/>
              <w:rPr>
                <w:rFonts w:hint="default"/>
              </w:rPr>
            </w:pPr>
            <w:r>
              <w:rPr>
                <w:rFonts w:hint="default"/>
                <w:lang w:val="en-US" w:eastAsia="zh-CN"/>
              </w:rPr>
              <w:t>监测仪</w:t>
            </w:r>
          </w:p>
        </w:tc>
        <w:tc>
          <w:tcPr>
            <w:tcW w:w="3212" w:type="pct"/>
            <w:tcBorders>
              <w:tl2br w:val="nil"/>
              <w:tr2bl w:val="nil"/>
            </w:tcBorders>
            <w:noWrap w:val="0"/>
            <w:vAlign w:val="center"/>
          </w:tcPr>
          <w:p w14:paraId="53B9EAC6">
            <w:pPr>
              <w:pStyle w:val="99"/>
              <w:bidi w:val="0"/>
              <w:rPr>
                <w:rFonts w:hint="default"/>
                <w:lang w:val="en-US" w:eastAsia="zh-CN"/>
              </w:rPr>
            </w:pPr>
            <w:r>
              <w:rPr>
                <w:rFonts w:hint="default"/>
                <w:lang w:val="en-US" w:eastAsia="zh-CN"/>
              </w:rPr>
              <w:t>SEM-600场强分析仪</w:t>
            </w:r>
          </w:p>
        </w:tc>
      </w:tr>
      <w:tr w14:paraId="14FADA3E">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225E1A0F">
            <w:pPr>
              <w:pStyle w:val="99"/>
              <w:bidi w:val="0"/>
              <w:rPr>
                <w:rFonts w:hint="default"/>
              </w:rPr>
            </w:pPr>
            <w:r>
              <w:rPr>
                <w:rFonts w:hint="default"/>
                <w:lang w:val="en-US" w:eastAsia="zh-CN"/>
              </w:rPr>
              <w:t>检定单位</w:t>
            </w:r>
          </w:p>
        </w:tc>
        <w:tc>
          <w:tcPr>
            <w:tcW w:w="3212" w:type="pct"/>
            <w:tcBorders>
              <w:tl2br w:val="nil"/>
              <w:tr2bl w:val="nil"/>
            </w:tcBorders>
            <w:noWrap w:val="0"/>
            <w:vAlign w:val="center"/>
          </w:tcPr>
          <w:p w14:paraId="6F3339B7">
            <w:pPr>
              <w:pStyle w:val="99"/>
              <w:bidi w:val="0"/>
              <w:rPr>
                <w:rFonts w:hint="default"/>
                <w:lang w:val="en-US" w:eastAsia="zh-CN"/>
              </w:rPr>
            </w:pPr>
            <w:r>
              <w:rPr>
                <w:rFonts w:hint="default"/>
                <w:lang w:val="en-US" w:eastAsia="zh-CN"/>
              </w:rPr>
              <w:t>江苏省计量科学研究院</w:t>
            </w:r>
          </w:p>
        </w:tc>
      </w:tr>
      <w:tr w14:paraId="25937828">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40D33C76">
            <w:pPr>
              <w:pStyle w:val="99"/>
              <w:bidi w:val="0"/>
              <w:rPr>
                <w:rFonts w:hint="default"/>
              </w:rPr>
            </w:pPr>
            <w:r>
              <w:rPr>
                <w:rFonts w:hint="default"/>
                <w:lang w:val="en-US" w:eastAsia="zh-CN"/>
              </w:rPr>
              <w:t>证书编号</w:t>
            </w:r>
          </w:p>
        </w:tc>
        <w:tc>
          <w:tcPr>
            <w:tcW w:w="3212" w:type="pct"/>
            <w:tcBorders>
              <w:tl2br w:val="nil"/>
              <w:tr2bl w:val="nil"/>
            </w:tcBorders>
            <w:noWrap w:val="0"/>
            <w:vAlign w:val="center"/>
          </w:tcPr>
          <w:p w14:paraId="31C8B2B4">
            <w:pPr>
              <w:pStyle w:val="99"/>
              <w:bidi w:val="0"/>
              <w:rPr>
                <w:rFonts w:hint="default"/>
                <w:lang w:val="en-US" w:eastAsia="zh-CN"/>
              </w:rPr>
            </w:pPr>
            <w:r>
              <w:rPr>
                <w:rFonts w:hint="default"/>
                <w:lang w:val="en-US" w:eastAsia="zh-CN"/>
              </w:rPr>
              <w:t>E2021-0012271</w:t>
            </w:r>
          </w:p>
        </w:tc>
      </w:tr>
      <w:tr w14:paraId="29FC7CCC">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1787" w:type="pct"/>
            <w:tcBorders>
              <w:tl2br w:val="nil"/>
              <w:tr2bl w:val="nil"/>
            </w:tcBorders>
            <w:noWrap w:val="0"/>
            <w:vAlign w:val="center"/>
          </w:tcPr>
          <w:p w14:paraId="049C8F2B">
            <w:pPr>
              <w:pStyle w:val="99"/>
              <w:bidi w:val="0"/>
              <w:rPr>
                <w:rFonts w:hint="default"/>
              </w:rPr>
            </w:pPr>
            <w:r>
              <w:rPr>
                <w:rFonts w:hint="default"/>
                <w:lang w:val="en-US" w:eastAsia="zh-CN"/>
              </w:rPr>
              <w:t>检定</w:t>
            </w:r>
            <w:r>
              <w:rPr>
                <w:rFonts w:hint="eastAsia"/>
                <w:lang w:val="en-US" w:eastAsia="zh-CN"/>
              </w:rPr>
              <w:t>有效期</w:t>
            </w:r>
            <w:r>
              <w:rPr>
                <w:rFonts w:hint="default"/>
                <w:lang w:val="en-US" w:eastAsia="zh-CN"/>
              </w:rPr>
              <w:t>至</w:t>
            </w:r>
          </w:p>
        </w:tc>
        <w:tc>
          <w:tcPr>
            <w:tcW w:w="3212" w:type="pct"/>
            <w:tcBorders>
              <w:tl2br w:val="nil"/>
              <w:tr2bl w:val="nil"/>
            </w:tcBorders>
            <w:noWrap w:val="0"/>
            <w:vAlign w:val="center"/>
          </w:tcPr>
          <w:p w14:paraId="043CEC28">
            <w:pPr>
              <w:pStyle w:val="99"/>
              <w:bidi w:val="0"/>
              <w:rPr>
                <w:rFonts w:hint="default"/>
                <w:lang w:val="en-US" w:eastAsia="zh-CN"/>
              </w:rPr>
            </w:pPr>
            <w:r>
              <w:rPr>
                <w:rFonts w:hint="default"/>
                <w:lang w:val="en-US" w:eastAsia="zh-CN"/>
              </w:rPr>
              <w:t>2022年0</w:t>
            </w:r>
            <w:r>
              <w:rPr>
                <w:rFonts w:hint="eastAsia"/>
                <w:lang w:val="en-US" w:eastAsia="zh-CN"/>
              </w:rPr>
              <w:t>3</w:t>
            </w:r>
            <w:r>
              <w:rPr>
                <w:rFonts w:hint="default"/>
                <w:lang w:val="en-US" w:eastAsia="zh-CN"/>
              </w:rPr>
              <w:t>月</w:t>
            </w:r>
            <w:r>
              <w:rPr>
                <w:rFonts w:hint="eastAsia"/>
                <w:lang w:val="en-US" w:eastAsia="zh-CN"/>
              </w:rPr>
              <w:t>01</w:t>
            </w:r>
            <w:r>
              <w:rPr>
                <w:rFonts w:hint="default"/>
                <w:lang w:val="en-US" w:eastAsia="zh-CN"/>
              </w:rPr>
              <w:t>日</w:t>
            </w:r>
          </w:p>
        </w:tc>
      </w:tr>
    </w:tbl>
    <w:p w14:paraId="32889F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（6）监测期间运行工况</w:t>
      </w:r>
    </w:p>
    <w:p w14:paraId="2D4772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监测期间运行工况见</w:t>
      </w:r>
      <w:r>
        <w:rPr>
          <w:rFonts w:hint="eastAsia" w:ascii="Times New Roman" w:hAnsi="Times New Roman" w:eastAsia="宋体" w:cs="Times New Roman"/>
          <w:kern w:val="2"/>
          <w:sz w:val="24"/>
          <w:szCs w:val="24"/>
          <w:lang w:val="en-US" w:eastAsia="zh-CN" w:bidi="ar-SA"/>
        </w:rPr>
        <w:t>下</w:t>
      </w:r>
      <w:r>
        <w:rPr>
          <w:rFonts w:hint="default" w:ascii="Times New Roman" w:hAnsi="Times New Roman" w:eastAsia="宋体" w:cs="Times New Roman"/>
          <w:kern w:val="2"/>
          <w:sz w:val="24"/>
          <w:szCs w:val="24"/>
          <w:lang w:val="en-US" w:eastAsia="zh-CN" w:bidi="ar-SA"/>
        </w:rPr>
        <w:t>表。</w:t>
      </w:r>
    </w:p>
    <w:p w14:paraId="4FDA2F75">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default" w:ascii="Times New Roman" w:hAnsi="Times New Roman" w:eastAsia="宋体" w:cs="Times New Roman"/>
          <w:b/>
          <w:color w:val="000000"/>
          <w:kern w:val="2"/>
          <w:sz w:val="21"/>
          <w:szCs w:val="24"/>
          <w:lang w:val="en-US" w:eastAsia="zh-CN" w:bidi="ar-SA"/>
        </w:rPr>
        <w:t>表</w:t>
      </w:r>
      <w:r>
        <w:rPr>
          <w:rFonts w:hint="eastAsia" w:ascii="Times New Roman" w:hAnsi="Times New Roman" w:eastAsia="宋体" w:cs="Times New Roman"/>
          <w:b/>
          <w:color w:val="000000"/>
          <w:kern w:val="2"/>
          <w:sz w:val="21"/>
          <w:szCs w:val="24"/>
          <w:lang w:val="en-US" w:eastAsia="zh-CN" w:bidi="ar-SA"/>
        </w:rPr>
        <w:t>9-8</w:t>
      </w:r>
      <w:r>
        <w:rPr>
          <w:rFonts w:hint="default" w:ascii="Times New Roman" w:hAnsi="Times New Roman" w:eastAsia="宋体" w:cs="Times New Roman"/>
          <w:b/>
          <w:color w:val="000000"/>
          <w:kern w:val="2"/>
          <w:sz w:val="21"/>
          <w:szCs w:val="24"/>
          <w:lang w:val="en-US" w:eastAsia="zh-CN" w:bidi="ar-SA"/>
        </w:rPr>
        <w:t xml:space="preserve">  监测工况一表</w:t>
      </w: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66"/>
        <w:gridCol w:w="1345"/>
        <w:gridCol w:w="1687"/>
        <w:gridCol w:w="1568"/>
        <w:gridCol w:w="2003"/>
        <w:gridCol w:w="1917"/>
      </w:tblGrid>
      <w:tr w14:paraId="3530F4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12" w:type="pct"/>
            <w:noWrap w:val="0"/>
            <w:vAlign w:val="center"/>
          </w:tcPr>
          <w:p w14:paraId="34C8BCB4">
            <w:pPr>
              <w:pStyle w:val="99"/>
              <w:rPr>
                <w:lang w:val="en-US"/>
              </w:rPr>
            </w:pPr>
            <w:r>
              <w:rPr>
                <w:lang w:val="en-US"/>
              </w:rPr>
              <w:t>序号</w:t>
            </w:r>
          </w:p>
        </w:tc>
        <w:tc>
          <w:tcPr>
            <w:tcW w:w="724" w:type="pct"/>
            <w:noWrap w:val="0"/>
            <w:vAlign w:val="center"/>
          </w:tcPr>
          <w:p w14:paraId="566A7E45">
            <w:pPr>
              <w:pStyle w:val="99"/>
              <w:rPr>
                <w:lang w:val="en-US"/>
              </w:rPr>
            </w:pPr>
            <w:r>
              <w:rPr>
                <w:lang w:val="en-US"/>
              </w:rPr>
              <w:t>项目</w:t>
            </w:r>
          </w:p>
        </w:tc>
        <w:tc>
          <w:tcPr>
            <w:tcW w:w="908" w:type="pct"/>
            <w:noWrap w:val="0"/>
            <w:vAlign w:val="center"/>
          </w:tcPr>
          <w:p w14:paraId="71228AF3">
            <w:pPr>
              <w:pStyle w:val="99"/>
              <w:rPr>
                <w:lang w:val="en-US"/>
              </w:rPr>
            </w:pPr>
            <w:r>
              <w:rPr>
                <w:lang w:val="en-US"/>
              </w:rPr>
              <w:t>电压（kV）</w:t>
            </w:r>
          </w:p>
        </w:tc>
        <w:tc>
          <w:tcPr>
            <w:tcW w:w="844" w:type="pct"/>
            <w:noWrap w:val="0"/>
            <w:vAlign w:val="center"/>
          </w:tcPr>
          <w:p w14:paraId="44E97671">
            <w:pPr>
              <w:pStyle w:val="99"/>
              <w:rPr>
                <w:lang w:val="en-US"/>
              </w:rPr>
            </w:pPr>
            <w:r>
              <w:rPr>
                <w:lang w:val="en-US"/>
              </w:rPr>
              <w:t>电流（A）</w:t>
            </w:r>
          </w:p>
        </w:tc>
        <w:tc>
          <w:tcPr>
            <w:tcW w:w="1078" w:type="pct"/>
            <w:noWrap w:val="0"/>
            <w:vAlign w:val="center"/>
          </w:tcPr>
          <w:p w14:paraId="51762A7B">
            <w:pPr>
              <w:pStyle w:val="99"/>
              <w:rPr>
                <w:lang w:val="en-US"/>
              </w:rPr>
            </w:pPr>
            <w:r>
              <w:rPr>
                <w:lang w:val="en-US"/>
              </w:rPr>
              <w:t>有功功率（MW）</w:t>
            </w:r>
          </w:p>
        </w:tc>
        <w:tc>
          <w:tcPr>
            <w:tcW w:w="1031" w:type="pct"/>
            <w:noWrap w:val="0"/>
            <w:vAlign w:val="center"/>
          </w:tcPr>
          <w:p w14:paraId="2CBAAD8B">
            <w:pPr>
              <w:pStyle w:val="99"/>
              <w:rPr>
                <w:lang w:val="en-US" w:eastAsia="zh-CN"/>
              </w:rPr>
            </w:pPr>
            <w:r>
              <w:rPr>
                <w:lang w:val="en-US" w:eastAsia="zh-CN"/>
              </w:rPr>
              <w:t>无功功率（Mvar）</w:t>
            </w:r>
          </w:p>
        </w:tc>
      </w:tr>
      <w:tr w14:paraId="650823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12" w:type="pct"/>
            <w:vMerge w:val="restart"/>
            <w:noWrap w:val="0"/>
            <w:vAlign w:val="center"/>
          </w:tcPr>
          <w:p w14:paraId="33559DD5">
            <w:pPr>
              <w:pStyle w:val="99"/>
              <w:rPr>
                <w:rFonts w:hint="default"/>
                <w:lang w:val="en-US" w:eastAsia="zh-CN"/>
              </w:rPr>
            </w:pPr>
            <w:r>
              <w:rPr>
                <w:rFonts w:hint="eastAsia"/>
                <w:lang w:val="en-US" w:eastAsia="zh-CN"/>
              </w:rPr>
              <w:t>1</w:t>
            </w:r>
          </w:p>
          <w:p w14:paraId="24FA9577">
            <w:pPr>
              <w:pStyle w:val="99"/>
              <w:rPr>
                <w:rFonts w:hint="eastAsia" w:eastAsia="宋体"/>
                <w:lang w:val="en-US" w:eastAsia="zh-CN"/>
              </w:rPr>
            </w:pPr>
            <w:r>
              <w:rPr>
                <w:rFonts w:hint="eastAsia"/>
                <w:lang w:val="en-US" w:eastAsia="zh-CN"/>
              </w:rPr>
              <w:t>2</w:t>
            </w:r>
          </w:p>
        </w:tc>
        <w:tc>
          <w:tcPr>
            <w:tcW w:w="724" w:type="pct"/>
            <w:noWrap w:val="0"/>
            <w:vAlign w:val="center"/>
          </w:tcPr>
          <w:p w14:paraId="14F038E2">
            <w:pPr>
              <w:pStyle w:val="99"/>
              <w:rPr>
                <w:lang w:val="en-US"/>
              </w:rPr>
            </w:pPr>
            <w:r>
              <w:rPr>
                <w:lang w:val="en-US"/>
              </w:rPr>
              <w:t>1号主变</w:t>
            </w:r>
          </w:p>
        </w:tc>
        <w:tc>
          <w:tcPr>
            <w:tcW w:w="908" w:type="pct"/>
            <w:noWrap w:val="0"/>
            <w:vAlign w:val="center"/>
          </w:tcPr>
          <w:p w14:paraId="54B29607">
            <w:pPr>
              <w:pStyle w:val="99"/>
              <w:rPr>
                <w:lang w:val="en-US"/>
              </w:rPr>
            </w:pPr>
            <w:r>
              <w:rPr>
                <w:lang w:val="en-US"/>
              </w:rPr>
              <w:t>228.3~230.3</w:t>
            </w:r>
          </w:p>
        </w:tc>
        <w:tc>
          <w:tcPr>
            <w:tcW w:w="844" w:type="pct"/>
            <w:noWrap w:val="0"/>
            <w:vAlign w:val="center"/>
          </w:tcPr>
          <w:p w14:paraId="62C1D084">
            <w:pPr>
              <w:pStyle w:val="99"/>
              <w:rPr>
                <w:lang w:val="en-US"/>
              </w:rPr>
            </w:pPr>
            <w:r>
              <w:rPr>
                <w:lang w:val="en-US"/>
              </w:rPr>
              <w:t>98.2~115.63</w:t>
            </w:r>
          </w:p>
        </w:tc>
        <w:tc>
          <w:tcPr>
            <w:tcW w:w="1078" w:type="pct"/>
            <w:noWrap w:val="0"/>
            <w:vAlign w:val="center"/>
          </w:tcPr>
          <w:p w14:paraId="3D76503E">
            <w:pPr>
              <w:pStyle w:val="99"/>
              <w:rPr>
                <w:lang w:val="en-US"/>
              </w:rPr>
            </w:pPr>
            <w:r>
              <w:rPr>
                <w:lang w:val="en-US"/>
              </w:rPr>
              <w:t>36.4~44.8</w:t>
            </w:r>
          </w:p>
        </w:tc>
        <w:tc>
          <w:tcPr>
            <w:tcW w:w="1031" w:type="pct"/>
            <w:noWrap w:val="0"/>
            <w:vAlign w:val="center"/>
          </w:tcPr>
          <w:p w14:paraId="368659E3">
            <w:pPr>
              <w:pStyle w:val="99"/>
              <w:rPr>
                <w:lang w:val="en-US"/>
              </w:rPr>
            </w:pPr>
            <w:r>
              <w:rPr>
                <w:lang w:val="en-US"/>
              </w:rPr>
              <w:t>2.5~3.3</w:t>
            </w:r>
          </w:p>
        </w:tc>
      </w:tr>
      <w:tr w14:paraId="1619221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412" w:type="pct"/>
            <w:vMerge w:val="continue"/>
            <w:noWrap w:val="0"/>
            <w:vAlign w:val="center"/>
          </w:tcPr>
          <w:p w14:paraId="09B79B83">
            <w:pPr>
              <w:pStyle w:val="99"/>
              <w:rPr>
                <w:lang w:val="en-US"/>
              </w:rPr>
            </w:pPr>
          </w:p>
        </w:tc>
        <w:tc>
          <w:tcPr>
            <w:tcW w:w="724" w:type="pct"/>
            <w:noWrap w:val="0"/>
            <w:vAlign w:val="center"/>
          </w:tcPr>
          <w:p w14:paraId="2B84E593">
            <w:pPr>
              <w:pStyle w:val="99"/>
              <w:rPr>
                <w:lang w:val="en-US"/>
              </w:rPr>
            </w:pPr>
            <w:r>
              <w:rPr>
                <w:lang w:val="en-US"/>
              </w:rPr>
              <w:t>2号主变</w:t>
            </w:r>
          </w:p>
        </w:tc>
        <w:tc>
          <w:tcPr>
            <w:tcW w:w="908" w:type="pct"/>
            <w:noWrap w:val="0"/>
            <w:vAlign w:val="center"/>
          </w:tcPr>
          <w:p w14:paraId="60458687">
            <w:pPr>
              <w:pStyle w:val="99"/>
              <w:rPr>
                <w:lang w:val="en-US"/>
              </w:rPr>
            </w:pPr>
            <w:r>
              <w:rPr>
                <w:lang w:val="en-US"/>
              </w:rPr>
              <w:t>228.3~230.3</w:t>
            </w:r>
          </w:p>
        </w:tc>
        <w:tc>
          <w:tcPr>
            <w:tcW w:w="844" w:type="pct"/>
            <w:noWrap w:val="0"/>
            <w:vAlign w:val="center"/>
          </w:tcPr>
          <w:p w14:paraId="39358ACD">
            <w:pPr>
              <w:pStyle w:val="99"/>
              <w:rPr>
                <w:lang w:val="en-US"/>
              </w:rPr>
            </w:pPr>
            <w:r>
              <w:rPr>
                <w:lang w:val="en-US"/>
              </w:rPr>
              <w:t>81.2~134.21</w:t>
            </w:r>
          </w:p>
        </w:tc>
        <w:tc>
          <w:tcPr>
            <w:tcW w:w="1078" w:type="pct"/>
            <w:noWrap w:val="0"/>
            <w:vAlign w:val="center"/>
          </w:tcPr>
          <w:p w14:paraId="4AA1F682">
            <w:pPr>
              <w:pStyle w:val="99"/>
              <w:rPr>
                <w:lang w:val="en-US"/>
              </w:rPr>
            </w:pPr>
            <w:r>
              <w:rPr>
                <w:lang w:val="en-US"/>
              </w:rPr>
              <w:t>30.9~53.4</w:t>
            </w:r>
          </w:p>
        </w:tc>
        <w:tc>
          <w:tcPr>
            <w:tcW w:w="1031" w:type="pct"/>
            <w:noWrap w:val="0"/>
            <w:vAlign w:val="center"/>
          </w:tcPr>
          <w:p w14:paraId="46C748BD">
            <w:pPr>
              <w:pStyle w:val="99"/>
              <w:rPr>
                <w:lang w:val="en-US"/>
              </w:rPr>
            </w:pPr>
            <w:r>
              <w:rPr>
                <w:lang w:val="en-US"/>
              </w:rPr>
              <w:t>2.3~3.2</w:t>
            </w:r>
          </w:p>
        </w:tc>
      </w:tr>
    </w:tbl>
    <w:p w14:paraId="75A7EC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p w14:paraId="7D1BF4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（7）监测布点</w:t>
      </w:r>
    </w:p>
    <w:p w14:paraId="186F9E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变电站厂界：在变电站四周围墙外5m各布设1个测点</w:t>
      </w:r>
      <w:r>
        <w:rPr>
          <w:rFonts w:hint="eastAsia" w:eastAsia="宋体" w:cs="Times New Roman"/>
          <w:kern w:val="2"/>
          <w:sz w:val="24"/>
          <w:szCs w:val="24"/>
          <w:lang w:val="en-US" w:eastAsia="zh-CN" w:bidi="ar-SA"/>
        </w:rPr>
        <w:t>、</w:t>
      </w:r>
      <w:r>
        <w:rPr>
          <w:rFonts w:hint="default" w:ascii="Times New Roman" w:hAnsi="Times New Roman" w:eastAsia="宋体" w:cs="Times New Roman"/>
          <w:kern w:val="2"/>
          <w:sz w:val="24"/>
          <w:szCs w:val="24"/>
          <w:lang w:val="en-US" w:eastAsia="zh-CN" w:bidi="ar-SA"/>
        </w:rPr>
        <w:t>变电站</w:t>
      </w:r>
      <w:r>
        <w:rPr>
          <w:rFonts w:hint="eastAsia" w:eastAsia="宋体" w:cs="Times New Roman"/>
          <w:kern w:val="2"/>
          <w:sz w:val="24"/>
          <w:szCs w:val="24"/>
          <w:lang w:val="en-US" w:eastAsia="zh-CN" w:bidi="ar-SA"/>
        </w:rPr>
        <w:t>西侧</w:t>
      </w:r>
      <w:r>
        <w:rPr>
          <w:rFonts w:hint="default" w:ascii="Times New Roman" w:hAnsi="Times New Roman" w:eastAsia="宋体" w:cs="Times New Roman"/>
          <w:kern w:val="2"/>
          <w:sz w:val="24"/>
          <w:szCs w:val="24"/>
          <w:lang w:val="en-US" w:eastAsia="zh-CN" w:bidi="ar-SA"/>
        </w:rPr>
        <w:t>围墙外5m、10m、15m、20m、25m、30m、35m、40m、45m、50m</w:t>
      </w:r>
      <w:r>
        <w:rPr>
          <w:rFonts w:hint="eastAsia" w:eastAsia="宋体" w:cs="Times New Roman"/>
          <w:kern w:val="2"/>
          <w:sz w:val="24"/>
          <w:szCs w:val="24"/>
          <w:lang w:val="en-US" w:eastAsia="zh-CN" w:bidi="ar-SA"/>
        </w:rPr>
        <w:t>及电磁环境保护目标处</w:t>
      </w:r>
      <w:r>
        <w:rPr>
          <w:rFonts w:hint="default" w:ascii="Times New Roman" w:hAnsi="Times New Roman" w:eastAsia="宋体" w:cs="Times New Roman"/>
          <w:kern w:val="2"/>
          <w:sz w:val="24"/>
          <w:szCs w:val="24"/>
          <w:lang w:val="en-US" w:eastAsia="zh-CN" w:bidi="ar-SA"/>
        </w:rPr>
        <w:t>各布1个监测点各测点布置距离地面1.5m高度处。</w:t>
      </w:r>
    </w:p>
    <w:p w14:paraId="30ADA8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（8）监测结果</w:t>
      </w:r>
    </w:p>
    <w:p w14:paraId="5468F3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变电站类比监测结果见</w:t>
      </w:r>
      <w:r>
        <w:rPr>
          <w:rFonts w:hint="eastAsia" w:eastAsia="宋体" w:cs="Times New Roman"/>
          <w:kern w:val="2"/>
          <w:sz w:val="24"/>
          <w:szCs w:val="24"/>
          <w:lang w:val="en-US" w:eastAsia="zh-CN" w:bidi="ar-SA"/>
        </w:rPr>
        <w:t>下</w:t>
      </w:r>
      <w:r>
        <w:rPr>
          <w:rFonts w:hint="default" w:ascii="Times New Roman" w:hAnsi="Times New Roman" w:eastAsia="宋体" w:cs="Times New Roman"/>
          <w:kern w:val="2"/>
          <w:sz w:val="24"/>
          <w:szCs w:val="24"/>
          <w:lang w:val="en-US" w:eastAsia="zh-CN" w:bidi="ar-SA"/>
        </w:rPr>
        <w:t>表。</w:t>
      </w:r>
    </w:p>
    <w:p w14:paraId="54AA9E01">
      <w:pPr>
        <w:numPr>
          <w:ilvl w:val="0"/>
          <w:numId w:val="0"/>
        </w:numPr>
        <w:adjustRightInd w:val="0"/>
        <w:snapToGrid w:val="0"/>
        <w:spacing w:line="240" w:lineRule="auto"/>
        <w:ind w:firstLine="422" w:firstLineChars="200"/>
        <w:jc w:val="center"/>
        <w:rPr>
          <w:rFonts w:hint="default" w:ascii="Times New Roman" w:hAnsi="Times New Roman" w:eastAsia="宋体" w:cs="Times New Roman"/>
          <w:b/>
          <w:color w:val="000000"/>
          <w:kern w:val="2"/>
          <w:sz w:val="21"/>
          <w:szCs w:val="24"/>
          <w:lang w:val="en-US" w:eastAsia="zh-CN" w:bidi="ar-SA"/>
        </w:rPr>
      </w:pPr>
      <w:r>
        <w:rPr>
          <w:rFonts w:hint="eastAsia" w:ascii="Times New Roman" w:hAnsi="Times New Roman" w:eastAsia="宋体" w:cs="Times New Roman"/>
          <w:b/>
          <w:color w:val="000000"/>
          <w:kern w:val="2"/>
          <w:sz w:val="21"/>
          <w:szCs w:val="24"/>
          <w:lang w:val="en-US" w:eastAsia="zh-CN" w:bidi="ar-SA"/>
        </w:rPr>
        <w:t>表9-9</w:t>
      </w:r>
      <w:r>
        <w:rPr>
          <w:rFonts w:hint="default" w:ascii="Times New Roman" w:hAnsi="Times New Roman" w:eastAsia="宋体" w:cs="Times New Roman"/>
          <w:b/>
          <w:color w:val="000000"/>
          <w:kern w:val="2"/>
          <w:sz w:val="21"/>
          <w:szCs w:val="24"/>
          <w:lang w:val="en-US" w:eastAsia="zh-CN" w:bidi="ar-SA"/>
        </w:rPr>
        <w:t xml:space="preserve"> </w:t>
      </w:r>
      <w:r>
        <w:rPr>
          <w:rFonts w:hint="eastAsia" w:ascii="Times New Roman" w:hAnsi="Times New Roman" w:eastAsia="宋体" w:cs="Times New Roman"/>
          <w:b/>
          <w:color w:val="000000"/>
          <w:kern w:val="2"/>
          <w:sz w:val="21"/>
          <w:szCs w:val="24"/>
          <w:lang w:val="en-US" w:eastAsia="zh-CN" w:bidi="ar-SA"/>
        </w:rPr>
        <w:t xml:space="preserve"> </w:t>
      </w:r>
      <w:r>
        <w:rPr>
          <w:rFonts w:hint="default" w:ascii="Times New Roman" w:hAnsi="Times New Roman" w:eastAsia="宋体" w:cs="Times New Roman"/>
          <w:b/>
          <w:color w:val="000000"/>
          <w:kern w:val="2"/>
          <w:sz w:val="21"/>
          <w:szCs w:val="24"/>
          <w:lang w:val="en-US" w:eastAsia="zh-CN" w:bidi="ar-SA"/>
        </w:rPr>
        <w:t>湖南益阳滨湖220kV变电站周围工频电场、工频磁场监测结果</w:t>
      </w:r>
    </w:p>
    <w:p w14:paraId="607B2076">
      <w:pPr>
        <w:spacing w:line="40" w:lineRule="exact"/>
        <w:ind w:firstLine="80"/>
        <w:jc w:val="left"/>
        <w:rPr>
          <w:rFonts w:ascii="Microsoft JhengHei" w:hAnsi="Microsoft JhengHei" w:eastAsia="Microsoft JhengHei"/>
          <w:sz w:val="4"/>
        </w:rPr>
      </w:pPr>
    </w:p>
    <w:tbl>
      <w:tblPr>
        <w:tblStyle w:val="32"/>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711"/>
        <w:gridCol w:w="935"/>
        <w:gridCol w:w="4104"/>
        <w:gridCol w:w="1726"/>
        <w:gridCol w:w="1810"/>
      </w:tblGrid>
      <w:tr w14:paraId="331CBA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vMerge w:val="restart"/>
            <w:noWrap w:val="0"/>
            <w:vAlign w:val="center"/>
          </w:tcPr>
          <w:p w14:paraId="3A7492C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序号</w:t>
            </w:r>
          </w:p>
        </w:tc>
        <w:tc>
          <w:tcPr>
            <w:tcW w:w="2712" w:type="pct"/>
            <w:gridSpan w:val="2"/>
            <w:vMerge w:val="restart"/>
            <w:noWrap w:val="0"/>
            <w:vAlign w:val="center"/>
          </w:tcPr>
          <w:p w14:paraId="045CE05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监测点位描述</w:t>
            </w:r>
          </w:p>
        </w:tc>
        <w:tc>
          <w:tcPr>
            <w:tcW w:w="1903" w:type="pct"/>
            <w:gridSpan w:val="2"/>
            <w:noWrap w:val="0"/>
            <w:vAlign w:val="center"/>
          </w:tcPr>
          <w:p w14:paraId="554D249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测量结果</w:t>
            </w:r>
          </w:p>
        </w:tc>
      </w:tr>
      <w:tr w14:paraId="45BF10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vMerge w:val="continue"/>
            <w:noWrap w:val="0"/>
            <w:vAlign w:val="center"/>
          </w:tcPr>
          <w:p w14:paraId="7D65ED6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712" w:type="pct"/>
            <w:gridSpan w:val="2"/>
            <w:vMerge w:val="continue"/>
            <w:noWrap w:val="0"/>
            <w:vAlign w:val="center"/>
          </w:tcPr>
          <w:p w14:paraId="14F7D12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929" w:type="pct"/>
            <w:noWrap w:val="0"/>
            <w:vAlign w:val="center"/>
          </w:tcPr>
          <w:p w14:paraId="1CDE3E2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工频电场强度</w:t>
            </w:r>
            <w:r>
              <w:rPr>
                <w:rFonts w:hint="eastAsia"/>
                <w:sz w:val="21"/>
                <w:szCs w:val="21"/>
                <w:lang w:val="en-US" w:eastAsia="zh-CN"/>
              </w:rPr>
              <w:t xml:space="preserve"> </w:t>
            </w:r>
            <w:r>
              <w:rPr>
                <w:sz w:val="21"/>
                <w:szCs w:val="21"/>
                <w:lang w:val="en-US" w:eastAsia="zh-CN"/>
              </w:rPr>
              <w:t>（V/m）</w:t>
            </w:r>
          </w:p>
        </w:tc>
        <w:tc>
          <w:tcPr>
            <w:tcW w:w="973" w:type="pct"/>
            <w:noWrap w:val="0"/>
            <w:vAlign w:val="center"/>
          </w:tcPr>
          <w:p w14:paraId="6E68E47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工频磁感应强度（</w:t>
            </w:r>
            <w:r>
              <w:rPr>
                <w:sz w:val="21"/>
                <w:szCs w:val="21"/>
                <w:lang w:val="en-US"/>
              </w:rPr>
              <w:t>μ</w:t>
            </w:r>
            <w:r>
              <w:rPr>
                <w:sz w:val="21"/>
                <w:szCs w:val="21"/>
                <w:lang w:val="en-US" w:eastAsia="zh-CN"/>
              </w:rPr>
              <w:t>T）</w:t>
            </w:r>
          </w:p>
        </w:tc>
      </w:tr>
      <w:tr w14:paraId="039524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62AE73E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w:t>
            </w:r>
          </w:p>
        </w:tc>
        <w:tc>
          <w:tcPr>
            <w:tcW w:w="503" w:type="pct"/>
            <w:vMerge w:val="restart"/>
            <w:noWrap w:val="0"/>
            <w:vAlign w:val="center"/>
          </w:tcPr>
          <w:p w14:paraId="37CD0D1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变电站厂界</w:t>
            </w:r>
          </w:p>
        </w:tc>
        <w:tc>
          <w:tcPr>
            <w:tcW w:w="2208" w:type="pct"/>
            <w:noWrap w:val="0"/>
            <w:vAlign w:val="center"/>
          </w:tcPr>
          <w:p w14:paraId="2ABED6F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东侧围墙外5m</w:t>
            </w:r>
          </w:p>
        </w:tc>
        <w:tc>
          <w:tcPr>
            <w:tcW w:w="929" w:type="pct"/>
            <w:noWrap w:val="0"/>
            <w:vAlign w:val="center"/>
          </w:tcPr>
          <w:p w14:paraId="002B1F1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51.8</w:t>
            </w:r>
          </w:p>
        </w:tc>
        <w:tc>
          <w:tcPr>
            <w:tcW w:w="973" w:type="pct"/>
            <w:noWrap w:val="0"/>
            <w:vAlign w:val="center"/>
          </w:tcPr>
          <w:p w14:paraId="2229E45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0.321</w:t>
            </w:r>
          </w:p>
        </w:tc>
      </w:tr>
      <w:tr w14:paraId="0A3E0E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01C269F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2</w:t>
            </w:r>
          </w:p>
        </w:tc>
        <w:tc>
          <w:tcPr>
            <w:tcW w:w="503" w:type="pct"/>
            <w:vMerge w:val="continue"/>
            <w:noWrap w:val="0"/>
            <w:vAlign w:val="center"/>
          </w:tcPr>
          <w:p w14:paraId="5276E0B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0A1335C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南侧围墙外5m</w:t>
            </w:r>
          </w:p>
        </w:tc>
        <w:tc>
          <w:tcPr>
            <w:tcW w:w="929" w:type="pct"/>
            <w:noWrap w:val="0"/>
            <w:vAlign w:val="center"/>
          </w:tcPr>
          <w:p w14:paraId="327E085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64.8</w:t>
            </w:r>
          </w:p>
        </w:tc>
        <w:tc>
          <w:tcPr>
            <w:tcW w:w="973" w:type="pct"/>
            <w:noWrap w:val="0"/>
            <w:vAlign w:val="center"/>
          </w:tcPr>
          <w:p w14:paraId="21A2219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0.287</w:t>
            </w:r>
          </w:p>
        </w:tc>
      </w:tr>
      <w:tr w14:paraId="53BC5B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33624B8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w:t>
            </w:r>
          </w:p>
        </w:tc>
        <w:tc>
          <w:tcPr>
            <w:tcW w:w="503" w:type="pct"/>
            <w:vMerge w:val="continue"/>
            <w:noWrap w:val="0"/>
            <w:vAlign w:val="center"/>
          </w:tcPr>
          <w:p w14:paraId="1926F21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55C70D9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西侧围墙外5m</w:t>
            </w:r>
          </w:p>
        </w:tc>
        <w:tc>
          <w:tcPr>
            <w:tcW w:w="929" w:type="pct"/>
            <w:noWrap w:val="0"/>
            <w:vAlign w:val="center"/>
          </w:tcPr>
          <w:p w14:paraId="04ACEF0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78.8</w:t>
            </w:r>
          </w:p>
        </w:tc>
        <w:tc>
          <w:tcPr>
            <w:tcW w:w="973" w:type="pct"/>
            <w:noWrap w:val="0"/>
            <w:vAlign w:val="center"/>
          </w:tcPr>
          <w:p w14:paraId="35B8BBC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0.224</w:t>
            </w:r>
          </w:p>
        </w:tc>
      </w:tr>
      <w:tr w14:paraId="6460E1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1A74123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4</w:t>
            </w:r>
          </w:p>
        </w:tc>
        <w:tc>
          <w:tcPr>
            <w:tcW w:w="503" w:type="pct"/>
            <w:vMerge w:val="continue"/>
            <w:noWrap w:val="0"/>
            <w:vAlign w:val="center"/>
          </w:tcPr>
          <w:p w14:paraId="6ED2857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47F71788">
            <w:pPr>
              <w:pStyle w:val="99"/>
              <w:keepNext w:val="0"/>
              <w:keepLines w:val="0"/>
              <w:pageBreakBefore w:val="0"/>
              <w:widowControl w:val="0"/>
              <w:kinsoku/>
              <w:wordWrap/>
              <w:overflowPunct/>
              <w:topLinePunct w:val="0"/>
              <w:autoSpaceDE w:val="0"/>
              <w:autoSpaceDN w:val="0"/>
              <w:bidi w:val="0"/>
              <w:adjustRightInd w:val="0"/>
              <w:snapToGrid/>
              <w:textAlignment w:val="bottom"/>
              <w:rPr>
                <w:rFonts w:hint="default"/>
                <w:sz w:val="21"/>
                <w:szCs w:val="21"/>
                <w:lang w:val="en-US" w:eastAsia="zh-CN"/>
              </w:rPr>
            </w:pPr>
            <w:r>
              <w:rPr>
                <w:sz w:val="21"/>
                <w:szCs w:val="21"/>
                <w:lang w:val="en-US" w:eastAsia="zh-CN"/>
              </w:rPr>
              <w:t>北侧围墙外5m</w:t>
            </w:r>
          </w:p>
        </w:tc>
        <w:tc>
          <w:tcPr>
            <w:tcW w:w="929" w:type="pct"/>
            <w:noWrap w:val="0"/>
            <w:vAlign w:val="center"/>
          </w:tcPr>
          <w:p w14:paraId="1AB1574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140.5</w:t>
            </w:r>
          </w:p>
        </w:tc>
        <w:tc>
          <w:tcPr>
            <w:tcW w:w="973" w:type="pct"/>
            <w:noWrap w:val="0"/>
            <w:vAlign w:val="center"/>
          </w:tcPr>
          <w:p w14:paraId="6A8B3BB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0.180</w:t>
            </w:r>
          </w:p>
        </w:tc>
      </w:tr>
      <w:tr w14:paraId="47FB73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7181FEC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w:t>
            </w:r>
          </w:p>
        </w:tc>
        <w:tc>
          <w:tcPr>
            <w:tcW w:w="503" w:type="pct"/>
            <w:vMerge w:val="restart"/>
            <w:noWrap w:val="0"/>
            <w:vAlign w:val="center"/>
          </w:tcPr>
          <w:p w14:paraId="237874B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变电站 监测断 面</w:t>
            </w:r>
          </w:p>
        </w:tc>
        <w:tc>
          <w:tcPr>
            <w:tcW w:w="2208" w:type="pct"/>
            <w:noWrap w:val="0"/>
            <w:vAlign w:val="center"/>
          </w:tcPr>
          <w:p w14:paraId="7D059A8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西侧围墙外5m</w:t>
            </w:r>
          </w:p>
        </w:tc>
        <w:tc>
          <w:tcPr>
            <w:tcW w:w="929" w:type="pct"/>
            <w:noWrap w:val="0"/>
            <w:vAlign w:val="center"/>
          </w:tcPr>
          <w:p w14:paraId="3C9F92B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78.8</w:t>
            </w:r>
          </w:p>
        </w:tc>
        <w:tc>
          <w:tcPr>
            <w:tcW w:w="973" w:type="pct"/>
            <w:noWrap w:val="0"/>
            <w:vAlign w:val="center"/>
          </w:tcPr>
          <w:p w14:paraId="3B899C8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0.224</w:t>
            </w:r>
          </w:p>
        </w:tc>
      </w:tr>
      <w:tr w14:paraId="6485A0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771A2CA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5</w:t>
            </w:r>
          </w:p>
        </w:tc>
        <w:tc>
          <w:tcPr>
            <w:tcW w:w="503" w:type="pct"/>
            <w:vMerge w:val="continue"/>
            <w:noWrap w:val="0"/>
            <w:vAlign w:val="center"/>
          </w:tcPr>
          <w:p w14:paraId="45D5134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5DA3E34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西侧围墙外10m</w:t>
            </w:r>
          </w:p>
        </w:tc>
        <w:tc>
          <w:tcPr>
            <w:tcW w:w="929" w:type="pct"/>
            <w:noWrap w:val="0"/>
            <w:vAlign w:val="center"/>
          </w:tcPr>
          <w:p w14:paraId="122FED2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35.6</w:t>
            </w:r>
          </w:p>
        </w:tc>
        <w:tc>
          <w:tcPr>
            <w:tcW w:w="973" w:type="pct"/>
            <w:noWrap w:val="0"/>
            <w:vAlign w:val="center"/>
          </w:tcPr>
          <w:p w14:paraId="750C9C4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0.164</w:t>
            </w:r>
          </w:p>
        </w:tc>
      </w:tr>
      <w:tr w14:paraId="54C793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657093C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6</w:t>
            </w:r>
          </w:p>
        </w:tc>
        <w:tc>
          <w:tcPr>
            <w:tcW w:w="503" w:type="pct"/>
            <w:vMerge w:val="continue"/>
            <w:noWrap w:val="0"/>
            <w:vAlign w:val="center"/>
          </w:tcPr>
          <w:p w14:paraId="5B31FC6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3F0D1F8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西侧围墙外15m</w:t>
            </w:r>
          </w:p>
        </w:tc>
        <w:tc>
          <w:tcPr>
            <w:tcW w:w="929" w:type="pct"/>
            <w:noWrap w:val="0"/>
            <w:vAlign w:val="center"/>
          </w:tcPr>
          <w:p w14:paraId="17FCC72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17.7</w:t>
            </w:r>
          </w:p>
        </w:tc>
        <w:tc>
          <w:tcPr>
            <w:tcW w:w="973" w:type="pct"/>
            <w:noWrap w:val="0"/>
            <w:vAlign w:val="center"/>
          </w:tcPr>
          <w:p w14:paraId="50DAE04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0.120</w:t>
            </w:r>
          </w:p>
        </w:tc>
      </w:tr>
      <w:tr w14:paraId="2A6B78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6C9F0FA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7</w:t>
            </w:r>
          </w:p>
        </w:tc>
        <w:tc>
          <w:tcPr>
            <w:tcW w:w="503" w:type="pct"/>
            <w:vMerge w:val="continue"/>
            <w:noWrap w:val="0"/>
            <w:vAlign w:val="center"/>
          </w:tcPr>
          <w:p w14:paraId="49AF96B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629F903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西侧围墙外20m</w:t>
            </w:r>
          </w:p>
        </w:tc>
        <w:tc>
          <w:tcPr>
            <w:tcW w:w="929" w:type="pct"/>
            <w:noWrap w:val="0"/>
            <w:vAlign w:val="center"/>
          </w:tcPr>
          <w:p w14:paraId="29CFA20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9.5</w:t>
            </w:r>
          </w:p>
        </w:tc>
        <w:tc>
          <w:tcPr>
            <w:tcW w:w="973" w:type="pct"/>
            <w:noWrap w:val="0"/>
            <w:vAlign w:val="center"/>
          </w:tcPr>
          <w:p w14:paraId="05AE8DAA">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0.079</w:t>
            </w:r>
          </w:p>
        </w:tc>
      </w:tr>
      <w:tr w14:paraId="6BBC31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1F92B3A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8</w:t>
            </w:r>
          </w:p>
        </w:tc>
        <w:tc>
          <w:tcPr>
            <w:tcW w:w="503" w:type="pct"/>
            <w:vMerge w:val="continue"/>
            <w:noWrap w:val="0"/>
            <w:vAlign w:val="center"/>
          </w:tcPr>
          <w:p w14:paraId="3DFD98D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53DB4C3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西侧围墙外25m</w:t>
            </w:r>
          </w:p>
        </w:tc>
        <w:tc>
          <w:tcPr>
            <w:tcW w:w="929" w:type="pct"/>
            <w:noWrap w:val="0"/>
            <w:vAlign w:val="center"/>
          </w:tcPr>
          <w:p w14:paraId="3B9526F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5.7</w:t>
            </w:r>
          </w:p>
        </w:tc>
        <w:tc>
          <w:tcPr>
            <w:tcW w:w="973" w:type="pct"/>
            <w:noWrap w:val="0"/>
            <w:vAlign w:val="center"/>
          </w:tcPr>
          <w:p w14:paraId="18200D2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0.054</w:t>
            </w:r>
          </w:p>
        </w:tc>
      </w:tr>
      <w:tr w14:paraId="4E0F01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24F8AB2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9</w:t>
            </w:r>
          </w:p>
        </w:tc>
        <w:tc>
          <w:tcPr>
            <w:tcW w:w="503" w:type="pct"/>
            <w:vMerge w:val="continue"/>
            <w:noWrap w:val="0"/>
            <w:vAlign w:val="center"/>
          </w:tcPr>
          <w:p w14:paraId="3F3832C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3CF9077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西侧围墙外30m</w:t>
            </w:r>
          </w:p>
        </w:tc>
        <w:tc>
          <w:tcPr>
            <w:tcW w:w="929" w:type="pct"/>
            <w:noWrap w:val="0"/>
            <w:vAlign w:val="center"/>
          </w:tcPr>
          <w:p w14:paraId="4BD4C26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3.5</w:t>
            </w:r>
          </w:p>
        </w:tc>
        <w:tc>
          <w:tcPr>
            <w:tcW w:w="973" w:type="pct"/>
            <w:noWrap w:val="0"/>
            <w:vAlign w:val="center"/>
          </w:tcPr>
          <w:p w14:paraId="3F4F6D3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0.038</w:t>
            </w:r>
          </w:p>
        </w:tc>
      </w:tr>
      <w:tr w14:paraId="5AF84F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7DA8993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10</w:t>
            </w:r>
          </w:p>
        </w:tc>
        <w:tc>
          <w:tcPr>
            <w:tcW w:w="503" w:type="pct"/>
            <w:vMerge w:val="continue"/>
            <w:noWrap w:val="0"/>
            <w:vAlign w:val="center"/>
          </w:tcPr>
          <w:p w14:paraId="1D0636E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4ED0181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西侧围墙外35m</w:t>
            </w:r>
          </w:p>
        </w:tc>
        <w:tc>
          <w:tcPr>
            <w:tcW w:w="929" w:type="pct"/>
            <w:noWrap w:val="0"/>
            <w:vAlign w:val="center"/>
          </w:tcPr>
          <w:p w14:paraId="1470588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2.3</w:t>
            </w:r>
          </w:p>
        </w:tc>
        <w:tc>
          <w:tcPr>
            <w:tcW w:w="973" w:type="pct"/>
            <w:noWrap w:val="0"/>
            <w:vAlign w:val="center"/>
          </w:tcPr>
          <w:p w14:paraId="5C1EA6A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0.022</w:t>
            </w:r>
          </w:p>
        </w:tc>
      </w:tr>
      <w:tr w14:paraId="056EFF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5F72A800">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11</w:t>
            </w:r>
          </w:p>
        </w:tc>
        <w:tc>
          <w:tcPr>
            <w:tcW w:w="503" w:type="pct"/>
            <w:vMerge w:val="continue"/>
            <w:noWrap w:val="0"/>
            <w:vAlign w:val="center"/>
          </w:tcPr>
          <w:p w14:paraId="60E0A28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244F9732">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西侧围墙外40m</w:t>
            </w:r>
          </w:p>
        </w:tc>
        <w:tc>
          <w:tcPr>
            <w:tcW w:w="929" w:type="pct"/>
            <w:noWrap w:val="0"/>
            <w:vAlign w:val="center"/>
          </w:tcPr>
          <w:p w14:paraId="3453B31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1.6</w:t>
            </w:r>
          </w:p>
        </w:tc>
        <w:tc>
          <w:tcPr>
            <w:tcW w:w="973" w:type="pct"/>
            <w:noWrap w:val="0"/>
            <w:vAlign w:val="center"/>
          </w:tcPr>
          <w:p w14:paraId="61877C7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0.016</w:t>
            </w:r>
          </w:p>
        </w:tc>
      </w:tr>
      <w:tr w14:paraId="7AB4C7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5971304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12</w:t>
            </w:r>
          </w:p>
        </w:tc>
        <w:tc>
          <w:tcPr>
            <w:tcW w:w="503" w:type="pct"/>
            <w:vMerge w:val="continue"/>
            <w:noWrap w:val="0"/>
            <w:vAlign w:val="center"/>
          </w:tcPr>
          <w:p w14:paraId="353138DF">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198AF1B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西侧围墙外45m</w:t>
            </w:r>
          </w:p>
        </w:tc>
        <w:tc>
          <w:tcPr>
            <w:tcW w:w="929" w:type="pct"/>
            <w:noWrap w:val="0"/>
            <w:vAlign w:val="center"/>
          </w:tcPr>
          <w:p w14:paraId="4354201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1.8</w:t>
            </w:r>
          </w:p>
        </w:tc>
        <w:tc>
          <w:tcPr>
            <w:tcW w:w="973" w:type="pct"/>
            <w:noWrap w:val="0"/>
            <w:vAlign w:val="center"/>
          </w:tcPr>
          <w:p w14:paraId="0162E4A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0.014</w:t>
            </w:r>
          </w:p>
        </w:tc>
      </w:tr>
      <w:tr w14:paraId="078FD3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20EE741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13</w:t>
            </w:r>
          </w:p>
        </w:tc>
        <w:tc>
          <w:tcPr>
            <w:tcW w:w="503" w:type="pct"/>
            <w:vMerge w:val="continue"/>
            <w:noWrap w:val="0"/>
            <w:vAlign w:val="center"/>
          </w:tcPr>
          <w:p w14:paraId="3BA87F19">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39ADC804">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西侧围墙外50m</w:t>
            </w:r>
          </w:p>
        </w:tc>
        <w:tc>
          <w:tcPr>
            <w:tcW w:w="929" w:type="pct"/>
            <w:noWrap w:val="0"/>
            <w:vAlign w:val="center"/>
          </w:tcPr>
          <w:p w14:paraId="75C5CB0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1.1</w:t>
            </w:r>
          </w:p>
        </w:tc>
        <w:tc>
          <w:tcPr>
            <w:tcW w:w="973" w:type="pct"/>
            <w:noWrap w:val="0"/>
            <w:vAlign w:val="center"/>
          </w:tcPr>
          <w:p w14:paraId="3BAFBE1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0.015</w:t>
            </w:r>
          </w:p>
        </w:tc>
      </w:tr>
      <w:tr w14:paraId="65825C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3BB34A91">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14</w:t>
            </w:r>
          </w:p>
        </w:tc>
        <w:tc>
          <w:tcPr>
            <w:tcW w:w="503" w:type="pct"/>
            <w:vMerge w:val="restart"/>
            <w:noWrap w:val="0"/>
            <w:vAlign w:val="center"/>
          </w:tcPr>
          <w:p w14:paraId="26449856">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环境敏 感目标</w:t>
            </w:r>
          </w:p>
        </w:tc>
        <w:tc>
          <w:tcPr>
            <w:tcW w:w="2208" w:type="pct"/>
            <w:noWrap w:val="0"/>
            <w:vAlign w:val="center"/>
          </w:tcPr>
          <w:p w14:paraId="78218F55">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东侧10m处大西港村3组仓库西南侧</w:t>
            </w:r>
          </w:p>
        </w:tc>
        <w:tc>
          <w:tcPr>
            <w:tcW w:w="929" w:type="pct"/>
            <w:noWrap w:val="0"/>
            <w:vAlign w:val="center"/>
          </w:tcPr>
          <w:p w14:paraId="6496AEAC">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33.1</w:t>
            </w:r>
          </w:p>
        </w:tc>
        <w:tc>
          <w:tcPr>
            <w:tcW w:w="973" w:type="pct"/>
            <w:noWrap w:val="0"/>
            <w:vAlign w:val="center"/>
          </w:tcPr>
          <w:p w14:paraId="34BB1F8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0.241</w:t>
            </w:r>
          </w:p>
        </w:tc>
      </w:tr>
      <w:tr w14:paraId="1E65CC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04E66F3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15</w:t>
            </w:r>
          </w:p>
        </w:tc>
        <w:tc>
          <w:tcPr>
            <w:tcW w:w="503" w:type="pct"/>
            <w:vMerge w:val="continue"/>
            <w:noWrap w:val="0"/>
            <w:vAlign w:val="center"/>
          </w:tcPr>
          <w:p w14:paraId="688BA4D8">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367B2FD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东侧26m处大西港村3组谢姓民房南侧</w:t>
            </w:r>
          </w:p>
        </w:tc>
        <w:tc>
          <w:tcPr>
            <w:tcW w:w="929" w:type="pct"/>
            <w:noWrap w:val="0"/>
            <w:vAlign w:val="center"/>
          </w:tcPr>
          <w:p w14:paraId="0885A797">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81.7</w:t>
            </w:r>
          </w:p>
        </w:tc>
        <w:tc>
          <w:tcPr>
            <w:tcW w:w="973" w:type="pct"/>
            <w:noWrap w:val="0"/>
            <w:vAlign w:val="center"/>
          </w:tcPr>
          <w:p w14:paraId="178C824E">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0.434</w:t>
            </w:r>
          </w:p>
        </w:tc>
      </w:tr>
      <w:tr w14:paraId="16A71D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83" w:type="pct"/>
            <w:noWrap w:val="0"/>
            <w:vAlign w:val="center"/>
          </w:tcPr>
          <w:p w14:paraId="0C20B91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16</w:t>
            </w:r>
          </w:p>
        </w:tc>
        <w:tc>
          <w:tcPr>
            <w:tcW w:w="503" w:type="pct"/>
            <w:vMerge w:val="continue"/>
            <w:noWrap w:val="0"/>
            <w:vAlign w:val="center"/>
          </w:tcPr>
          <w:p w14:paraId="441D5B3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p>
        </w:tc>
        <w:tc>
          <w:tcPr>
            <w:tcW w:w="2208" w:type="pct"/>
            <w:noWrap w:val="0"/>
            <w:vAlign w:val="center"/>
          </w:tcPr>
          <w:p w14:paraId="4674A44B">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eastAsia="zh-CN"/>
              </w:rPr>
            </w:pPr>
            <w:r>
              <w:rPr>
                <w:sz w:val="21"/>
                <w:szCs w:val="21"/>
                <w:lang w:val="en-US" w:eastAsia="zh-CN"/>
              </w:rPr>
              <w:t>东北侧40m处大西港村3组民房 1南侧</w:t>
            </w:r>
          </w:p>
        </w:tc>
        <w:tc>
          <w:tcPr>
            <w:tcW w:w="929" w:type="pct"/>
            <w:noWrap w:val="0"/>
            <w:vAlign w:val="center"/>
          </w:tcPr>
          <w:p w14:paraId="38CE41A3">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11.3</w:t>
            </w:r>
          </w:p>
        </w:tc>
        <w:tc>
          <w:tcPr>
            <w:tcW w:w="973" w:type="pct"/>
            <w:noWrap w:val="0"/>
            <w:vAlign w:val="center"/>
          </w:tcPr>
          <w:p w14:paraId="55293A4D">
            <w:pPr>
              <w:pStyle w:val="99"/>
              <w:keepNext w:val="0"/>
              <w:keepLines w:val="0"/>
              <w:pageBreakBefore w:val="0"/>
              <w:widowControl w:val="0"/>
              <w:kinsoku/>
              <w:wordWrap/>
              <w:overflowPunct/>
              <w:topLinePunct w:val="0"/>
              <w:autoSpaceDE w:val="0"/>
              <w:autoSpaceDN w:val="0"/>
              <w:bidi w:val="0"/>
              <w:adjustRightInd w:val="0"/>
              <w:snapToGrid/>
              <w:textAlignment w:val="bottom"/>
              <w:rPr>
                <w:sz w:val="21"/>
                <w:szCs w:val="21"/>
                <w:lang w:val="en-US"/>
              </w:rPr>
            </w:pPr>
            <w:r>
              <w:rPr>
                <w:sz w:val="21"/>
                <w:szCs w:val="21"/>
                <w:lang w:val="en-US"/>
              </w:rPr>
              <w:t>0.092</w:t>
            </w:r>
          </w:p>
        </w:tc>
      </w:tr>
    </w:tbl>
    <w:p w14:paraId="125083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bookmarkStart w:id="331" w:name="_Toc23990"/>
      <w:bookmarkStart w:id="332" w:name="_Toc4692"/>
      <w:r>
        <w:rPr>
          <w:rFonts w:hint="eastAsia" w:ascii="Times New Roman" w:hAnsi="Times New Roman" w:eastAsia="宋体" w:cs="Times New Roman"/>
          <w:kern w:val="2"/>
          <w:sz w:val="24"/>
          <w:szCs w:val="24"/>
          <w:lang w:val="en-US" w:eastAsia="zh-CN" w:bidi="ar-SA"/>
        </w:rPr>
        <w:t>（9）</w:t>
      </w:r>
      <w:r>
        <w:rPr>
          <w:rFonts w:hint="default" w:ascii="Times New Roman" w:hAnsi="Times New Roman" w:eastAsia="宋体" w:cs="Times New Roman"/>
          <w:kern w:val="2"/>
          <w:sz w:val="24"/>
          <w:szCs w:val="24"/>
          <w:lang w:val="en-US" w:eastAsia="zh-CN" w:bidi="ar-SA"/>
        </w:rPr>
        <w:t>类比监测结果分析</w:t>
      </w:r>
      <w:bookmarkEnd w:id="331"/>
      <w:bookmarkEnd w:id="332"/>
    </w:p>
    <w:p w14:paraId="120D2B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由监测结果可知，</w:t>
      </w:r>
      <w:r>
        <w:rPr>
          <w:rFonts w:hint="eastAsia" w:ascii="Times New Roman" w:hAnsi="Times New Roman" w:eastAsia="宋体" w:cs="Times New Roman"/>
          <w:kern w:val="2"/>
          <w:sz w:val="24"/>
          <w:szCs w:val="24"/>
          <w:lang w:val="en-US" w:eastAsia="zh-CN" w:bidi="ar-SA"/>
        </w:rPr>
        <w:t>滨湖220kV变电站厂界四周测点处的工频电场强度为51.8~140.5V/m，工频磁感应强度为0.180~0.321μT；变电站西侧围墙外断面测点处工频电场强度为1.1~78.8V/m，工频磁感应强度为0.014~0.224μT；变电站周围环境敏感目标各测点处的工频电场强度为11.3~81.7V/m，工频磁感应强度为0.092~0.434μT，所有测点均满足《电磁环境控制限值》（GB 8702-2014）中工频电场强度4000V/m、磁感应强度100μT的标准限值。</w:t>
      </w:r>
      <w:bookmarkEnd w:id="328"/>
      <w:bookmarkEnd w:id="329"/>
      <w:bookmarkEnd w:id="330"/>
    </w:p>
    <w:p w14:paraId="4319E29D">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Times New Roman" w:hAnsi="Times New Roman" w:eastAsia="宋体" w:cs="Times New Roman"/>
          <w:b/>
          <w:color w:val="auto"/>
          <w:sz w:val="28"/>
          <w:szCs w:val="28"/>
          <w:lang w:val="en-US" w:eastAsia="zh-CN"/>
        </w:rPr>
      </w:pPr>
      <w:r>
        <w:rPr>
          <w:rFonts w:hint="eastAsia" w:ascii="Times New Roman" w:hAnsi="Times New Roman" w:eastAsia="宋体" w:cs="Times New Roman"/>
          <w:b/>
          <w:color w:val="auto"/>
          <w:sz w:val="28"/>
          <w:szCs w:val="28"/>
          <w:lang w:val="en-US" w:eastAsia="zh-CN"/>
        </w:rPr>
        <w:t>9.5 电磁环境影响评价综合结论</w:t>
      </w:r>
    </w:p>
    <w:p w14:paraId="6757DFE8">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（1）现状监测结果表明，</w:t>
      </w:r>
      <w:r>
        <w:rPr>
          <w:rFonts w:hint="eastAsia" w:cs="Times New Roman"/>
          <w:color w:val="auto"/>
          <w:spacing w:val="-6"/>
          <w:sz w:val="24"/>
          <w:szCs w:val="24"/>
          <w:u w:val="none"/>
          <w:lang w:val="en-US" w:eastAsia="zh-CN"/>
        </w:rPr>
        <w:t>升压站各监测点位</w:t>
      </w:r>
      <w:r>
        <w:rPr>
          <w:rFonts w:hint="eastAsia" w:ascii="Times New Roman" w:hAnsi="Times New Roman" w:eastAsia="宋体" w:cs="Times New Roman"/>
          <w:color w:val="auto"/>
          <w:spacing w:val="-6"/>
          <w:sz w:val="24"/>
          <w:szCs w:val="24"/>
          <w:u w:val="none"/>
          <w:lang w:val="en-US" w:eastAsia="zh-CN"/>
        </w:rPr>
        <w:t>的工频电场监测值为</w:t>
      </w:r>
      <w:r>
        <w:rPr>
          <w:rFonts w:hint="eastAsia" w:cs="Times New Roman"/>
          <w:color w:val="auto"/>
          <w:spacing w:val="-6"/>
          <w:sz w:val="24"/>
          <w:szCs w:val="24"/>
          <w:u w:val="none"/>
          <w:lang w:val="en-US" w:eastAsia="zh-CN"/>
        </w:rPr>
        <w:t>0.4</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0.7</w:t>
      </w:r>
      <w:r>
        <w:rPr>
          <w:rFonts w:hint="eastAsia" w:ascii="Times New Roman" w:hAnsi="Times New Roman" w:eastAsia="宋体" w:cs="Times New Roman"/>
          <w:color w:val="auto"/>
          <w:spacing w:val="-6"/>
          <w:sz w:val="24"/>
          <w:szCs w:val="24"/>
          <w:u w:val="none"/>
          <w:lang w:val="en-US" w:eastAsia="zh-CN"/>
        </w:rPr>
        <w:t>V/m，工频磁场监测值为0.</w:t>
      </w:r>
      <w:r>
        <w:rPr>
          <w:rFonts w:hint="eastAsia" w:cs="Times New Roman"/>
          <w:color w:val="auto"/>
          <w:spacing w:val="-6"/>
          <w:sz w:val="24"/>
          <w:szCs w:val="24"/>
          <w:u w:val="none"/>
          <w:lang w:val="en-US" w:eastAsia="zh-CN"/>
        </w:rPr>
        <w:t>005</w:t>
      </w:r>
      <w:r>
        <w:rPr>
          <w:rFonts w:hint="eastAsia" w:ascii="Times New Roman" w:hAnsi="Times New Roman" w:eastAsia="宋体" w:cs="Times New Roman"/>
          <w:color w:val="auto"/>
          <w:spacing w:val="-6"/>
          <w:sz w:val="24"/>
          <w:szCs w:val="24"/>
          <w:u w:val="none"/>
          <w:lang w:val="en-US" w:eastAsia="zh-CN"/>
        </w:rPr>
        <w:t>~</w:t>
      </w:r>
      <w:r>
        <w:rPr>
          <w:rFonts w:hint="eastAsia" w:cs="Times New Roman"/>
          <w:color w:val="auto"/>
          <w:spacing w:val="-6"/>
          <w:sz w:val="24"/>
          <w:szCs w:val="24"/>
          <w:u w:val="none"/>
          <w:lang w:val="en-US" w:eastAsia="zh-CN"/>
        </w:rPr>
        <w:t>0.009</w:t>
      </w:r>
      <w:r>
        <w:rPr>
          <w:rFonts w:hint="eastAsia" w:ascii="Times New Roman" w:hAnsi="Times New Roman" w:eastAsia="宋体" w:cs="Times New Roman"/>
          <w:color w:val="auto"/>
          <w:spacing w:val="-6"/>
          <w:sz w:val="24"/>
          <w:szCs w:val="24"/>
          <w:u w:val="none"/>
          <w:lang w:val="en-US" w:eastAsia="zh-CN"/>
        </w:rPr>
        <w:t>µT，满足《电磁环境控制限值》（GB8702-2014）</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工频电场强度4000V/m、</w:t>
      </w:r>
      <w:r>
        <w:rPr>
          <w:rFonts w:hint="eastAsia" w:ascii="Times New Roman" w:hAnsi="Times New Roman" w:eastAsia="宋体" w:cs="Times New Roman"/>
          <w:color w:val="auto"/>
          <w:spacing w:val="-6"/>
          <w:sz w:val="24"/>
          <w:szCs w:val="24"/>
          <w:u w:val="none"/>
          <w:lang w:eastAsia="zh-CN"/>
        </w:rPr>
        <w:t>公众曝露</w:t>
      </w:r>
      <w:r>
        <w:rPr>
          <w:rFonts w:hint="eastAsia" w:ascii="Times New Roman" w:hAnsi="Times New Roman" w:eastAsia="宋体" w:cs="Times New Roman"/>
          <w:color w:val="auto"/>
          <w:spacing w:val="-6"/>
          <w:sz w:val="24"/>
          <w:szCs w:val="24"/>
          <w:u w:val="none"/>
          <w:lang w:val="en-US" w:eastAsia="zh-CN"/>
        </w:rPr>
        <w:t>工频磁感应强度100</w:t>
      </w:r>
      <w:r>
        <w:rPr>
          <w:rFonts w:hint="eastAsia" w:ascii="Times New Roman" w:hAnsi="Times New Roman" w:eastAsia="宋体" w:cs="Times New Roman"/>
          <w:color w:val="auto"/>
          <w:spacing w:val="-6"/>
          <w:sz w:val="24"/>
          <w:szCs w:val="24"/>
          <w:u w:val="none"/>
          <w:lang w:eastAsia="zh-CN"/>
        </w:rPr>
        <w:t>μT的限值标准</w:t>
      </w:r>
      <w:r>
        <w:rPr>
          <w:rFonts w:hint="eastAsia" w:ascii="Times New Roman" w:hAnsi="Times New Roman" w:eastAsia="宋体" w:cs="Times New Roman"/>
          <w:color w:val="auto"/>
          <w:spacing w:val="-6"/>
          <w:sz w:val="24"/>
          <w:szCs w:val="24"/>
          <w:u w:val="none"/>
          <w:lang w:val="en-US" w:eastAsia="zh-CN"/>
        </w:rPr>
        <w:t>。</w:t>
      </w:r>
    </w:p>
    <w:p w14:paraId="6FE473B4">
      <w:pPr>
        <w:numPr>
          <w:ilvl w:val="0"/>
          <w:numId w:val="0"/>
        </w:numPr>
        <w:adjustRightInd w:val="0"/>
        <w:snapToGrid w:val="0"/>
        <w:spacing w:line="360" w:lineRule="auto"/>
        <w:ind w:firstLine="480" w:firstLineChars="200"/>
        <w:jc w:val="left"/>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（2）类比分析结果表明，</w:t>
      </w:r>
      <w:r>
        <w:rPr>
          <w:rFonts w:hint="eastAsia" w:ascii="Times New Roman" w:hAnsi="Times New Roman" w:eastAsia="宋体" w:cs="Times New Roman"/>
          <w:kern w:val="2"/>
          <w:sz w:val="24"/>
          <w:szCs w:val="24"/>
          <w:lang w:val="en-US" w:eastAsia="zh-CN" w:bidi="ar-SA"/>
        </w:rPr>
        <w:t>滨湖220kV变电站厂界四周测点处的工频电场强度为51.8~140.5V/m，工频磁感应强度为0.180~0.321μT；变电站西侧围墙外断面测点处工频电场强度为1.1~78.8V/m，工频磁感应强度为0.014~0.224μT；变电站周围环境敏感目标各测点处的工频电场强度为11.3~81.7V/m，工频磁感应强度为0.092~0.434μT，所有测点均满足《电磁环境控制限值》（GB 8702-2014）中工频电场强度4000V/m、磁感应强度100μT的标准限值。</w:t>
      </w:r>
      <w:r>
        <w:rPr>
          <w:rFonts w:hint="eastAsia" w:ascii="Times New Roman" w:hAnsi="Times New Roman" w:eastAsia="宋体" w:cs="Times New Roman"/>
          <w:color w:val="auto"/>
          <w:kern w:val="0"/>
          <w:sz w:val="24"/>
          <w:lang w:val="en-US" w:eastAsia="zh-CN"/>
        </w:rPr>
        <w:t>因此，可以</w:t>
      </w:r>
      <w:r>
        <w:rPr>
          <w:rFonts w:hint="eastAsia" w:cs="Times New Roman"/>
          <w:color w:val="auto"/>
          <w:kern w:val="0"/>
          <w:sz w:val="24"/>
          <w:lang w:val="en-US" w:eastAsia="zh-CN"/>
        </w:rPr>
        <w:t>本项目220kV升压站</w:t>
      </w:r>
      <w:r>
        <w:rPr>
          <w:rFonts w:hint="eastAsia" w:ascii="Times New Roman" w:hAnsi="Times New Roman" w:eastAsia="宋体" w:cs="Times New Roman"/>
          <w:color w:val="auto"/>
          <w:kern w:val="0"/>
          <w:sz w:val="24"/>
          <w:lang w:val="en-US" w:eastAsia="zh-CN"/>
        </w:rPr>
        <w:t>投运后厂界及周围环境敏感目标的工频电场、工频磁场均分别满足《电磁环境控制限值》（GB8702-2014）4000V/m、100μT的控制限值。</w:t>
      </w:r>
    </w:p>
    <w:p w14:paraId="328B3A10">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b/>
          <w:color w:val="auto"/>
          <w:sz w:val="28"/>
          <w:szCs w:val="28"/>
          <w:lang w:val="en-US" w:eastAsia="zh-CN"/>
        </w:rPr>
      </w:pPr>
      <w:r>
        <w:rPr>
          <w:rFonts w:hint="eastAsia" w:ascii="Times New Roman" w:hAnsi="Times New Roman" w:eastAsia="宋体" w:cs="Times New Roman"/>
          <w:b/>
          <w:color w:val="auto"/>
          <w:sz w:val="28"/>
          <w:szCs w:val="28"/>
          <w:lang w:val="en-US" w:eastAsia="zh-CN"/>
        </w:rPr>
        <w:t>9.6电磁环境保护措施</w:t>
      </w:r>
    </w:p>
    <w:p w14:paraId="35F020DA">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（1）</w:t>
      </w:r>
      <w:r>
        <w:rPr>
          <w:rFonts w:hint="default" w:ascii="Times New Roman" w:hAnsi="Times New Roman" w:eastAsia="宋体" w:cs="Times New Roman"/>
          <w:color w:val="FF0000"/>
          <w:spacing w:val="-6"/>
          <w:sz w:val="24"/>
          <w:szCs w:val="24"/>
          <w:u w:val="none"/>
          <w:lang w:val="en-US" w:eastAsia="zh-CN"/>
        </w:rPr>
        <w:t>严格按照《35kV～220kV 无人值班变电站设计规程》（DL/T5103</w:t>
      </w:r>
      <w:r>
        <w:rPr>
          <w:rFonts w:hint="eastAsia" w:ascii="Times New Roman" w:hAnsi="Times New Roman" w:eastAsia="宋体" w:cs="Times New Roman"/>
          <w:color w:val="FF0000"/>
          <w:spacing w:val="-6"/>
          <w:sz w:val="24"/>
          <w:szCs w:val="24"/>
          <w:u w:val="none"/>
          <w:lang w:val="en-US" w:eastAsia="zh-CN"/>
        </w:rPr>
        <w:t>-</w:t>
      </w:r>
      <w:r>
        <w:rPr>
          <w:rFonts w:hint="default" w:ascii="Times New Roman" w:hAnsi="Times New Roman" w:eastAsia="宋体" w:cs="Times New Roman"/>
          <w:color w:val="FF0000"/>
          <w:spacing w:val="-6"/>
          <w:sz w:val="24"/>
          <w:szCs w:val="24"/>
          <w:u w:val="none"/>
          <w:lang w:val="en-US" w:eastAsia="zh-CN"/>
        </w:rPr>
        <w:t>2012）的要求选择电气设备，对高压一次设备采用均压措施。</w:t>
      </w:r>
    </w:p>
    <w:p w14:paraId="15903F5E">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（2）</w:t>
      </w:r>
      <w:r>
        <w:rPr>
          <w:rFonts w:hint="default" w:ascii="Times New Roman" w:hAnsi="Times New Roman" w:eastAsia="宋体" w:cs="Times New Roman"/>
          <w:color w:val="FF0000"/>
          <w:spacing w:val="-6"/>
          <w:sz w:val="24"/>
          <w:szCs w:val="24"/>
          <w:u w:val="none"/>
          <w:lang w:val="en-US" w:eastAsia="zh-CN"/>
        </w:rPr>
        <w:t>控制导体和电气设备安全距离，选用具有抗干扰能力的设备，设置防雷接地保护装置等；同时在升压站设备定货时，要求导线、母线、均压环、管母线终端球和其它金具等提高加工工艺，防止尖端放电和起电晕。</w:t>
      </w:r>
    </w:p>
    <w:p w14:paraId="415FE925">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（3）</w:t>
      </w:r>
      <w:r>
        <w:rPr>
          <w:rFonts w:hint="default" w:ascii="Times New Roman" w:hAnsi="Times New Roman" w:eastAsia="宋体" w:cs="Times New Roman"/>
          <w:color w:val="FF0000"/>
          <w:spacing w:val="-6"/>
          <w:sz w:val="24"/>
          <w:szCs w:val="24"/>
          <w:u w:val="none"/>
          <w:lang w:val="en-US" w:eastAsia="zh-CN"/>
        </w:rPr>
        <w:t>控制配电构架高度、对地和相间距离，控制设备间连线离地面的最低高度，确保 110kV升压站厂界工频电场强度水平符合标准。</w:t>
      </w:r>
    </w:p>
    <w:p w14:paraId="24735090">
      <w:pPr>
        <w:numPr>
          <w:ilvl w:val="0"/>
          <w:numId w:val="0"/>
        </w:numPr>
        <w:adjustRightInd w:val="0"/>
        <w:snapToGrid w:val="0"/>
        <w:spacing w:line="360" w:lineRule="auto"/>
        <w:ind w:firstLine="456" w:firstLineChars="200"/>
        <w:jc w:val="left"/>
        <w:rPr>
          <w:rFonts w:hint="default" w:ascii="Times New Roman" w:hAnsi="Times New Roman" w:eastAsia="宋体" w:cs="Times New Roman"/>
          <w:color w:val="FF0000"/>
          <w:spacing w:val="-6"/>
          <w:sz w:val="24"/>
          <w:szCs w:val="24"/>
          <w:u w:val="none"/>
          <w:lang w:val="en-US" w:eastAsia="zh-CN"/>
        </w:rPr>
      </w:pPr>
      <w:r>
        <w:rPr>
          <w:rFonts w:hint="eastAsia" w:ascii="Times New Roman" w:hAnsi="Times New Roman" w:eastAsia="宋体" w:cs="Times New Roman"/>
          <w:color w:val="FF0000"/>
          <w:spacing w:val="-6"/>
          <w:sz w:val="24"/>
          <w:szCs w:val="24"/>
          <w:u w:val="none"/>
          <w:lang w:val="en-US" w:eastAsia="zh-CN"/>
        </w:rPr>
        <w:t>（4）</w:t>
      </w:r>
      <w:r>
        <w:rPr>
          <w:rFonts w:hint="default" w:ascii="Times New Roman" w:hAnsi="Times New Roman" w:eastAsia="宋体" w:cs="Times New Roman"/>
          <w:color w:val="FF0000"/>
          <w:spacing w:val="-6"/>
          <w:sz w:val="24"/>
          <w:szCs w:val="24"/>
          <w:u w:val="none"/>
          <w:lang w:val="en-US" w:eastAsia="zh-CN"/>
        </w:rPr>
        <w:t>为避免运营期外来人员进入变电所附近、保证外来人员的生命安全，升压站四周设置</w:t>
      </w:r>
      <w:r>
        <w:rPr>
          <w:rFonts w:hint="eastAsia" w:ascii="Times New Roman" w:hAnsi="Times New Roman" w:eastAsia="宋体" w:cs="Times New Roman"/>
          <w:color w:val="FF0000"/>
          <w:spacing w:val="-6"/>
          <w:sz w:val="24"/>
          <w:szCs w:val="24"/>
          <w:u w:val="none"/>
          <w:lang w:val="en-US" w:eastAsia="zh-CN"/>
        </w:rPr>
        <w:t>了不低于2.5m</w:t>
      </w:r>
      <w:r>
        <w:rPr>
          <w:rFonts w:hint="default" w:ascii="Times New Roman" w:hAnsi="Times New Roman" w:eastAsia="宋体" w:cs="Times New Roman"/>
          <w:color w:val="FF0000"/>
          <w:spacing w:val="-6"/>
          <w:sz w:val="24"/>
          <w:szCs w:val="24"/>
          <w:u w:val="none"/>
          <w:lang w:val="en-US" w:eastAsia="zh-CN"/>
        </w:rPr>
        <w:t>高的实体围墙，围墙周围挂设警示标志，禁止外来人员进入变电站区域。</w:t>
      </w:r>
    </w:p>
    <w:p w14:paraId="5B4BCE1A">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b/>
          <w:color w:val="auto"/>
          <w:sz w:val="28"/>
          <w:szCs w:val="28"/>
          <w:lang w:val="en-US" w:eastAsia="zh-CN"/>
        </w:rPr>
      </w:pPr>
      <w:bookmarkStart w:id="333" w:name="_Toc26193"/>
      <w:bookmarkStart w:id="334" w:name="_Toc25255"/>
      <w:r>
        <w:rPr>
          <w:rFonts w:hint="eastAsia" w:ascii="Times New Roman" w:hAnsi="Times New Roman" w:eastAsia="宋体" w:cs="Times New Roman"/>
          <w:b/>
          <w:color w:val="auto"/>
          <w:sz w:val="28"/>
          <w:szCs w:val="28"/>
          <w:lang w:val="en-US" w:eastAsia="zh-CN"/>
        </w:rPr>
        <w:t>9.7</w:t>
      </w:r>
      <w:r>
        <w:rPr>
          <w:rFonts w:hint="default" w:ascii="Times New Roman" w:hAnsi="Times New Roman" w:eastAsia="宋体" w:cs="Times New Roman"/>
          <w:b/>
          <w:color w:val="auto"/>
          <w:sz w:val="28"/>
          <w:szCs w:val="28"/>
          <w:lang w:val="en-US" w:eastAsia="zh-CN"/>
        </w:rPr>
        <w:t>环境管理与监测计划</w:t>
      </w:r>
      <w:bookmarkEnd w:id="333"/>
      <w:bookmarkEnd w:id="334"/>
    </w:p>
    <w:p w14:paraId="40F84B2E">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35" w:name="_bookmark20"/>
      <w:bookmarkEnd w:id="335"/>
      <w:bookmarkStart w:id="336" w:name="6.1环境管理"/>
      <w:bookmarkEnd w:id="336"/>
      <w:bookmarkStart w:id="337" w:name="_bookmark20"/>
      <w:bookmarkEnd w:id="337"/>
      <w:bookmarkStart w:id="338" w:name="_Toc14221"/>
      <w:bookmarkStart w:id="339" w:name="_Toc6738"/>
      <w:r>
        <w:rPr>
          <w:rFonts w:hint="eastAsia" w:ascii="Times New Roman" w:hAnsi="Times New Roman" w:eastAsia="宋体" w:cs="Times New Roman"/>
          <w:color w:val="auto"/>
          <w:sz w:val="24"/>
          <w:szCs w:val="24"/>
          <w:lang w:val="en-US" w:eastAsia="zh-CN"/>
        </w:rPr>
        <w:t>9.7.1</w:t>
      </w:r>
      <w:r>
        <w:rPr>
          <w:rFonts w:hint="default" w:ascii="Times New Roman" w:hAnsi="Times New Roman" w:eastAsia="宋体" w:cs="Times New Roman"/>
          <w:color w:val="auto"/>
          <w:sz w:val="24"/>
          <w:szCs w:val="24"/>
          <w:lang w:val="en-US" w:eastAsia="zh-CN"/>
        </w:rPr>
        <w:t>环境管理</w:t>
      </w:r>
      <w:bookmarkEnd w:id="338"/>
      <w:bookmarkEnd w:id="339"/>
    </w:p>
    <w:p w14:paraId="791D0D78">
      <w:pPr>
        <w:pStyle w:val="106"/>
        <w:bidi w:val="0"/>
        <w:rPr>
          <w:rFonts w:hint="default" w:ascii="Times New Roman" w:hAnsi="Times New Roman" w:cs="Times New Roman"/>
          <w:color w:val="FF0000"/>
          <w:highlight w:val="none"/>
        </w:rPr>
      </w:pPr>
      <w:r>
        <w:rPr>
          <w:rFonts w:hint="eastAsia" w:cs="Times New Roman"/>
          <w:color w:val="FF0000"/>
          <w:highlight w:val="none"/>
          <w:lang w:val="en-US" w:eastAsia="zh-CN"/>
        </w:rPr>
        <w:t>本项目</w:t>
      </w:r>
      <w:r>
        <w:rPr>
          <w:rFonts w:hint="default" w:ascii="Times New Roman" w:hAnsi="Times New Roman" w:cs="Times New Roman"/>
          <w:color w:val="FF0000"/>
          <w:highlight w:val="none"/>
        </w:rPr>
        <w:t>环境管理的责任主体为</w:t>
      </w:r>
      <w:r>
        <w:rPr>
          <w:rFonts w:hint="eastAsia"/>
          <w:color w:val="FF0000"/>
          <w:sz w:val="24"/>
          <w:u w:val="none"/>
        </w:rPr>
        <w:t>耒阳国电投风力发电有限公司</w:t>
      </w:r>
      <w:r>
        <w:rPr>
          <w:rFonts w:hint="default" w:ascii="Times New Roman" w:hAnsi="Times New Roman" w:cs="Times New Roman"/>
          <w:color w:val="FF0000"/>
          <w:highlight w:val="none"/>
        </w:rPr>
        <w:t>，配备相关专业的专职或兼职人员，接受国家和地方环保部门的监督。</w:t>
      </w:r>
    </w:p>
    <w:p w14:paraId="597B8B93">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建设单位重点做好以下环境管理工作：</w:t>
      </w:r>
    </w:p>
    <w:p w14:paraId="1C396758">
      <w:pPr>
        <w:pStyle w:val="106"/>
        <w:numPr>
          <w:ilvl w:val="0"/>
          <w:numId w:val="0"/>
        </w:numPr>
        <w:bidi w:val="0"/>
        <w:ind w:firstLine="480" w:firstLineChars="200"/>
        <w:rPr>
          <w:rFonts w:hint="default" w:ascii="Times New Roman" w:hAnsi="Times New Roman" w:cs="Times New Roman"/>
          <w:color w:val="FF0000"/>
          <w:highlight w:val="none"/>
        </w:rPr>
      </w:pPr>
      <w:r>
        <w:rPr>
          <w:rFonts w:hint="default" w:ascii="Times New Roman" w:hAnsi="Times New Roman" w:eastAsia="宋体" w:cs="Times New Roman"/>
          <w:color w:val="FF0000"/>
          <w:kern w:val="2"/>
          <w:sz w:val="24"/>
          <w:szCs w:val="24"/>
          <w:lang w:val="en-US" w:eastAsia="zh-CN" w:bidi="ar-SA"/>
        </w:rPr>
        <w:t>（1）</w:t>
      </w:r>
      <w:r>
        <w:rPr>
          <w:rFonts w:hint="default" w:ascii="Times New Roman" w:hAnsi="Times New Roman" w:cs="Times New Roman"/>
          <w:color w:val="FF0000"/>
          <w:highlight w:val="none"/>
        </w:rPr>
        <w:t>加强环境监督与管理，监督环保措施的落实与实施；</w:t>
      </w:r>
    </w:p>
    <w:p w14:paraId="51850ED6">
      <w:pPr>
        <w:pStyle w:val="106"/>
        <w:numPr>
          <w:ilvl w:val="0"/>
          <w:numId w:val="0"/>
        </w:numPr>
        <w:bidi w:val="0"/>
        <w:ind w:firstLine="480" w:firstLineChars="200"/>
        <w:rPr>
          <w:rFonts w:hint="default" w:ascii="Times New Roman" w:hAnsi="Times New Roman" w:cs="Times New Roman"/>
          <w:color w:val="FF0000"/>
          <w:highlight w:val="none"/>
        </w:rPr>
      </w:pPr>
      <w:r>
        <w:rPr>
          <w:rFonts w:hint="eastAsia" w:cs="Times New Roman"/>
          <w:color w:val="FF0000"/>
          <w:highlight w:val="none"/>
          <w:lang w:eastAsia="zh-CN"/>
        </w:rPr>
        <w:t>（</w:t>
      </w:r>
      <w:r>
        <w:rPr>
          <w:rFonts w:hint="eastAsia" w:cs="Times New Roman"/>
          <w:color w:val="FF0000"/>
          <w:highlight w:val="none"/>
          <w:lang w:val="en-US" w:eastAsia="zh-CN"/>
        </w:rPr>
        <w:t>2</w:t>
      </w:r>
      <w:r>
        <w:rPr>
          <w:rFonts w:hint="eastAsia" w:cs="Times New Roman"/>
          <w:color w:val="FF0000"/>
          <w:highlight w:val="none"/>
          <w:lang w:eastAsia="zh-CN"/>
        </w:rPr>
        <w:t>）</w:t>
      </w:r>
      <w:r>
        <w:rPr>
          <w:rFonts w:hint="default" w:ascii="Times New Roman" w:hAnsi="Times New Roman" w:cs="Times New Roman"/>
          <w:color w:val="FF0000"/>
          <w:highlight w:val="none"/>
        </w:rPr>
        <w:t>建立环境保护目标责任制，并把环境保护纳入施工单位的承包合同中，监督、督促施工单位落实其环境保护义务。</w:t>
      </w:r>
    </w:p>
    <w:p w14:paraId="2682DFFF">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40" w:name="_bookmark21"/>
      <w:bookmarkEnd w:id="340"/>
      <w:bookmarkStart w:id="341" w:name="6.2环境监测"/>
      <w:bookmarkEnd w:id="341"/>
      <w:bookmarkStart w:id="342" w:name="_bookmark21"/>
      <w:bookmarkEnd w:id="342"/>
      <w:bookmarkStart w:id="343" w:name="_Toc20031"/>
      <w:bookmarkStart w:id="344" w:name="_Toc10250"/>
      <w:r>
        <w:rPr>
          <w:rFonts w:hint="eastAsia" w:ascii="Times New Roman" w:hAnsi="Times New Roman" w:eastAsia="宋体" w:cs="Times New Roman"/>
          <w:color w:val="auto"/>
          <w:sz w:val="24"/>
          <w:szCs w:val="24"/>
          <w:lang w:val="en-US" w:eastAsia="zh-CN"/>
        </w:rPr>
        <w:t>9.7.2</w:t>
      </w:r>
      <w:r>
        <w:rPr>
          <w:rFonts w:hint="default" w:ascii="Times New Roman" w:hAnsi="Times New Roman" w:eastAsia="宋体" w:cs="Times New Roman"/>
          <w:color w:val="auto"/>
          <w:sz w:val="24"/>
          <w:szCs w:val="24"/>
          <w:lang w:val="en-US" w:eastAsia="zh-CN"/>
        </w:rPr>
        <w:t>环境监测</w:t>
      </w:r>
      <w:bookmarkEnd w:id="343"/>
      <w:bookmarkEnd w:id="344"/>
    </w:p>
    <w:p w14:paraId="17AFE268">
      <w:pPr>
        <w:pStyle w:val="106"/>
        <w:bidi w:val="0"/>
        <w:rPr>
          <w:rFonts w:hint="default" w:ascii="Times New Roman" w:hAnsi="Times New Roman" w:cs="Times New Roman"/>
          <w:color w:val="FF0000"/>
          <w:highlight w:val="none"/>
        </w:rPr>
      </w:pPr>
      <w:r>
        <w:rPr>
          <w:rFonts w:hint="eastAsia" w:cs="Times New Roman"/>
          <w:color w:val="FF0000"/>
          <w:highlight w:val="none"/>
          <w:lang w:val="en-US" w:eastAsia="zh-CN"/>
        </w:rPr>
        <w:t>本项目升压站建设完成后，</w:t>
      </w:r>
      <w:r>
        <w:rPr>
          <w:rFonts w:hint="default" w:ascii="Times New Roman" w:hAnsi="Times New Roman" w:cs="Times New Roman"/>
          <w:color w:val="FF0000"/>
          <w:highlight w:val="none"/>
        </w:rPr>
        <w:t>竣工验收委托有资质的单位进行电磁环境监测。</w:t>
      </w:r>
    </w:p>
    <w:p w14:paraId="59644DA2">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监测点位：选择在升压站无出线或远离进出线（距离边导线地面投影不小于20m）的四侧围墙外5m布点监测。</w:t>
      </w:r>
    </w:p>
    <w:p w14:paraId="6AE67E4D">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监测指标：工频电场强度、工频磁感应强度。</w:t>
      </w:r>
    </w:p>
    <w:p w14:paraId="6841D487">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监测频率：运营期结合</w:t>
      </w:r>
      <w:r>
        <w:rPr>
          <w:rFonts w:hint="default" w:ascii="Times New Roman" w:hAnsi="Times New Roman" w:cs="Times New Roman"/>
          <w:color w:val="FF0000"/>
          <w:highlight w:val="none"/>
          <w:lang w:eastAsia="zh-CN"/>
        </w:rPr>
        <w:t>建设项目</w:t>
      </w:r>
      <w:r>
        <w:rPr>
          <w:rFonts w:hint="default" w:ascii="Times New Roman" w:hAnsi="Times New Roman" w:cs="Times New Roman"/>
          <w:color w:val="FF0000"/>
          <w:highlight w:val="none"/>
        </w:rPr>
        <w:t>竣工环境保护验收监测一次。</w:t>
      </w:r>
    </w:p>
    <w:p w14:paraId="6443D852">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Times New Roman" w:hAnsi="Times New Roman" w:eastAsia="宋体" w:cs="Times New Roman"/>
          <w:b/>
          <w:color w:val="auto"/>
          <w:sz w:val="28"/>
          <w:szCs w:val="28"/>
          <w:lang w:val="en-US" w:eastAsia="zh-CN"/>
        </w:rPr>
      </w:pPr>
      <w:bookmarkStart w:id="345" w:name="_Toc31353"/>
      <w:bookmarkStart w:id="346" w:name="_Toc5340"/>
      <w:r>
        <w:rPr>
          <w:rFonts w:hint="eastAsia" w:ascii="Times New Roman" w:hAnsi="Times New Roman" w:eastAsia="宋体" w:cs="Times New Roman"/>
          <w:b/>
          <w:color w:val="auto"/>
          <w:sz w:val="28"/>
          <w:szCs w:val="28"/>
          <w:lang w:val="en-US" w:eastAsia="zh-CN"/>
        </w:rPr>
        <w:t>9.8</w:t>
      </w:r>
      <w:r>
        <w:rPr>
          <w:rFonts w:hint="default" w:ascii="Times New Roman" w:hAnsi="Times New Roman" w:eastAsia="宋体" w:cs="Times New Roman"/>
          <w:b/>
          <w:color w:val="auto"/>
          <w:sz w:val="28"/>
          <w:szCs w:val="28"/>
          <w:lang w:val="en-US" w:eastAsia="zh-CN"/>
        </w:rPr>
        <w:t>结论与建议</w:t>
      </w:r>
      <w:bookmarkEnd w:id="345"/>
      <w:bookmarkEnd w:id="346"/>
    </w:p>
    <w:p w14:paraId="38B3B0FC">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47" w:name="_bookmark23"/>
      <w:bookmarkEnd w:id="347"/>
      <w:bookmarkStart w:id="348" w:name="7.1工程概况"/>
      <w:bookmarkEnd w:id="348"/>
      <w:bookmarkStart w:id="349" w:name="_bookmark23"/>
      <w:bookmarkEnd w:id="349"/>
      <w:bookmarkStart w:id="350" w:name="_Toc808"/>
      <w:bookmarkStart w:id="351" w:name="_Toc25417"/>
      <w:r>
        <w:rPr>
          <w:rFonts w:hint="eastAsia" w:ascii="Times New Roman" w:hAnsi="Times New Roman" w:eastAsia="宋体" w:cs="Times New Roman"/>
          <w:color w:val="auto"/>
          <w:sz w:val="24"/>
          <w:szCs w:val="24"/>
          <w:lang w:val="en-US" w:eastAsia="zh-CN"/>
        </w:rPr>
        <w:t>9.8.1</w:t>
      </w:r>
      <w:r>
        <w:rPr>
          <w:rFonts w:hint="default" w:ascii="Times New Roman" w:hAnsi="Times New Roman" w:eastAsia="宋体" w:cs="Times New Roman"/>
          <w:color w:val="auto"/>
          <w:sz w:val="24"/>
          <w:szCs w:val="24"/>
          <w:lang w:val="en-US" w:eastAsia="zh-CN"/>
        </w:rPr>
        <w:t>工程概况</w:t>
      </w:r>
      <w:bookmarkEnd w:id="350"/>
      <w:bookmarkEnd w:id="351"/>
    </w:p>
    <w:p w14:paraId="50EC4910">
      <w:pPr>
        <w:pStyle w:val="2"/>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FF0000"/>
          <w:kern w:val="2"/>
          <w:sz w:val="24"/>
          <w:szCs w:val="24"/>
          <w:highlight w:val="none"/>
          <w:lang w:val="en-US" w:eastAsia="zh-CN" w:bidi="ar-SA"/>
        </w:rPr>
      </w:pPr>
      <w:r>
        <w:rPr>
          <w:rFonts w:hint="eastAsia" w:ascii="Times New Roman" w:hAnsi="Times New Roman" w:cs="Times New Roman"/>
          <w:color w:val="FF0000"/>
          <w:sz w:val="24"/>
          <w:szCs w:val="24"/>
          <w:highlight w:val="none"/>
          <w:lang w:val="en-US" w:eastAsia="zh-CN"/>
        </w:rPr>
        <w:t>本项目拟配套建设一座220KV升压站，设置1台SZ18-180000/220、容量180MVA的主变压器（预留2#主变压器的建设用地）。站内主要建构筑物有综合楼、配电楼、控制楼以及附属用房，配套建设了无功补偿装置（SVG+FC）、主变事故油池（30m3）、独立避雷针、一体化污水处理装置等</w:t>
      </w:r>
      <w:r>
        <w:rPr>
          <w:rFonts w:hint="eastAsia" w:ascii="Times New Roman" w:hAnsi="Times New Roman" w:cs="Times New Roman"/>
          <w:color w:val="FF0000"/>
          <w:kern w:val="2"/>
          <w:sz w:val="24"/>
          <w:szCs w:val="24"/>
          <w:highlight w:val="none"/>
          <w:lang w:val="en-US" w:eastAsia="zh-CN" w:bidi="ar-SA"/>
        </w:rPr>
        <w:t>。</w:t>
      </w:r>
    </w:p>
    <w:p w14:paraId="61EC4FE8">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52" w:name="_bookmark24"/>
      <w:bookmarkEnd w:id="352"/>
      <w:bookmarkStart w:id="353" w:name="7.2电磁环境质量现状"/>
      <w:bookmarkEnd w:id="353"/>
      <w:bookmarkStart w:id="354" w:name="_bookmark24"/>
      <w:bookmarkEnd w:id="354"/>
      <w:bookmarkStart w:id="355" w:name="_Toc29924"/>
      <w:bookmarkStart w:id="356" w:name="_Toc26139"/>
      <w:r>
        <w:rPr>
          <w:rFonts w:hint="eastAsia" w:ascii="Times New Roman" w:hAnsi="Times New Roman" w:eastAsia="宋体" w:cs="Times New Roman"/>
          <w:color w:val="auto"/>
          <w:sz w:val="24"/>
          <w:szCs w:val="24"/>
          <w:lang w:val="en-US" w:eastAsia="zh-CN"/>
        </w:rPr>
        <w:t>9.8.2</w:t>
      </w:r>
      <w:r>
        <w:rPr>
          <w:rFonts w:hint="default" w:ascii="Times New Roman" w:hAnsi="Times New Roman" w:eastAsia="宋体" w:cs="Times New Roman"/>
          <w:color w:val="auto"/>
          <w:sz w:val="24"/>
          <w:szCs w:val="24"/>
          <w:lang w:val="en-US" w:eastAsia="zh-CN"/>
        </w:rPr>
        <w:t>电磁环境质量现状</w:t>
      </w:r>
      <w:bookmarkEnd w:id="355"/>
      <w:bookmarkEnd w:id="356"/>
    </w:p>
    <w:p w14:paraId="5F1F5DB6">
      <w:pPr>
        <w:pStyle w:val="106"/>
        <w:bidi w:val="0"/>
        <w:rPr>
          <w:rFonts w:hint="default" w:ascii="Times New Roman" w:hAnsi="Times New Roman" w:cs="Times New Roman"/>
          <w:color w:val="FF0000"/>
          <w:highlight w:val="none"/>
        </w:rPr>
      </w:pPr>
      <w:r>
        <w:rPr>
          <w:rFonts w:hint="eastAsia" w:cs="Times New Roman"/>
          <w:color w:val="FF0000"/>
          <w:highlight w:val="none"/>
          <w:lang w:val="en-US" w:eastAsia="zh-CN"/>
        </w:rPr>
        <w:t>根据现状监测，升压站所在区域的</w:t>
      </w:r>
      <w:r>
        <w:rPr>
          <w:rFonts w:hint="default" w:ascii="Times New Roman" w:hAnsi="Times New Roman" w:cs="Times New Roman"/>
          <w:color w:val="FF0000"/>
          <w:highlight w:val="none"/>
        </w:rPr>
        <w:t>电磁环境质量现状监测结果满足《电磁环境控制限值》（GB8702-2014）中频率为50Hz公众曝露控制限值</w:t>
      </w:r>
      <w:r>
        <w:rPr>
          <w:rFonts w:hint="eastAsia" w:ascii="Times New Roman" w:hAnsi="Times New Roman" w:cs="Times New Roman"/>
          <w:color w:val="FF0000"/>
          <w:highlight w:val="none"/>
          <w:lang w:eastAsia="zh-CN"/>
        </w:rPr>
        <w:t>：</w:t>
      </w:r>
      <w:r>
        <w:rPr>
          <w:rFonts w:hint="default" w:ascii="Times New Roman" w:hAnsi="Times New Roman" w:cs="Times New Roman"/>
          <w:color w:val="FF0000"/>
          <w:highlight w:val="none"/>
        </w:rPr>
        <w:t>工频电场强度4000V/m、工频磁感应强度100μT的要求。</w:t>
      </w:r>
    </w:p>
    <w:p w14:paraId="0A7B4860">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57" w:name="7.3电磁环境影响分析结论"/>
      <w:bookmarkEnd w:id="357"/>
      <w:bookmarkStart w:id="358" w:name="_bookmark25"/>
      <w:bookmarkEnd w:id="358"/>
      <w:bookmarkStart w:id="359" w:name="_bookmark25"/>
      <w:bookmarkEnd w:id="359"/>
      <w:bookmarkStart w:id="360" w:name="_Toc3953"/>
      <w:bookmarkStart w:id="361" w:name="_Toc24161"/>
      <w:r>
        <w:rPr>
          <w:rFonts w:hint="eastAsia" w:ascii="Times New Roman" w:hAnsi="Times New Roman" w:eastAsia="宋体" w:cs="Times New Roman"/>
          <w:color w:val="auto"/>
          <w:sz w:val="24"/>
          <w:szCs w:val="24"/>
          <w:lang w:val="en-US" w:eastAsia="zh-CN"/>
        </w:rPr>
        <w:t>9.8.3</w:t>
      </w:r>
      <w:r>
        <w:rPr>
          <w:rFonts w:hint="default" w:ascii="Times New Roman" w:hAnsi="Times New Roman" w:eastAsia="宋体" w:cs="Times New Roman"/>
          <w:color w:val="auto"/>
          <w:sz w:val="24"/>
          <w:szCs w:val="24"/>
          <w:lang w:val="en-US" w:eastAsia="zh-CN"/>
        </w:rPr>
        <w:t>电磁环境影响分析结论</w:t>
      </w:r>
      <w:bookmarkEnd w:id="360"/>
      <w:bookmarkEnd w:id="361"/>
    </w:p>
    <w:p w14:paraId="468094BA">
      <w:pPr>
        <w:pStyle w:val="106"/>
        <w:bidi w:val="0"/>
        <w:rPr>
          <w:rFonts w:hint="default" w:ascii="Times New Roman" w:hAnsi="Times New Roman" w:cs="Times New Roman"/>
          <w:color w:val="FF0000"/>
          <w:highlight w:val="none"/>
        </w:rPr>
      </w:pPr>
      <w:r>
        <w:rPr>
          <w:rFonts w:hint="default" w:ascii="Times New Roman" w:hAnsi="Times New Roman" w:cs="Times New Roman"/>
          <w:color w:val="FF0000"/>
          <w:highlight w:val="none"/>
        </w:rPr>
        <w:t>电磁环境影响预测采用类比</w:t>
      </w:r>
      <w:r>
        <w:rPr>
          <w:rFonts w:hint="eastAsia" w:cs="Times New Roman"/>
          <w:color w:val="FF0000"/>
          <w:highlight w:val="none"/>
          <w:lang w:val="en-US" w:eastAsia="zh-CN"/>
        </w:rPr>
        <w:t>分析</w:t>
      </w:r>
      <w:r>
        <w:rPr>
          <w:rFonts w:hint="default" w:ascii="Times New Roman" w:hAnsi="Times New Roman" w:cs="Times New Roman"/>
          <w:color w:val="FF0000"/>
          <w:highlight w:val="none"/>
        </w:rPr>
        <w:t>的方式进行。</w:t>
      </w:r>
      <w:r>
        <w:rPr>
          <w:rFonts w:hint="eastAsia" w:cs="Times New Roman"/>
          <w:color w:val="FF0000"/>
          <w:highlight w:val="none"/>
          <w:lang w:val="en-US" w:eastAsia="zh-CN"/>
        </w:rPr>
        <w:t>经类比分析可得，</w:t>
      </w:r>
      <w:r>
        <w:rPr>
          <w:rFonts w:hint="default" w:ascii="Times New Roman" w:hAnsi="Times New Roman" w:cs="Times New Roman"/>
          <w:color w:val="FF0000"/>
          <w:highlight w:val="none"/>
        </w:rPr>
        <w:t>本项目建成后厂界工频电场强度、工频磁感应强度均满足《电磁环境控制限值》(GB8702-2014)中频率为 50Hz公众曝露控制限值4000V/m、100μT的要求。</w:t>
      </w:r>
    </w:p>
    <w:p w14:paraId="5DCD70B4">
      <w:pPr>
        <w:pStyle w:val="6"/>
        <w:keepNext/>
        <w:keepLines/>
        <w:pageBreakBefore w:val="0"/>
        <w:widowControl w:val="0"/>
        <w:kinsoku/>
        <w:wordWrap/>
        <w:overflowPunct/>
        <w:topLinePunct w:val="0"/>
        <w:autoSpaceDE/>
        <w:autoSpaceDN/>
        <w:bidi w:val="0"/>
        <w:adjustRightInd/>
        <w:snapToGrid/>
        <w:spacing w:before="0" w:beforeAutospacing="0" w:after="0" w:afterAutospacing="0" w:line="360" w:lineRule="auto"/>
        <w:textAlignment w:val="auto"/>
        <w:rPr>
          <w:rFonts w:hint="default" w:ascii="Times New Roman" w:hAnsi="Times New Roman" w:eastAsia="宋体" w:cs="Times New Roman"/>
          <w:color w:val="auto"/>
          <w:sz w:val="24"/>
          <w:szCs w:val="24"/>
          <w:lang w:val="en-US" w:eastAsia="zh-CN"/>
        </w:rPr>
      </w:pPr>
      <w:bookmarkStart w:id="362" w:name="_Toc18479"/>
      <w:r>
        <w:rPr>
          <w:rFonts w:hint="eastAsia" w:ascii="Times New Roman" w:hAnsi="Times New Roman" w:eastAsia="宋体" w:cs="Times New Roman"/>
          <w:color w:val="auto"/>
          <w:sz w:val="24"/>
          <w:szCs w:val="24"/>
          <w:lang w:val="en-US" w:eastAsia="zh-CN"/>
        </w:rPr>
        <w:t>9.8.4</w:t>
      </w:r>
      <w:r>
        <w:rPr>
          <w:rFonts w:hint="default" w:ascii="Times New Roman" w:hAnsi="Times New Roman" w:eastAsia="宋体" w:cs="Times New Roman"/>
          <w:color w:val="auto"/>
          <w:sz w:val="24"/>
          <w:szCs w:val="24"/>
          <w:lang w:val="en-US" w:eastAsia="zh-CN"/>
        </w:rPr>
        <w:t>建议</w:t>
      </w:r>
      <w:bookmarkEnd w:id="362"/>
    </w:p>
    <w:p w14:paraId="5CA156AB">
      <w:pPr>
        <w:pStyle w:val="106"/>
        <w:spacing w:line="360" w:lineRule="auto"/>
        <w:ind w:firstLine="0"/>
        <w:rPr>
          <w:rFonts w:hint="default" w:ascii="Times New Roman" w:hAnsi="Times New Roman" w:cs="Times New Roman"/>
          <w:color w:val="FF0000"/>
          <w:highlight w:val="none"/>
        </w:rPr>
      </w:pPr>
      <w:r>
        <w:rPr>
          <w:rFonts w:hint="default" w:ascii="Times New Roman" w:hAnsi="Times New Roman" w:cs="Times New Roman"/>
          <w:color w:val="FF0000"/>
          <w:highlight w:val="none"/>
        </w:rPr>
        <w:t>建设单位应充分理解公众对电磁环境影响的担心，及时进行科学宣传和客观解释，积极妥善地处理好各类公众意见，避免有关纠纷事件的发生</w:t>
      </w:r>
      <w:r>
        <w:rPr>
          <w:rFonts w:hint="default" w:ascii="Times New Roman" w:hAnsi="Times New Roman" w:cs="Times New Roman"/>
          <w:color w:val="FF0000"/>
          <w:highlight w:val="none"/>
          <w:lang w:eastAsia="zh-CN"/>
        </w:rPr>
        <w:t>。</w:t>
      </w:r>
    </w:p>
    <w:p w14:paraId="0AF9502F">
      <w:pPr>
        <w:numPr>
          <w:ilvl w:val="0"/>
          <w:numId w:val="0"/>
        </w:numPr>
        <w:rPr>
          <w:rFonts w:hint="default"/>
          <w:lang w:val="en-US" w:eastAsia="zh-CN"/>
        </w:rPr>
      </w:pPr>
    </w:p>
    <w:p w14:paraId="7BC3D6AD">
      <w:pPr>
        <w:numPr>
          <w:ilvl w:val="0"/>
          <w:numId w:val="0"/>
        </w:numPr>
        <w:rPr>
          <w:rFonts w:hint="default"/>
          <w:lang w:val="en-US" w:eastAsia="zh-CN"/>
        </w:rPr>
      </w:pPr>
    </w:p>
    <w:sectPr>
      <w:headerReference r:id="rId7" w:type="default"/>
      <w:footerReference r:id="rId8" w:type="default"/>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华文楷体">
    <w:altName w:val="宋体"/>
    <w:panose1 w:val="02010600040101010101"/>
    <w:charset w:val="86"/>
    <w:family w:val="auto"/>
    <w:pitch w:val="default"/>
    <w:sig w:usb0="00000000" w:usb1="00000000" w:usb2="00000000" w:usb3="00000000" w:csb0="00160000" w:csb1="00000000"/>
  </w:font>
  <w:font w:name="Microsoft JhengHei">
    <w:panose1 w:val="020B0604030504040204"/>
    <w:charset w:val="88"/>
    <w:family w:val="swiss"/>
    <w:pitch w:val="default"/>
    <w:sig w:usb0="000002A7" w:usb1="28CF4400" w:usb2="00000016" w:usb3="00000000" w:csb0="00100009" w:csb1="00000000"/>
  </w:font>
  <w:font w:name="Arial Black">
    <w:panose1 w:val="020B0A04020102020204"/>
    <w:charset w:val="00"/>
    <w:family w:val="auto"/>
    <w:pitch w:val="default"/>
    <w:sig w:usb0="A00002AF" w:usb1="400078FB" w:usb2="00000000" w:usb3="00000000" w:csb0="6000009F" w:csb1="DFD70000"/>
  </w:font>
  <w:font w:name="KSOFE44F9426">
    <w:panose1 w:val="02010609060101010101"/>
    <w:charset w:val="86"/>
    <w:family w:val="auto"/>
    <w:pitch w:val="default"/>
    <w:sig w:usb0="00000001" w:usb1="00000000" w:usb2="00000000" w:usb3="00000000" w:csb0="00040001"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4B7364">
    <w:pPr>
      <w:pStyle w:val="2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CDFB5D">
    <w:pPr>
      <w:pStyle w:val="21"/>
      <w:framePr w:wrap="around" w:vAnchor="text" w:hAnchor="margin" w:xAlign="center" w:y="1"/>
      <w:rPr>
        <w:rStyle w:val="36"/>
      </w:rPr>
    </w:pPr>
    <w:r>
      <w:fldChar w:fldCharType="begin"/>
    </w:r>
    <w:r>
      <w:rPr>
        <w:rStyle w:val="36"/>
      </w:rPr>
      <w:instrText xml:space="preserve">PAGE  </w:instrText>
    </w:r>
    <w:r>
      <w:fldChar w:fldCharType="separate"/>
    </w:r>
    <w:r>
      <w:rPr>
        <w:rStyle w:val="36"/>
      </w:rPr>
      <w:t>3</w:t>
    </w:r>
    <w:r>
      <w:fldChar w:fldCharType="end"/>
    </w:r>
  </w:p>
  <w:p w14:paraId="4C6F6D69">
    <w:pPr>
      <w:pStyle w:val="2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8496019"/>
      <w:docPartObj>
        <w:docPartGallery w:val="autotext"/>
      </w:docPartObj>
    </w:sdtPr>
    <w:sdtContent>
      <w:p w14:paraId="1584A473">
        <w:pPr>
          <w:pStyle w:val="21"/>
          <w:jc w:val="center"/>
        </w:pPr>
        <w:r>
          <w:fldChar w:fldCharType="begin"/>
        </w:r>
        <w:r>
          <w:instrText xml:space="preserve">PAGE   \* MERGEFORMAT</w:instrText>
        </w:r>
        <w:r>
          <w:fldChar w:fldCharType="separate"/>
        </w:r>
        <w:r>
          <w:rPr>
            <w:lang w:val="zh-CN"/>
          </w:rPr>
          <w:t>2</w:t>
        </w:r>
        <w:r>
          <w:fldChar w:fldCharType="end"/>
        </w:r>
      </w:p>
    </w:sdtContent>
  </w:sdt>
  <w:p w14:paraId="641C785E">
    <w:pPr>
      <w:pStyle w:val="21"/>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54384172"/>
      <w:docPartObj>
        <w:docPartGallery w:val="autotext"/>
      </w:docPartObj>
    </w:sdtPr>
    <w:sdtContent>
      <w:p w14:paraId="3C7A6DAF">
        <w:pPr>
          <w:pStyle w:val="21"/>
          <w:jc w:val="center"/>
        </w:pPr>
        <w:r>
          <w:fldChar w:fldCharType="begin"/>
        </w:r>
        <w:r>
          <w:instrText xml:space="preserve">PAGE   \* MERGEFORMAT</w:instrText>
        </w:r>
        <w:r>
          <w:fldChar w:fldCharType="separate"/>
        </w:r>
        <w:r>
          <w:rPr>
            <w:lang w:val="zh-CN"/>
          </w:rPr>
          <w:t>2</w:t>
        </w:r>
        <w:r>
          <w:fldChar w:fldCharType="end"/>
        </w:r>
      </w:p>
    </w:sdtContent>
  </w:sdt>
  <w:p w14:paraId="5E483C3F">
    <w:pPr>
      <w:pStyle w:val="21"/>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ADC40">
    <w:pPr>
      <w:pStyle w:val="21"/>
      <w:jc w:val="center"/>
    </w:pPr>
    <w:r>
      <w:fldChar w:fldCharType="begin"/>
    </w:r>
    <w:r>
      <w:instrText xml:space="preserve">PAGE   \* MERGEFORMAT</w:instrText>
    </w:r>
    <w:r>
      <w:fldChar w:fldCharType="separate"/>
    </w:r>
    <w:r>
      <w:rPr>
        <w:lang w:val="zh-CN"/>
      </w:rPr>
      <w:t>110</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EFFFB6">
    <w:pPr>
      <w:kinsoku w:val="0"/>
      <w:overflowPunct w:val="0"/>
      <w:spacing w:line="14" w:lineRule="auto"/>
      <w:ind w:firstLine="400" w:firstLineChars="200"/>
      <w:rPr>
        <w:rFonts w:ascii="Arial Black" w:hAnsi="Arial Black"/>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6F145A"/>
    <w:multiLevelType w:val="multilevel"/>
    <w:tmpl w:val="C06F145A"/>
    <w:lvl w:ilvl="0" w:tentative="0">
      <w:start w:val="1"/>
      <w:numFmt w:val="decimal"/>
      <w:pStyle w:val="107"/>
      <w:isLgl/>
      <w:lvlText w:val="%1."/>
      <w:lvlJc w:val="left"/>
      <w:pPr>
        <w:tabs>
          <w:tab w:val="left" w:pos="0"/>
        </w:tabs>
        <w:ind w:left="0" w:leftChars="0" w:firstLine="0" w:firstLineChars="0"/>
      </w:pPr>
      <w:rPr>
        <w:rFonts w:hint="default" w:ascii="Times New Roman" w:hAnsi="Times New Roman" w:eastAsia="宋体" w:cs="宋体"/>
      </w:rPr>
    </w:lvl>
    <w:lvl w:ilvl="1" w:tentative="0">
      <w:start w:val="1"/>
      <w:numFmt w:val="decimal"/>
      <w:pStyle w:val="108"/>
      <w:lvlText w:val="%1.%2."/>
      <w:lvlJc w:val="left"/>
      <w:pPr>
        <w:ind w:left="567" w:hanging="567"/>
      </w:pPr>
      <w:rPr>
        <w:rFonts w:hint="default" w:ascii="Times New Roman" w:hAnsi="Times New Roman" w:eastAsia="宋体" w:cs="宋体"/>
      </w:rPr>
    </w:lvl>
    <w:lvl w:ilvl="2" w:tentative="0">
      <w:start w:val="1"/>
      <w:numFmt w:val="decimal"/>
      <w:lvlText w:val="%1.%2.%3."/>
      <w:lvlJc w:val="left"/>
      <w:pPr>
        <w:ind w:left="709" w:hanging="709"/>
      </w:pPr>
      <w:rPr>
        <w:rFonts w:hint="default" w:ascii="Times New Roman" w:hAnsi="Times New Roman" w:eastAsia="宋体" w:cs="宋体"/>
      </w:rPr>
    </w:lvl>
    <w:lvl w:ilvl="3" w:tentative="0">
      <w:start w:val="1"/>
      <w:numFmt w:val="decimal"/>
      <w:lvlText w:val="%1.%2.%3.%4."/>
      <w:lvlJc w:val="left"/>
      <w:pPr>
        <w:ind w:left="850" w:hanging="850"/>
      </w:pPr>
      <w:rPr>
        <w:rFonts w:hint="default" w:ascii="宋体" w:hAnsi="宋体" w:eastAsia="宋体" w:cs="宋体"/>
      </w:rPr>
    </w:lvl>
    <w:lvl w:ilvl="4" w:tentative="0">
      <w:start w:val="1"/>
      <w:numFmt w:val="decimal"/>
      <w:lvlText w:val="%1.%2.%3.%4.%5."/>
      <w:lvlJc w:val="left"/>
      <w:pPr>
        <w:ind w:left="991" w:hanging="991"/>
      </w:pPr>
      <w:rPr>
        <w:rFonts w:hint="default" w:ascii="宋体" w:hAnsi="宋体" w:eastAsia="宋体" w:cs="宋体"/>
      </w:rPr>
    </w:lvl>
    <w:lvl w:ilvl="5" w:tentative="0">
      <w:start w:val="1"/>
      <w:numFmt w:val="decimal"/>
      <w:lvlText w:val="%1.%2.%3.%4.%5.%6."/>
      <w:lvlJc w:val="left"/>
      <w:pPr>
        <w:ind w:left="1134" w:hanging="1134"/>
      </w:pPr>
      <w:rPr>
        <w:rFonts w:hint="default" w:ascii="宋体" w:hAnsi="宋体" w:eastAsia="宋体" w:cs="宋体"/>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6F94D7D"/>
    <w:multiLevelType w:val="singleLevel"/>
    <w:tmpl w:val="D6F94D7D"/>
    <w:lvl w:ilvl="0" w:tentative="0">
      <w:start w:val="1"/>
      <w:numFmt w:val="decimal"/>
      <w:suff w:val="nothing"/>
      <w:lvlText w:val="（%1）"/>
      <w:lvlJc w:val="left"/>
    </w:lvl>
  </w:abstractNum>
  <w:abstractNum w:abstractNumId="2">
    <w:nsid w:val="FFFFFF80"/>
    <w:multiLevelType w:val="singleLevel"/>
    <w:tmpl w:val="FFFFFF80"/>
    <w:lvl w:ilvl="0" w:tentative="0">
      <w:start w:val="1"/>
      <w:numFmt w:val="bullet"/>
      <w:pStyle w:val="19"/>
      <w:lvlText w:val=""/>
      <w:lvlJc w:val="left"/>
      <w:pPr>
        <w:tabs>
          <w:tab w:val="left" w:pos="2040"/>
        </w:tabs>
        <w:ind w:left="2040" w:leftChars="800" w:hanging="360" w:hangingChars="200"/>
      </w:pPr>
      <w:rPr>
        <w:rFonts w:hint="default" w:ascii="Wingdings" w:hAnsi="Wingdings"/>
      </w:rPr>
    </w:lvl>
  </w:abstractNum>
  <w:abstractNum w:abstractNumId="3">
    <w:nsid w:val="2E06BE0B"/>
    <w:multiLevelType w:val="singleLevel"/>
    <w:tmpl w:val="2E06BE0B"/>
    <w:lvl w:ilvl="0" w:tentative="0">
      <w:start w:val="1"/>
      <w:numFmt w:val="decimal"/>
      <w:suff w:val="nothing"/>
      <w:lvlText w:val="（%1）"/>
      <w:lvlJc w:val="left"/>
    </w:lvl>
  </w:abstractNum>
  <w:abstractNum w:abstractNumId="4">
    <w:nsid w:val="3D0452B5"/>
    <w:multiLevelType w:val="multilevel"/>
    <w:tmpl w:val="3D0452B5"/>
    <w:lvl w:ilvl="0" w:tentative="0">
      <w:start w:val="1"/>
      <w:numFmt w:val="decimal"/>
      <w:pStyle w:val="3"/>
      <w:lvlText w:val="%1"/>
      <w:lvlJc w:val="left"/>
      <w:pPr>
        <w:tabs>
          <w:tab w:val="left" w:pos="432"/>
        </w:tabs>
        <w:ind w:left="432" w:hanging="432"/>
      </w:pPr>
      <w:rPr>
        <w:rFonts w:hint="eastAsia"/>
      </w:rPr>
    </w:lvl>
    <w:lvl w:ilvl="1" w:tentative="0">
      <w:start w:val="1"/>
      <w:numFmt w:val="decimal"/>
      <w:pStyle w:val="5"/>
      <w:lvlText w:val="%1.%2"/>
      <w:lvlJc w:val="left"/>
      <w:pPr>
        <w:tabs>
          <w:tab w:val="left" w:pos="720"/>
        </w:tabs>
        <w:ind w:left="397" w:hanging="397"/>
      </w:pPr>
      <w:rPr>
        <w:rFonts w:hint="eastAsia" w:eastAsia="仿宋_GB2312"/>
      </w:rPr>
    </w:lvl>
    <w:lvl w:ilvl="2" w:tentative="0">
      <w:start w:val="1"/>
      <w:numFmt w:val="decimal"/>
      <w:lvlText w:val="%1.%2.%3"/>
      <w:lvlJc w:val="left"/>
      <w:rPr>
        <w:rFonts w:hint="default" w:ascii="Times New Roman" w:hAnsi="Times New Roman" w:eastAsia="宋体" w:cs="仿宋_GB2312"/>
        <w:b/>
        <w:bCs/>
        <w:i w:val="0"/>
        <w:iCs w:val="0"/>
        <w:caps w:val="0"/>
        <w:smallCaps w:val="0"/>
        <w:strike w:val="0"/>
        <w:dstrike w:val="0"/>
        <w:color w:val="000000"/>
        <w:spacing w:val="0"/>
        <w:w w:val="100"/>
        <w:kern w:val="2"/>
        <w:position w:val="0"/>
        <w:sz w:val="28"/>
        <w:szCs w:val="28"/>
        <w:u w:val="none"/>
        <w:shd w:val="clear" w:color="auto" w:fill="auto"/>
        <w:lang w:val="en-US" w:eastAsia="zh-CN" w:bidi="ar-SA"/>
        <w14:shadow w14:blurRad="0" w14:dist="0" w14:dir="0" w14:sx="0" w14:sy="0" w14:kx="0" w14:ky="0" w14:algn="none">
          <w14:srgbClr w14:val="000000"/>
        </w14:shadow>
      </w:rPr>
    </w:lvl>
    <w:lvl w:ilvl="3" w:tentative="0">
      <w:start w:val="1"/>
      <w:numFmt w:val="decimal"/>
      <w:pStyle w:val="7"/>
      <w:lvlText w:val="%1.%2.%3.%4"/>
      <w:lvlJc w:val="left"/>
      <w:pPr>
        <w:tabs>
          <w:tab w:val="left" w:pos="964"/>
        </w:tabs>
        <w:ind w:left="964" w:hanging="9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4D8228B1"/>
    <w:multiLevelType w:val="singleLevel"/>
    <w:tmpl w:val="4D8228B1"/>
    <w:lvl w:ilvl="0" w:tentative="0">
      <w:start w:val="9"/>
      <w:numFmt w:val="chineseCounting"/>
      <w:suff w:val="nothing"/>
      <w:lvlText w:val="%1、"/>
      <w:lvlJc w:val="left"/>
      <w:rPr>
        <w:rFonts w:hint="eastAsia"/>
      </w:rPr>
    </w:lvl>
  </w:abstractNum>
  <w:num w:numId="1">
    <w:abstractNumId w:val="4"/>
  </w:num>
  <w:num w:numId="2">
    <w:abstractNumId w:val="2"/>
  </w:num>
  <w:num w:numId="3">
    <w:abstractNumId w:val="0"/>
  </w:num>
  <w:num w:numId="4">
    <w:abstractNumId w:val="1"/>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ZlNGIwZmI4ZTFmN2U2MzBlYTUxMzQyY2VkMWEwOWQifQ=="/>
  </w:docVars>
  <w:rsids>
    <w:rsidRoot w:val="00172A27"/>
    <w:rsid w:val="0000257B"/>
    <w:rsid w:val="00005B68"/>
    <w:rsid w:val="000109B9"/>
    <w:rsid w:val="00011DCE"/>
    <w:rsid w:val="0001681A"/>
    <w:rsid w:val="000204DA"/>
    <w:rsid w:val="0002127A"/>
    <w:rsid w:val="00030909"/>
    <w:rsid w:val="00030D08"/>
    <w:rsid w:val="00030EB4"/>
    <w:rsid w:val="00033BBC"/>
    <w:rsid w:val="0003495D"/>
    <w:rsid w:val="00036AC3"/>
    <w:rsid w:val="0003749C"/>
    <w:rsid w:val="00040CD1"/>
    <w:rsid w:val="0004264B"/>
    <w:rsid w:val="00042D17"/>
    <w:rsid w:val="00046AA3"/>
    <w:rsid w:val="00051C13"/>
    <w:rsid w:val="000548FE"/>
    <w:rsid w:val="00054A60"/>
    <w:rsid w:val="00054B94"/>
    <w:rsid w:val="000569FB"/>
    <w:rsid w:val="00057ACA"/>
    <w:rsid w:val="00061893"/>
    <w:rsid w:val="000634C3"/>
    <w:rsid w:val="00066A27"/>
    <w:rsid w:val="0006728A"/>
    <w:rsid w:val="00067869"/>
    <w:rsid w:val="000712A6"/>
    <w:rsid w:val="0007235C"/>
    <w:rsid w:val="00080A28"/>
    <w:rsid w:val="00081254"/>
    <w:rsid w:val="00087AC9"/>
    <w:rsid w:val="00091DF1"/>
    <w:rsid w:val="000A2193"/>
    <w:rsid w:val="000A573A"/>
    <w:rsid w:val="000A6958"/>
    <w:rsid w:val="000B0475"/>
    <w:rsid w:val="000B17AE"/>
    <w:rsid w:val="000B221D"/>
    <w:rsid w:val="000B5C6D"/>
    <w:rsid w:val="000C27D7"/>
    <w:rsid w:val="000C5426"/>
    <w:rsid w:val="000C6272"/>
    <w:rsid w:val="000D17C2"/>
    <w:rsid w:val="000D638C"/>
    <w:rsid w:val="000E191E"/>
    <w:rsid w:val="000E2F6D"/>
    <w:rsid w:val="000E3FE7"/>
    <w:rsid w:val="000E4A0B"/>
    <w:rsid w:val="000E78B3"/>
    <w:rsid w:val="000F0268"/>
    <w:rsid w:val="000F1810"/>
    <w:rsid w:val="000F33B6"/>
    <w:rsid w:val="000F48AA"/>
    <w:rsid w:val="000F5C3D"/>
    <w:rsid w:val="00101796"/>
    <w:rsid w:val="001066E5"/>
    <w:rsid w:val="001106C5"/>
    <w:rsid w:val="00110A23"/>
    <w:rsid w:val="00114135"/>
    <w:rsid w:val="00116270"/>
    <w:rsid w:val="001173D9"/>
    <w:rsid w:val="0012442E"/>
    <w:rsid w:val="00127CDD"/>
    <w:rsid w:val="001322B4"/>
    <w:rsid w:val="0013596F"/>
    <w:rsid w:val="00140570"/>
    <w:rsid w:val="0014095A"/>
    <w:rsid w:val="00141345"/>
    <w:rsid w:val="00145E22"/>
    <w:rsid w:val="0015366F"/>
    <w:rsid w:val="00155DEB"/>
    <w:rsid w:val="00156A39"/>
    <w:rsid w:val="00156D52"/>
    <w:rsid w:val="001636F4"/>
    <w:rsid w:val="001647EA"/>
    <w:rsid w:val="00167AE5"/>
    <w:rsid w:val="00172285"/>
    <w:rsid w:val="00172A27"/>
    <w:rsid w:val="00175463"/>
    <w:rsid w:val="001758AC"/>
    <w:rsid w:val="0018209F"/>
    <w:rsid w:val="001831DC"/>
    <w:rsid w:val="00184868"/>
    <w:rsid w:val="00184960"/>
    <w:rsid w:val="00184B44"/>
    <w:rsid w:val="0019144E"/>
    <w:rsid w:val="0019314E"/>
    <w:rsid w:val="0019459D"/>
    <w:rsid w:val="00197A18"/>
    <w:rsid w:val="001A17B0"/>
    <w:rsid w:val="001A495D"/>
    <w:rsid w:val="001A6D9D"/>
    <w:rsid w:val="001B01CB"/>
    <w:rsid w:val="001B0FB1"/>
    <w:rsid w:val="001B1231"/>
    <w:rsid w:val="001B286F"/>
    <w:rsid w:val="001B5128"/>
    <w:rsid w:val="001C0726"/>
    <w:rsid w:val="001C5353"/>
    <w:rsid w:val="001D35C4"/>
    <w:rsid w:val="001D5708"/>
    <w:rsid w:val="001F07A5"/>
    <w:rsid w:val="001F0FEA"/>
    <w:rsid w:val="001F1954"/>
    <w:rsid w:val="001F21A8"/>
    <w:rsid w:val="001F398E"/>
    <w:rsid w:val="001F64D2"/>
    <w:rsid w:val="001F7C81"/>
    <w:rsid w:val="002000AF"/>
    <w:rsid w:val="002048FF"/>
    <w:rsid w:val="00204A1F"/>
    <w:rsid w:val="002107CC"/>
    <w:rsid w:val="00214A45"/>
    <w:rsid w:val="00217BB8"/>
    <w:rsid w:val="00221128"/>
    <w:rsid w:val="00221C36"/>
    <w:rsid w:val="0023076A"/>
    <w:rsid w:val="002331F0"/>
    <w:rsid w:val="00233A56"/>
    <w:rsid w:val="00233C15"/>
    <w:rsid w:val="002353E3"/>
    <w:rsid w:val="002363CD"/>
    <w:rsid w:val="00236B93"/>
    <w:rsid w:val="0023737A"/>
    <w:rsid w:val="0023762C"/>
    <w:rsid w:val="00241B16"/>
    <w:rsid w:val="00246819"/>
    <w:rsid w:val="00263EFD"/>
    <w:rsid w:val="00264D2C"/>
    <w:rsid w:val="00270270"/>
    <w:rsid w:val="00272714"/>
    <w:rsid w:val="00284D79"/>
    <w:rsid w:val="00286110"/>
    <w:rsid w:val="00292E20"/>
    <w:rsid w:val="00294AD2"/>
    <w:rsid w:val="00294DC7"/>
    <w:rsid w:val="0029775D"/>
    <w:rsid w:val="002A10A5"/>
    <w:rsid w:val="002A1F4C"/>
    <w:rsid w:val="002A2A6D"/>
    <w:rsid w:val="002A34D9"/>
    <w:rsid w:val="002A7193"/>
    <w:rsid w:val="002B0DD9"/>
    <w:rsid w:val="002B52E0"/>
    <w:rsid w:val="002B595A"/>
    <w:rsid w:val="002B7A61"/>
    <w:rsid w:val="002C034A"/>
    <w:rsid w:val="002C5061"/>
    <w:rsid w:val="002D1DE4"/>
    <w:rsid w:val="002D25F9"/>
    <w:rsid w:val="002E1BC3"/>
    <w:rsid w:val="002E5C7B"/>
    <w:rsid w:val="002E6DF8"/>
    <w:rsid w:val="002E6F29"/>
    <w:rsid w:val="002F78B1"/>
    <w:rsid w:val="00300887"/>
    <w:rsid w:val="00302E1B"/>
    <w:rsid w:val="00312130"/>
    <w:rsid w:val="0031223D"/>
    <w:rsid w:val="0031679F"/>
    <w:rsid w:val="0031697C"/>
    <w:rsid w:val="0032167C"/>
    <w:rsid w:val="003221ED"/>
    <w:rsid w:val="0032360A"/>
    <w:rsid w:val="00324C21"/>
    <w:rsid w:val="00326E29"/>
    <w:rsid w:val="0032741A"/>
    <w:rsid w:val="0033049F"/>
    <w:rsid w:val="00332E41"/>
    <w:rsid w:val="0033509B"/>
    <w:rsid w:val="00336728"/>
    <w:rsid w:val="00347AF7"/>
    <w:rsid w:val="00350E47"/>
    <w:rsid w:val="003560D4"/>
    <w:rsid w:val="00357738"/>
    <w:rsid w:val="00357C53"/>
    <w:rsid w:val="00360B61"/>
    <w:rsid w:val="00360C8F"/>
    <w:rsid w:val="0036710A"/>
    <w:rsid w:val="003768C2"/>
    <w:rsid w:val="0038131F"/>
    <w:rsid w:val="003844E2"/>
    <w:rsid w:val="003849DD"/>
    <w:rsid w:val="00386E81"/>
    <w:rsid w:val="00392EC8"/>
    <w:rsid w:val="003A0CBF"/>
    <w:rsid w:val="003A211E"/>
    <w:rsid w:val="003A2AF5"/>
    <w:rsid w:val="003A2C6B"/>
    <w:rsid w:val="003A377C"/>
    <w:rsid w:val="003A3B51"/>
    <w:rsid w:val="003A5E3D"/>
    <w:rsid w:val="003A60AC"/>
    <w:rsid w:val="003A7A83"/>
    <w:rsid w:val="003B0666"/>
    <w:rsid w:val="003B13BA"/>
    <w:rsid w:val="003B21EB"/>
    <w:rsid w:val="003B7D94"/>
    <w:rsid w:val="003C0377"/>
    <w:rsid w:val="003C3EAD"/>
    <w:rsid w:val="003C4F98"/>
    <w:rsid w:val="003C594A"/>
    <w:rsid w:val="003D0624"/>
    <w:rsid w:val="003D06B8"/>
    <w:rsid w:val="003D3D2F"/>
    <w:rsid w:val="003D4E86"/>
    <w:rsid w:val="003E0105"/>
    <w:rsid w:val="003E26C1"/>
    <w:rsid w:val="003E2C42"/>
    <w:rsid w:val="003E2E8C"/>
    <w:rsid w:val="003E6572"/>
    <w:rsid w:val="003F360A"/>
    <w:rsid w:val="003F4B04"/>
    <w:rsid w:val="003F7E10"/>
    <w:rsid w:val="00402688"/>
    <w:rsid w:val="004052C8"/>
    <w:rsid w:val="0041513D"/>
    <w:rsid w:val="00422273"/>
    <w:rsid w:val="004246AC"/>
    <w:rsid w:val="004250E1"/>
    <w:rsid w:val="00426942"/>
    <w:rsid w:val="00431FB6"/>
    <w:rsid w:val="004333C4"/>
    <w:rsid w:val="004333D4"/>
    <w:rsid w:val="004347B8"/>
    <w:rsid w:val="00434FDF"/>
    <w:rsid w:val="00441F1B"/>
    <w:rsid w:val="00444530"/>
    <w:rsid w:val="00444893"/>
    <w:rsid w:val="00456B18"/>
    <w:rsid w:val="00457A36"/>
    <w:rsid w:val="00461F00"/>
    <w:rsid w:val="00464177"/>
    <w:rsid w:val="00464DB0"/>
    <w:rsid w:val="00466A92"/>
    <w:rsid w:val="004768CA"/>
    <w:rsid w:val="00476B4B"/>
    <w:rsid w:val="004808B4"/>
    <w:rsid w:val="00482236"/>
    <w:rsid w:val="00487393"/>
    <w:rsid w:val="004920C1"/>
    <w:rsid w:val="00492700"/>
    <w:rsid w:val="00494F19"/>
    <w:rsid w:val="00496B96"/>
    <w:rsid w:val="00497F34"/>
    <w:rsid w:val="004B1E7D"/>
    <w:rsid w:val="004B41B4"/>
    <w:rsid w:val="004C1E37"/>
    <w:rsid w:val="004C52D6"/>
    <w:rsid w:val="004C6A13"/>
    <w:rsid w:val="004D62A0"/>
    <w:rsid w:val="004E1679"/>
    <w:rsid w:val="004E1C73"/>
    <w:rsid w:val="004E347B"/>
    <w:rsid w:val="004E44B2"/>
    <w:rsid w:val="004E44F8"/>
    <w:rsid w:val="004E4561"/>
    <w:rsid w:val="004E6580"/>
    <w:rsid w:val="004E6D01"/>
    <w:rsid w:val="004F1BE5"/>
    <w:rsid w:val="004F3CD2"/>
    <w:rsid w:val="004F6D3B"/>
    <w:rsid w:val="00500A2E"/>
    <w:rsid w:val="00510D7C"/>
    <w:rsid w:val="00512C34"/>
    <w:rsid w:val="00512D6A"/>
    <w:rsid w:val="00515901"/>
    <w:rsid w:val="00515C33"/>
    <w:rsid w:val="0052054C"/>
    <w:rsid w:val="005212C8"/>
    <w:rsid w:val="005216D4"/>
    <w:rsid w:val="00521D74"/>
    <w:rsid w:val="00522D24"/>
    <w:rsid w:val="00523613"/>
    <w:rsid w:val="00524A57"/>
    <w:rsid w:val="0053027E"/>
    <w:rsid w:val="005322BD"/>
    <w:rsid w:val="0053560A"/>
    <w:rsid w:val="0053560B"/>
    <w:rsid w:val="005435BB"/>
    <w:rsid w:val="00552928"/>
    <w:rsid w:val="0055545B"/>
    <w:rsid w:val="0056161F"/>
    <w:rsid w:val="00564A0D"/>
    <w:rsid w:val="005675D0"/>
    <w:rsid w:val="00570E94"/>
    <w:rsid w:val="00580972"/>
    <w:rsid w:val="00587C72"/>
    <w:rsid w:val="00590C32"/>
    <w:rsid w:val="00591B68"/>
    <w:rsid w:val="005920BD"/>
    <w:rsid w:val="00595B7C"/>
    <w:rsid w:val="005963CB"/>
    <w:rsid w:val="005974C9"/>
    <w:rsid w:val="005A5B5A"/>
    <w:rsid w:val="005A657F"/>
    <w:rsid w:val="005B00FA"/>
    <w:rsid w:val="005B106F"/>
    <w:rsid w:val="005B28D6"/>
    <w:rsid w:val="005B4FD9"/>
    <w:rsid w:val="005B6603"/>
    <w:rsid w:val="005C0FEE"/>
    <w:rsid w:val="005C1B17"/>
    <w:rsid w:val="005C7512"/>
    <w:rsid w:val="005D4607"/>
    <w:rsid w:val="005D53FE"/>
    <w:rsid w:val="005E1B5F"/>
    <w:rsid w:val="005E5D16"/>
    <w:rsid w:val="005E69C1"/>
    <w:rsid w:val="005F56C3"/>
    <w:rsid w:val="005F5C0F"/>
    <w:rsid w:val="005F6CA9"/>
    <w:rsid w:val="006001FD"/>
    <w:rsid w:val="00601F15"/>
    <w:rsid w:val="006060D1"/>
    <w:rsid w:val="006062C9"/>
    <w:rsid w:val="006202F9"/>
    <w:rsid w:val="006227F0"/>
    <w:rsid w:val="006276C1"/>
    <w:rsid w:val="00632C1F"/>
    <w:rsid w:val="0063698A"/>
    <w:rsid w:val="00637E21"/>
    <w:rsid w:val="00640626"/>
    <w:rsid w:val="006478D3"/>
    <w:rsid w:val="00664106"/>
    <w:rsid w:val="00664435"/>
    <w:rsid w:val="0066616B"/>
    <w:rsid w:val="00666C3F"/>
    <w:rsid w:val="0066795E"/>
    <w:rsid w:val="00671910"/>
    <w:rsid w:val="00671B52"/>
    <w:rsid w:val="00681253"/>
    <w:rsid w:val="00682641"/>
    <w:rsid w:val="00682848"/>
    <w:rsid w:val="006849ED"/>
    <w:rsid w:val="006A1B96"/>
    <w:rsid w:val="006B0A78"/>
    <w:rsid w:val="006B3127"/>
    <w:rsid w:val="006B5EE0"/>
    <w:rsid w:val="006C20D3"/>
    <w:rsid w:val="006C4AD0"/>
    <w:rsid w:val="006C5176"/>
    <w:rsid w:val="006D7C1F"/>
    <w:rsid w:val="006E67AC"/>
    <w:rsid w:val="006F1F76"/>
    <w:rsid w:val="006F4D26"/>
    <w:rsid w:val="0070340E"/>
    <w:rsid w:val="007044A8"/>
    <w:rsid w:val="007057BB"/>
    <w:rsid w:val="00717170"/>
    <w:rsid w:val="0072549B"/>
    <w:rsid w:val="0073184B"/>
    <w:rsid w:val="00731BE6"/>
    <w:rsid w:val="00731EE2"/>
    <w:rsid w:val="0073214C"/>
    <w:rsid w:val="00733807"/>
    <w:rsid w:val="00733BDF"/>
    <w:rsid w:val="00736823"/>
    <w:rsid w:val="0073777A"/>
    <w:rsid w:val="0074316C"/>
    <w:rsid w:val="00750F8C"/>
    <w:rsid w:val="007536BC"/>
    <w:rsid w:val="0075392E"/>
    <w:rsid w:val="00760C64"/>
    <w:rsid w:val="00761FC0"/>
    <w:rsid w:val="0076780F"/>
    <w:rsid w:val="007706A1"/>
    <w:rsid w:val="00770BD6"/>
    <w:rsid w:val="00776FDD"/>
    <w:rsid w:val="00777953"/>
    <w:rsid w:val="00782204"/>
    <w:rsid w:val="007840A4"/>
    <w:rsid w:val="00790BD9"/>
    <w:rsid w:val="00790E31"/>
    <w:rsid w:val="00792299"/>
    <w:rsid w:val="00796AA1"/>
    <w:rsid w:val="007973B5"/>
    <w:rsid w:val="007A1000"/>
    <w:rsid w:val="007A1A15"/>
    <w:rsid w:val="007A3D92"/>
    <w:rsid w:val="007A3E91"/>
    <w:rsid w:val="007A7787"/>
    <w:rsid w:val="007B02C1"/>
    <w:rsid w:val="007B0B70"/>
    <w:rsid w:val="007B2B0B"/>
    <w:rsid w:val="007B3B3A"/>
    <w:rsid w:val="007B6EB9"/>
    <w:rsid w:val="007C2175"/>
    <w:rsid w:val="007C3168"/>
    <w:rsid w:val="007C6B00"/>
    <w:rsid w:val="007C75F4"/>
    <w:rsid w:val="007C7C77"/>
    <w:rsid w:val="007D2CE3"/>
    <w:rsid w:val="007D63D7"/>
    <w:rsid w:val="007D651B"/>
    <w:rsid w:val="007D678F"/>
    <w:rsid w:val="007E0784"/>
    <w:rsid w:val="007E33E1"/>
    <w:rsid w:val="007E7C13"/>
    <w:rsid w:val="007F1061"/>
    <w:rsid w:val="0080068A"/>
    <w:rsid w:val="00805158"/>
    <w:rsid w:val="00807D0E"/>
    <w:rsid w:val="00810D64"/>
    <w:rsid w:val="0081562E"/>
    <w:rsid w:val="00815C5F"/>
    <w:rsid w:val="00816B6E"/>
    <w:rsid w:val="0082159C"/>
    <w:rsid w:val="00822E29"/>
    <w:rsid w:val="008255DB"/>
    <w:rsid w:val="008256E3"/>
    <w:rsid w:val="00826321"/>
    <w:rsid w:val="00831D01"/>
    <w:rsid w:val="00831EFD"/>
    <w:rsid w:val="00834358"/>
    <w:rsid w:val="0083541F"/>
    <w:rsid w:val="00836D63"/>
    <w:rsid w:val="00842DEE"/>
    <w:rsid w:val="008443E3"/>
    <w:rsid w:val="0085105B"/>
    <w:rsid w:val="00851F2F"/>
    <w:rsid w:val="00854332"/>
    <w:rsid w:val="0085730F"/>
    <w:rsid w:val="00860E06"/>
    <w:rsid w:val="0086112D"/>
    <w:rsid w:val="0086267A"/>
    <w:rsid w:val="00862ACA"/>
    <w:rsid w:val="008634A5"/>
    <w:rsid w:val="008658E9"/>
    <w:rsid w:val="00865CFB"/>
    <w:rsid w:val="00866FD1"/>
    <w:rsid w:val="0087068A"/>
    <w:rsid w:val="008717F2"/>
    <w:rsid w:val="00871858"/>
    <w:rsid w:val="00873CF7"/>
    <w:rsid w:val="0087517E"/>
    <w:rsid w:val="00875B55"/>
    <w:rsid w:val="00881E1A"/>
    <w:rsid w:val="008820E0"/>
    <w:rsid w:val="00884A82"/>
    <w:rsid w:val="00891253"/>
    <w:rsid w:val="00891F26"/>
    <w:rsid w:val="008A1742"/>
    <w:rsid w:val="008A3CF6"/>
    <w:rsid w:val="008A44C9"/>
    <w:rsid w:val="008B4FD1"/>
    <w:rsid w:val="008B5934"/>
    <w:rsid w:val="008C131A"/>
    <w:rsid w:val="008C1D70"/>
    <w:rsid w:val="008D0BAB"/>
    <w:rsid w:val="008D68E3"/>
    <w:rsid w:val="008D748A"/>
    <w:rsid w:val="008D7D0C"/>
    <w:rsid w:val="008E0449"/>
    <w:rsid w:val="008E063C"/>
    <w:rsid w:val="008E1CAE"/>
    <w:rsid w:val="008E7F20"/>
    <w:rsid w:val="008F0116"/>
    <w:rsid w:val="008F0F7B"/>
    <w:rsid w:val="008F4726"/>
    <w:rsid w:val="008F6480"/>
    <w:rsid w:val="00902835"/>
    <w:rsid w:val="00906D2E"/>
    <w:rsid w:val="00906EB0"/>
    <w:rsid w:val="00910BE1"/>
    <w:rsid w:val="00911E51"/>
    <w:rsid w:val="00913E71"/>
    <w:rsid w:val="009155B8"/>
    <w:rsid w:val="00920845"/>
    <w:rsid w:val="00925971"/>
    <w:rsid w:val="009305E4"/>
    <w:rsid w:val="009327E7"/>
    <w:rsid w:val="0095147F"/>
    <w:rsid w:val="00951492"/>
    <w:rsid w:val="009516E5"/>
    <w:rsid w:val="00955B95"/>
    <w:rsid w:val="00957BAE"/>
    <w:rsid w:val="0096228A"/>
    <w:rsid w:val="009622C1"/>
    <w:rsid w:val="0096696B"/>
    <w:rsid w:val="0096724E"/>
    <w:rsid w:val="00973CA9"/>
    <w:rsid w:val="00974499"/>
    <w:rsid w:val="00974613"/>
    <w:rsid w:val="00974DCC"/>
    <w:rsid w:val="00977631"/>
    <w:rsid w:val="0099161D"/>
    <w:rsid w:val="00997E46"/>
    <w:rsid w:val="009A2F22"/>
    <w:rsid w:val="009A3967"/>
    <w:rsid w:val="009A5D4A"/>
    <w:rsid w:val="009B10D0"/>
    <w:rsid w:val="009B241E"/>
    <w:rsid w:val="009B2476"/>
    <w:rsid w:val="009B326E"/>
    <w:rsid w:val="009C3935"/>
    <w:rsid w:val="009C45E8"/>
    <w:rsid w:val="009C6231"/>
    <w:rsid w:val="009D0398"/>
    <w:rsid w:val="009D2A8C"/>
    <w:rsid w:val="009D2DD3"/>
    <w:rsid w:val="009E0F43"/>
    <w:rsid w:val="009E47E3"/>
    <w:rsid w:val="009F1FD4"/>
    <w:rsid w:val="009F7BD2"/>
    <w:rsid w:val="00A023EA"/>
    <w:rsid w:val="00A06A74"/>
    <w:rsid w:val="00A0701F"/>
    <w:rsid w:val="00A149D2"/>
    <w:rsid w:val="00A15872"/>
    <w:rsid w:val="00A160ED"/>
    <w:rsid w:val="00A17F6B"/>
    <w:rsid w:val="00A202B8"/>
    <w:rsid w:val="00A22BD1"/>
    <w:rsid w:val="00A250F5"/>
    <w:rsid w:val="00A26626"/>
    <w:rsid w:val="00A31CF1"/>
    <w:rsid w:val="00A32C1E"/>
    <w:rsid w:val="00A33141"/>
    <w:rsid w:val="00A35200"/>
    <w:rsid w:val="00A3799F"/>
    <w:rsid w:val="00A42D38"/>
    <w:rsid w:val="00A43D4E"/>
    <w:rsid w:val="00A57379"/>
    <w:rsid w:val="00A6400A"/>
    <w:rsid w:val="00A65C2C"/>
    <w:rsid w:val="00A7233E"/>
    <w:rsid w:val="00A80950"/>
    <w:rsid w:val="00A928EB"/>
    <w:rsid w:val="00A940A5"/>
    <w:rsid w:val="00A9455B"/>
    <w:rsid w:val="00A94924"/>
    <w:rsid w:val="00AA553E"/>
    <w:rsid w:val="00AA79E0"/>
    <w:rsid w:val="00AA7BA3"/>
    <w:rsid w:val="00AB09CF"/>
    <w:rsid w:val="00AC00F2"/>
    <w:rsid w:val="00AC13BB"/>
    <w:rsid w:val="00AC2751"/>
    <w:rsid w:val="00AC2C1A"/>
    <w:rsid w:val="00AC4332"/>
    <w:rsid w:val="00AC54A3"/>
    <w:rsid w:val="00AC7CAE"/>
    <w:rsid w:val="00AD1504"/>
    <w:rsid w:val="00AD1618"/>
    <w:rsid w:val="00AD2699"/>
    <w:rsid w:val="00AD73A7"/>
    <w:rsid w:val="00AE406E"/>
    <w:rsid w:val="00AE4589"/>
    <w:rsid w:val="00AE5B3A"/>
    <w:rsid w:val="00AF2529"/>
    <w:rsid w:val="00AF2BDA"/>
    <w:rsid w:val="00AF6B26"/>
    <w:rsid w:val="00AF71C7"/>
    <w:rsid w:val="00B00FCF"/>
    <w:rsid w:val="00B07E76"/>
    <w:rsid w:val="00B113A5"/>
    <w:rsid w:val="00B12ADE"/>
    <w:rsid w:val="00B24B1B"/>
    <w:rsid w:val="00B24C03"/>
    <w:rsid w:val="00B26ED5"/>
    <w:rsid w:val="00B33A29"/>
    <w:rsid w:val="00B33AAA"/>
    <w:rsid w:val="00B34840"/>
    <w:rsid w:val="00B43399"/>
    <w:rsid w:val="00B440B2"/>
    <w:rsid w:val="00B4462C"/>
    <w:rsid w:val="00B46E4D"/>
    <w:rsid w:val="00B51363"/>
    <w:rsid w:val="00B515E0"/>
    <w:rsid w:val="00B53B93"/>
    <w:rsid w:val="00B61205"/>
    <w:rsid w:val="00B66524"/>
    <w:rsid w:val="00B67447"/>
    <w:rsid w:val="00B70643"/>
    <w:rsid w:val="00B72939"/>
    <w:rsid w:val="00B7528B"/>
    <w:rsid w:val="00B77DCD"/>
    <w:rsid w:val="00B80F54"/>
    <w:rsid w:val="00B8161A"/>
    <w:rsid w:val="00B819F3"/>
    <w:rsid w:val="00B8541C"/>
    <w:rsid w:val="00B90789"/>
    <w:rsid w:val="00B94621"/>
    <w:rsid w:val="00B97069"/>
    <w:rsid w:val="00B97394"/>
    <w:rsid w:val="00BA257A"/>
    <w:rsid w:val="00BA6F3E"/>
    <w:rsid w:val="00BC078F"/>
    <w:rsid w:val="00BC3037"/>
    <w:rsid w:val="00BD01BD"/>
    <w:rsid w:val="00BD28E0"/>
    <w:rsid w:val="00BD2D09"/>
    <w:rsid w:val="00BD575E"/>
    <w:rsid w:val="00BD6A3A"/>
    <w:rsid w:val="00BE1CC0"/>
    <w:rsid w:val="00BE2062"/>
    <w:rsid w:val="00BE3C8C"/>
    <w:rsid w:val="00BE3E69"/>
    <w:rsid w:val="00BE4F01"/>
    <w:rsid w:val="00BE6886"/>
    <w:rsid w:val="00BF3A65"/>
    <w:rsid w:val="00BF7D7A"/>
    <w:rsid w:val="00C01AF6"/>
    <w:rsid w:val="00C01E6A"/>
    <w:rsid w:val="00C03F59"/>
    <w:rsid w:val="00C1034E"/>
    <w:rsid w:val="00C10C28"/>
    <w:rsid w:val="00C13223"/>
    <w:rsid w:val="00C142CF"/>
    <w:rsid w:val="00C15E06"/>
    <w:rsid w:val="00C21B9A"/>
    <w:rsid w:val="00C226B6"/>
    <w:rsid w:val="00C2328B"/>
    <w:rsid w:val="00C237F4"/>
    <w:rsid w:val="00C245D7"/>
    <w:rsid w:val="00C24B00"/>
    <w:rsid w:val="00C262CC"/>
    <w:rsid w:val="00C26671"/>
    <w:rsid w:val="00C278EA"/>
    <w:rsid w:val="00C31C69"/>
    <w:rsid w:val="00C406D8"/>
    <w:rsid w:val="00C4138A"/>
    <w:rsid w:val="00C521F2"/>
    <w:rsid w:val="00C53E49"/>
    <w:rsid w:val="00C6381C"/>
    <w:rsid w:val="00C65459"/>
    <w:rsid w:val="00C7118B"/>
    <w:rsid w:val="00C725E4"/>
    <w:rsid w:val="00C750BA"/>
    <w:rsid w:val="00C7591B"/>
    <w:rsid w:val="00C75B80"/>
    <w:rsid w:val="00C813A7"/>
    <w:rsid w:val="00C83218"/>
    <w:rsid w:val="00C8481F"/>
    <w:rsid w:val="00C85DEF"/>
    <w:rsid w:val="00C910B2"/>
    <w:rsid w:val="00C931D9"/>
    <w:rsid w:val="00C93D70"/>
    <w:rsid w:val="00C954EE"/>
    <w:rsid w:val="00C966CA"/>
    <w:rsid w:val="00C9770B"/>
    <w:rsid w:val="00CA3842"/>
    <w:rsid w:val="00CA7706"/>
    <w:rsid w:val="00CB203B"/>
    <w:rsid w:val="00CB2992"/>
    <w:rsid w:val="00CB38DC"/>
    <w:rsid w:val="00CB5D27"/>
    <w:rsid w:val="00CD210B"/>
    <w:rsid w:val="00CD2A07"/>
    <w:rsid w:val="00CD3477"/>
    <w:rsid w:val="00CD5666"/>
    <w:rsid w:val="00CE2725"/>
    <w:rsid w:val="00CE68F7"/>
    <w:rsid w:val="00CF0952"/>
    <w:rsid w:val="00CF258B"/>
    <w:rsid w:val="00CF63ED"/>
    <w:rsid w:val="00CF72E5"/>
    <w:rsid w:val="00CF7D70"/>
    <w:rsid w:val="00D06F8E"/>
    <w:rsid w:val="00D11D50"/>
    <w:rsid w:val="00D1337F"/>
    <w:rsid w:val="00D13A8C"/>
    <w:rsid w:val="00D13AAD"/>
    <w:rsid w:val="00D14048"/>
    <w:rsid w:val="00D14DF0"/>
    <w:rsid w:val="00D15A18"/>
    <w:rsid w:val="00D241C7"/>
    <w:rsid w:val="00D2426F"/>
    <w:rsid w:val="00D25656"/>
    <w:rsid w:val="00D31633"/>
    <w:rsid w:val="00D3164D"/>
    <w:rsid w:val="00D3400C"/>
    <w:rsid w:val="00D365B9"/>
    <w:rsid w:val="00D41248"/>
    <w:rsid w:val="00D46DB3"/>
    <w:rsid w:val="00D474EA"/>
    <w:rsid w:val="00D5189A"/>
    <w:rsid w:val="00D51F7F"/>
    <w:rsid w:val="00D5221A"/>
    <w:rsid w:val="00D52334"/>
    <w:rsid w:val="00D54120"/>
    <w:rsid w:val="00D54870"/>
    <w:rsid w:val="00D54E7F"/>
    <w:rsid w:val="00D5775A"/>
    <w:rsid w:val="00D60043"/>
    <w:rsid w:val="00D602BF"/>
    <w:rsid w:val="00D63DE6"/>
    <w:rsid w:val="00D659F8"/>
    <w:rsid w:val="00D67787"/>
    <w:rsid w:val="00D71956"/>
    <w:rsid w:val="00D7550E"/>
    <w:rsid w:val="00D75860"/>
    <w:rsid w:val="00D828F2"/>
    <w:rsid w:val="00D82924"/>
    <w:rsid w:val="00D85288"/>
    <w:rsid w:val="00D92A99"/>
    <w:rsid w:val="00D935B2"/>
    <w:rsid w:val="00D9750D"/>
    <w:rsid w:val="00DA28ED"/>
    <w:rsid w:val="00DA426B"/>
    <w:rsid w:val="00DA4E38"/>
    <w:rsid w:val="00DA65E5"/>
    <w:rsid w:val="00DB410E"/>
    <w:rsid w:val="00DB58CD"/>
    <w:rsid w:val="00DB5E2C"/>
    <w:rsid w:val="00DC0268"/>
    <w:rsid w:val="00DC1187"/>
    <w:rsid w:val="00DC19CB"/>
    <w:rsid w:val="00DC775B"/>
    <w:rsid w:val="00DC7B11"/>
    <w:rsid w:val="00DD1FE9"/>
    <w:rsid w:val="00DD2F70"/>
    <w:rsid w:val="00DD5D1E"/>
    <w:rsid w:val="00DE1239"/>
    <w:rsid w:val="00DE34B3"/>
    <w:rsid w:val="00DE37BF"/>
    <w:rsid w:val="00DE3A26"/>
    <w:rsid w:val="00DE454D"/>
    <w:rsid w:val="00DE4B65"/>
    <w:rsid w:val="00DE75A4"/>
    <w:rsid w:val="00DF343A"/>
    <w:rsid w:val="00DF5089"/>
    <w:rsid w:val="00DF76D6"/>
    <w:rsid w:val="00E0216D"/>
    <w:rsid w:val="00E02810"/>
    <w:rsid w:val="00E02EA8"/>
    <w:rsid w:val="00E02FC7"/>
    <w:rsid w:val="00E07D8A"/>
    <w:rsid w:val="00E14B37"/>
    <w:rsid w:val="00E173D7"/>
    <w:rsid w:val="00E26FB7"/>
    <w:rsid w:val="00E275D5"/>
    <w:rsid w:val="00E31542"/>
    <w:rsid w:val="00E31644"/>
    <w:rsid w:val="00E35F9F"/>
    <w:rsid w:val="00E372BA"/>
    <w:rsid w:val="00E37826"/>
    <w:rsid w:val="00E4217E"/>
    <w:rsid w:val="00E44843"/>
    <w:rsid w:val="00E47B4A"/>
    <w:rsid w:val="00E50EA8"/>
    <w:rsid w:val="00E52A22"/>
    <w:rsid w:val="00E54049"/>
    <w:rsid w:val="00E57436"/>
    <w:rsid w:val="00E65F8E"/>
    <w:rsid w:val="00E67E30"/>
    <w:rsid w:val="00E77A46"/>
    <w:rsid w:val="00E90A9A"/>
    <w:rsid w:val="00E96A50"/>
    <w:rsid w:val="00E96B10"/>
    <w:rsid w:val="00EA3BF6"/>
    <w:rsid w:val="00EA447A"/>
    <w:rsid w:val="00EA4B4A"/>
    <w:rsid w:val="00EB2BC8"/>
    <w:rsid w:val="00EC13FE"/>
    <w:rsid w:val="00EC36DF"/>
    <w:rsid w:val="00EC4E94"/>
    <w:rsid w:val="00ED25AE"/>
    <w:rsid w:val="00ED39F3"/>
    <w:rsid w:val="00EE1BB3"/>
    <w:rsid w:val="00EE3178"/>
    <w:rsid w:val="00EE4A04"/>
    <w:rsid w:val="00EF2F4E"/>
    <w:rsid w:val="00EF4FEE"/>
    <w:rsid w:val="00EF5DCB"/>
    <w:rsid w:val="00EF6292"/>
    <w:rsid w:val="00F005F7"/>
    <w:rsid w:val="00F00812"/>
    <w:rsid w:val="00F01A59"/>
    <w:rsid w:val="00F0599C"/>
    <w:rsid w:val="00F1187F"/>
    <w:rsid w:val="00F13395"/>
    <w:rsid w:val="00F16B9D"/>
    <w:rsid w:val="00F17D06"/>
    <w:rsid w:val="00F20AC7"/>
    <w:rsid w:val="00F2260B"/>
    <w:rsid w:val="00F22773"/>
    <w:rsid w:val="00F27A77"/>
    <w:rsid w:val="00F35119"/>
    <w:rsid w:val="00F35629"/>
    <w:rsid w:val="00F35F7C"/>
    <w:rsid w:val="00F362AA"/>
    <w:rsid w:val="00F4060D"/>
    <w:rsid w:val="00F426E4"/>
    <w:rsid w:val="00F44E54"/>
    <w:rsid w:val="00F45873"/>
    <w:rsid w:val="00F532E9"/>
    <w:rsid w:val="00F64E83"/>
    <w:rsid w:val="00F71120"/>
    <w:rsid w:val="00F74C0F"/>
    <w:rsid w:val="00F81438"/>
    <w:rsid w:val="00F83DC2"/>
    <w:rsid w:val="00F84640"/>
    <w:rsid w:val="00F90325"/>
    <w:rsid w:val="00F91BBF"/>
    <w:rsid w:val="00F92A24"/>
    <w:rsid w:val="00FA4AEF"/>
    <w:rsid w:val="00FB0A6F"/>
    <w:rsid w:val="00FB4E9A"/>
    <w:rsid w:val="00FB5187"/>
    <w:rsid w:val="00FC26CA"/>
    <w:rsid w:val="00FC2909"/>
    <w:rsid w:val="00FC2EBB"/>
    <w:rsid w:val="00FC35D2"/>
    <w:rsid w:val="00FC6560"/>
    <w:rsid w:val="00FD1902"/>
    <w:rsid w:val="00FD21D8"/>
    <w:rsid w:val="00FE3145"/>
    <w:rsid w:val="00FE7271"/>
    <w:rsid w:val="00FF00F3"/>
    <w:rsid w:val="00FF52DA"/>
    <w:rsid w:val="010071A2"/>
    <w:rsid w:val="010A6538"/>
    <w:rsid w:val="010C14F6"/>
    <w:rsid w:val="01257EAC"/>
    <w:rsid w:val="013D3923"/>
    <w:rsid w:val="01804637"/>
    <w:rsid w:val="01AA21A1"/>
    <w:rsid w:val="0225712F"/>
    <w:rsid w:val="027D1E0D"/>
    <w:rsid w:val="028C5605"/>
    <w:rsid w:val="02945EB7"/>
    <w:rsid w:val="029F53A6"/>
    <w:rsid w:val="02A03060"/>
    <w:rsid w:val="02CE63B2"/>
    <w:rsid w:val="02DD3357"/>
    <w:rsid w:val="03281C80"/>
    <w:rsid w:val="03427926"/>
    <w:rsid w:val="03482F4F"/>
    <w:rsid w:val="03A569EC"/>
    <w:rsid w:val="03B97EEE"/>
    <w:rsid w:val="03C979B9"/>
    <w:rsid w:val="03D21EAA"/>
    <w:rsid w:val="03F76486"/>
    <w:rsid w:val="040930D8"/>
    <w:rsid w:val="04575790"/>
    <w:rsid w:val="046B75B7"/>
    <w:rsid w:val="046E306C"/>
    <w:rsid w:val="047163EA"/>
    <w:rsid w:val="04AB2116"/>
    <w:rsid w:val="04BD39E7"/>
    <w:rsid w:val="05031C1C"/>
    <w:rsid w:val="05932F45"/>
    <w:rsid w:val="05AE4B6B"/>
    <w:rsid w:val="05EE1577"/>
    <w:rsid w:val="05F32F25"/>
    <w:rsid w:val="0634022C"/>
    <w:rsid w:val="069F7723"/>
    <w:rsid w:val="06AA6DA7"/>
    <w:rsid w:val="06B44B5B"/>
    <w:rsid w:val="06D0649C"/>
    <w:rsid w:val="073F0833"/>
    <w:rsid w:val="07456882"/>
    <w:rsid w:val="07460C61"/>
    <w:rsid w:val="0762340D"/>
    <w:rsid w:val="0762348A"/>
    <w:rsid w:val="07942EB3"/>
    <w:rsid w:val="07A120AB"/>
    <w:rsid w:val="07E47BBF"/>
    <w:rsid w:val="081A78AD"/>
    <w:rsid w:val="0846716E"/>
    <w:rsid w:val="08523B48"/>
    <w:rsid w:val="085D1647"/>
    <w:rsid w:val="086562D9"/>
    <w:rsid w:val="08EE3D95"/>
    <w:rsid w:val="090E0B90"/>
    <w:rsid w:val="095C0D3E"/>
    <w:rsid w:val="097A4370"/>
    <w:rsid w:val="099D28FC"/>
    <w:rsid w:val="099D6815"/>
    <w:rsid w:val="09D25264"/>
    <w:rsid w:val="09D40A18"/>
    <w:rsid w:val="0A015D50"/>
    <w:rsid w:val="0A0D52EB"/>
    <w:rsid w:val="0A4D304C"/>
    <w:rsid w:val="0A5E0551"/>
    <w:rsid w:val="0AAB10FA"/>
    <w:rsid w:val="0B2B2260"/>
    <w:rsid w:val="0B907F82"/>
    <w:rsid w:val="0B9600BE"/>
    <w:rsid w:val="0B980101"/>
    <w:rsid w:val="0BAC3CD8"/>
    <w:rsid w:val="0BB04F96"/>
    <w:rsid w:val="0BDE2A9B"/>
    <w:rsid w:val="0C0644A9"/>
    <w:rsid w:val="0C2F6FAB"/>
    <w:rsid w:val="0C514B17"/>
    <w:rsid w:val="0CB658B5"/>
    <w:rsid w:val="0CC008A9"/>
    <w:rsid w:val="0CC45374"/>
    <w:rsid w:val="0CDB347F"/>
    <w:rsid w:val="0CE02DE0"/>
    <w:rsid w:val="0D154668"/>
    <w:rsid w:val="0D550377"/>
    <w:rsid w:val="0D5D5230"/>
    <w:rsid w:val="0D697731"/>
    <w:rsid w:val="0D886C22"/>
    <w:rsid w:val="0DAD38C7"/>
    <w:rsid w:val="0DC304F7"/>
    <w:rsid w:val="0DDF7048"/>
    <w:rsid w:val="0DE26EFA"/>
    <w:rsid w:val="0E267A1F"/>
    <w:rsid w:val="0E3E1279"/>
    <w:rsid w:val="0E5F4FF5"/>
    <w:rsid w:val="0E76424A"/>
    <w:rsid w:val="0E997856"/>
    <w:rsid w:val="0E9F7864"/>
    <w:rsid w:val="0EC053EC"/>
    <w:rsid w:val="0F4D7C5E"/>
    <w:rsid w:val="0F5547C1"/>
    <w:rsid w:val="0F582C98"/>
    <w:rsid w:val="0F6512CE"/>
    <w:rsid w:val="0F791F2C"/>
    <w:rsid w:val="0F7B3159"/>
    <w:rsid w:val="0FD44B12"/>
    <w:rsid w:val="0FE43413"/>
    <w:rsid w:val="0FE900C0"/>
    <w:rsid w:val="0FF81111"/>
    <w:rsid w:val="0FFB25B0"/>
    <w:rsid w:val="10887D92"/>
    <w:rsid w:val="10891F00"/>
    <w:rsid w:val="108C74EF"/>
    <w:rsid w:val="10A9579F"/>
    <w:rsid w:val="11364085"/>
    <w:rsid w:val="113C40BE"/>
    <w:rsid w:val="115263BF"/>
    <w:rsid w:val="1157358E"/>
    <w:rsid w:val="115A49C4"/>
    <w:rsid w:val="117163C8"/>
    <w:rsid w:val="11771B09"/>
    <w:rsid w:val="11A079EA"/>
    <w:rsid w:val="120646A8"/>
    <w:rsid w:val="12231E1C"/>
    <w:rsid w:val="12282FE8"/>
    <w:rsid w:val="12492C39"/>
    <w:rsid w:val="126926CD"/>
    <w:rsid w:val="127B5694"/>
    <w:rsid w:val="12822028"/>
    <w:rsid w:val="12C31EAF"/>
    <w:rsid w:val="12FA71D4"/>
    <w:rsid w:val="12FE179C"/>
    <w:rsid w:val="131F489D"/>
    <w:rsid w:val="135A3461"/>
    <w:rsid w:val="137157E8"/>
    <w:rsid w:val="13893F39"/>
    <w:rsid w:val="13D138E4"/>
    <w:rsid w:val="1416206B"/>
    <w:rsid w:val="141E0C5F"/>
    <w:rsid w:val="142D748F"/>
    <w:rsid w:val="14635783"/>
    <w:rsid w:val="147C7E87"/>
    <w:rsid w:val="14814F30"/>
    <w:rsid w:val="14A82E2E"/>
    <w:rsid w:val="14EB233D"/>
    <w:rsid w:val="15125521"/>
    <w:rsid w:val="1529504C"/>
    <w:rsid w:val="15322088"/>
    <w:rsid w:val="156F6A38"/>
    <w:rsid w:val="158B2F68"/>
    <w:rsid w:val="15BC7013"/>
    <w:rsid w:val="15E870B5"/>
    <w:rsid w:val="15EA64E1"/>
    <w:rsid w:val="15F81899"/>
    <w:rsid w:val="16C405FF"/>
    <w:rsid w:val="16C64A55"/>
    <w:rsid w:val="16CD5000"/>
    <w:rsid w:val="16FB6BF7"/>
    <w:rsid w:val="172C1CAF"/>
    <w:rsid w:val="178E453C"/>
    <w:rsid w:val="179D3418"/>
    <w:rsid w:val="179E7B25"/>
    <w:rsid w:val="17A00BC7"/>
    <w:rsid w:val="17AF2EE4"/>
    <w:rsid w:val="17BA5CAA"/>
    <w:rsid w:val="17C43906"/>
    <w:rsid w:val="17F260C3"/>
    <w:rsid w:val="18413D25"/>
    <w:rsid w:val="184D72EA"/>
    <w:rsid w:val="18B36782"/>
    <w:rsid w:val="18D730CA"/>
    <w:rsid w:val="18F764B5"/>
    <w:rsid w:val="18FC0659"/>
    <w:rsid w:val="18FF56DE"/>
    <w:rsid w:val="190842AA"/>
    <w:rsid w:val="193C6728"/>
    <w:rsid w:val="195D58C4"/>
    <w:rsid w:val="196D2169"/>
    <w:rsid w:val="19842AD0"/>
    <w:rsid w:val="19845DBE"/>
    <w:rsid w:val="19D70445"/>
    <w:rsid w:val="1A00668C"/>
    <w:rsid w:val="1A425CE8"/>
    <w:rsid w:val="1A48704D"/>
    <w:rsid w:val="1A626FF4"/>
    <w:rsid w:val="1AA97A75"/>
    <w:rsid w:val="1ACC0D76"/>
    <w:rsid w:val="1B1061BF"/>
    <w:rsid w:val="1B317A6E"/>
    <w:rsid w:val="1B5D437E"/>
    <w:rsid w:val="1B62691F"/>
    <w:rsid w:val="1B8926DD"/>
    <w:rsid w:val="1B9E5536"/>
    <w:rsid w:val="1BAE2F9C"/>
    <w:rsid w:val="1BFC4BED"/>
    <w:rsid w:val="1C03243E"/>
    <w:rsid w:val="1C146065"/>
    <w:rsid w:val="1C207DD0"/>
    <w:rsid w:val="1C4E5369"/>
    <w:rsid w:val="1C833F02"/>
    <w:rsid w:val="1C8B58B3"/>
    <w:rsid w:val="1CAB1DC4"/>
    <w:rsid w:val="1CC2346C"/>
    <w:rsid w:val="1CC66C7A"/>
    <w:rsid w:val="1CDA42A9"/>
    <w:rsid w:val="1CDB44E2"/>
    <w:rsid w:val="1CE4736A"/>
    <w:rsid w:val="1CF06B09"/>
    <w:rsid w:val="1D321AE5"/>
    <w:rsid w:val="1D7274E7"/>
    <w:rsid w:val="1D7A026C"/>
    <w:rsid w:val="1DB51D3F"/>
    <w:rsid w:val="1DC25D24"/>
    <w:rsid w:val="1DD7439A"/>
    <w:rsid w:val="1DD9528A"/>
    <w:rsid w:val="1DFB7964"/>
    <w:rsid w:val="1E1701F9"/>
    <w:rsid w:val="1E33553F"/>
    <w:rsid w:val="1E67170F"/>
    <w:rsid w:val="1E955D6C"/>
    <w:rsid w:val="1EB26148"/>
    <w:rsid w:val="1ED67F74"/>
    <w:rsid w:val="1EF758CE"/>
    <w:rsid w:val="1F4F2107"/>
    <w:rsid w:val="1F6A59EB"/>
    <w:rsid w:val="1F7E4C45"/>
    <w:rsid w:val="1FC277BB"/>
    <w:rsid w:val="1FE30384"/>
    <w:rsid w:val="1FE57C88"/>
    <w:rsid w:val="1FEE2497"/>
    <w:rsid w:val="1FF6190D"/>
    <w:rsid w:val="20001722"/>
    <w:rsid w:val="203E5D5A"/>
    <w:rsid w:val="204A6C41"/>
    <w:rsid w:val="208F7C2C"/>
    <w:rsid w:val="20B73609"/>
    <w:rsid w:val="20B80292"/>
    <w:rsid w:val="20F1665F"/>
    <w:rsid w:val="213F33F8"/>
    <w:rsid w:val="21596E7A"/>
    <w:rsid w:val="21A03540"/>
    <w:rsid w:val="21A223BD"/>
    <w:rsid w:val="21AD1EB6"/>
    <w:rsid w:val="22EB00CE"/>
    <w:rsid w:val="22F0439D"/>
    <w:rsid w:val="22F776BE"/>
    <w:rsid w:val="23115296"/>
    <w:rsid w:val="23242BF4"/>
    <w:rsid w:val="232C4320"/>
    <w:rsid w:val="23301AB1"/>
    <w:rsid w:val="233E0A38"/>
    <w:rsid w:val="23644556"/>
    <w:rsid w:val="238C639D"/>
    <w:rsid w:val="23906D1B"/>
    <w:rsid w:val="23AB0194"/>
    <w:rsid w:val="23DE1474"/>
    <w:rsid w:val="2462578A"/>
    <w:rsid w:val="247D4DF1"/>
    <w:rsid w:val="249D68B5"/>
    <w:rsid w:val="24BA783B"/>
    <w:rsid w:val="24F35C1C"/>
    <w:rsid w:val="25476891"/>
    <w:rsid w:val="254A0D4A"/>
    <w:rsid w:val="257A63F2"/>
    <w:rsid w:val="25D723EC"/>
    <w:rsid w:val="25E0365F"/>
    <w:rsid w:val="25EF0D88"/>
    <w:rsid w:val="26084E9F"/>
    <w:rsid w:val="26130286"/>
    <w:rsid w:val="262C694C"/>
    <w:rsid w:val="262E6065"/>
    <w:rsid w:val="263F7412"/>
    <w:rsid w:val="26402F77"/>
    <w:rsid w:val="264D28A0"/>
    <w:rsid w:val="26586A07"/>
    <w:rsid w:val="2681470F"/>
    <w:rsid w:val="26816A49"/>
    <w:rsid w:val="26BA5A66"/>
    <w:rsid w:val="26CC4C24"/>
    <w:rsid w:val="26F1670C"/>
    <w:rsid w:val="271067A9"/>
    <w:rsid w:val="27484D21"/>
    <w:rsid w:val="2750734C"/>
    <w:rsid w:val="27545EB0"/>
    <w:rsid w:val="27750E70"/>
    <w:rsid w:val="27983ECC"/>
    <w:rsid w:val="279D4FF3"/>
    <w:rsid w:val="27C138F0"/>
    <w:rsid w:val="27CE2587"/>
    <w:rsid w:val="27D35E7B"/>
    <w:rsid w:val="27EB215D"/>
    <w:rsid w:val="283010AE"/>
    <w:rsid w:val="28572942"/>
    <w:rsid w:val="28860624"/>
    <w:rsid w:val="288E6C43"/>
    <w:rsid w:val="29070A13"/>
    <w:rsid w:val="2919414E"/>
    <w:rsid w:val="29413BF5"/>
    <w:rsid w:val="29481E00"/>
    <w:rsid w:val="29981A7D"/>
    <w:rsid w:val="29BC3880"/>
    <w:rsid w:val="29C5020B"/>
    <w:rsid w:val="29E83666"/>
    <w:rsid w:val="2A1C540B"/>
    <w:rsid w:val="2AA97188"/>
    <w:rsid w:val="2B313586"/>
    <w:rsid w:val="2B34625E"/>
    <w:rsid w:val="2B49072B"/>
    <w:rsid w:val="2B4A5935"/>
    <w:rsid w:val="2B522706"/>
    <w:rsid w:val="2B531B23"/>
    <w:rsid w:val="2B612158"/>
    <w:rsid w:val="2BD016D0"/>
    <w:rsid w:val="2C112FE2"/>
    <w:rsid w:val="2C4A45AA"/>
    <w:rsid w:val="2C8B2374"/>
    <w:rsid w:val="2CA62DB0"/>
    <w:rsid w:val="2CF30F4A"/>
    <w:rsid w:val="2D287BC3"/>
    <w:rsid w:val="2D411747"/>
    <w:rsid w:val="2D5E2E0C"/>
    <w:rsid w:val="2D6679DE"/>
    <w:rsid w:val="2DA13D52"/>
    <w:rsid w:val="2E152A96"/>
    <w:rsid w:val="2E7944B3"/>
    <w:rsid w:val="2E973196"/>
    <w:rsid w:val="2E9B2AAD"/>
    <w:rsid w:val="2EA230CA"/>
    <w:rsid w:val="2EC163DB"/>
    <w:rsid w:val="2EF06BC0"/>
    <w:rsid w:val="2EFC0EFD"/>
    <w:rsid w:val="2F06583A"/>
    <w:rsid w:val="2F3715B0"/>
    <w:rsid w:val="2F4330D2"/>
    <w:rsid w:val="2FF64DF2"/>
    <w:rsid w:val="2FF734CD"/>
    <w:rsid w:val="305D14E3"/>
    <w:rsid w:val="307F6B86"/>
    <w:rsid w:val="30B4127C"/>
    <w:rsid w:val="30BD3CCE"/>
    <w:rsid w:val="30DB5153"/>
    <w:rsid w:val="314D6013"/>
    <w:rsid w:val="314E0B83"/>
    <w:rsid w:val="318500EE"/>
    <w:rsid w:val="31B76E31"/>
    <w:rsid w:val="31DD71CE"/>
    <w:rsid w:val="321B7E85"/>
    <w:rsid w:val="32314C2F"/>
    <w:rsid w:val="327979EA"/>
    <w:rsid w:val="32851613"/>
    <w:rsid w:val="328567B7"/>
    <w:rsid w:val="329D0EA7"/>
    <w:rsid w:val="329F1A22"/>
    <w:rsid w:val="330B6D2C"/>
    <w:rsid w:val="332E003B"/>
    <w:rsid w:val="33630DB4"/>
    <w:rsid w:val="337B0CDA"/>
    <w:rsid w:val="33EF4F96"/>
    <w:rsid w:val="340D2C9A"/>
    <w:rsid w:val="34302927"/>
    <w:rsid w:val="34841ACA"/>
    <w:rsid w:val="34A02734"/>
    <w:rsid w:val="34A25B37"/>
    <w:rsid w:val="34C1543B"/>
    <w:rsid w:val="352B7DFD"/>
    <w:rsid w:val="354A74D8"/>
    <w:rsid w:val="35DF5E76"/>
    <w:rsid w:val="35F43A08"/>
    <w:rsid w:val="361C4789"/>
    <w:rsid w:val="36365D97"/>
    <w:rsid w:val="36396E9A"/>
    <w:rsid w:val="36454871"/>
    <w:rsid w:val="36693279"/>
    <w:rsid w:val="366E5A2B"/>
    <w:rsid w:val="36913F42"/>
    <w:rsid w:val="369C3623"/>
    <w:rsid w:val="36A321B4"/>
    <w:rsid w:val="36B5135C"/>
    <w:rsid w:val="36B61B50"/>
    <w:rsid w:val="36C23C74"/>
    <w:rsid w:val="36CA7FA6"/>
    <w:rsid w:val="37C911FB"/>
    <w:rsid w:val="38167AFB"/>
    <w:rsid w:val="3817290E"/>
    <w:rsid w:val="384441EF"/>
    <w:rsid w:val="38B9258E"/>
    <w:rsid w:val="38C663BB"/>
    <w:rsid w:val="38D04A9D"/>
    <w:rsid w:val="38DF2E2B"/>
    <w:rsid w:val="38E6139B"/>
    <w:rsid w:val="392C74F2"/>
    <w:rsid w:val="39344E25"/>
    <w:rsid w:val="397E3221"/>
    <w:rsid w:val="398A43C0"/>
    <w:rsid w:val="3A0E470F"/>
    <w:rsid w:val="3A1D5794"/>
    <w:rsid w:val="3A2C6105"/>
    <w:rsid w:val="3A2D0383"/>
    <w:rsid w:val="3A377C73"/>
    <w:rsid w:val="3A3A6381"/>
    <w:rsid w:val="3A4A4965"/>
    <w:rsid w:val="3A801C32"/>
    <w:rsid w:val="3AB51363"/>
    <w:rsid w:val="3AEB7BCD"/>
    <w:rsid w:val="3B173F6C"/>
    <w:rsid w:val="3B2A7445"/>
    <w:rsid w:val="3B34014E"/>
    <w:rsid w:val="3B6A5779"/>
    <w:rsid w:val="3BE67069"/>
    <w:rsid w:val="3C114054"/>
    <w:rsid w:val="3C1B21C9"/>
    <w:rsid w:val="3C1C5530"/>
    <w:rsid w:val="3C5C59B4"/>
    <w:rsid w:val="3CB74352"/>
    <w:rsid w:val="3CC87C4D"/>
    <w:rsid w:val="3CCC66FF"/>
    <w:rsid w:val="3CDC4B05"/>
    <w:rsid w:val="3CDD3DAD"/>
    <w:rsid w:val="3CDE399D"/>
    <w:rsid w:val="3D124DF1"/>
    <w:rsid w:val="3D4005C1"/>
    <w:rsid w:val="3D71765B"/>
    <w:rsid w:val="3D724C9B"/>
    <w:rsid w:val="3DAB639B"/>
    <w:rsid w:val="3DD0260D"/>
    <w:rsid w:val="3DD7659C"/>
    <w:rsid w:val="3E0E2A75"/>
    <w:rsid w:val="3E1A5000"/>
    <w:rsid w:val="3E2B7273"/>
    <w:rsid w:val="3E5908C0"/>
    <w:rsid w:val="3E7656E6"/>
    <w:rsid w:val="3EA16AAC"/>
    <w:rsid w:val="3EF17704"/>
    <w:rsid w:val="3F256DF6"/>
    <w:rsid w:val="3F8245BA"/>
    <w:rsid w:val="3FC10FF6"/>
    <w:rsid w:val="3FC4396E"/>
    <w:rsid w:val="3FD6730D"/>
    <w:rsid w:val="3FE63D67"/>
    <w:rsid w:val="400C5607"/>
    <w:rsid w:val="4020267E"/>
    <w:rsid w:val="40524ADD"/>
    <w:rsid w:val="40751865"/>
    <w:rsid w:val="40B93D0B"/>
    <w:rsid w:val="40ED61F4"/>
    <w:rsid w:val="40F051CE"/>
    <w:rsid w:val="41033817"/>
    <w:rsid w:val="411D4B4D"/>
    <w:rsid w:val="41335629"/>
    <w:rsid w:val="41EB0551"/>
    <w:rsid w:val="41F36A18"/>
    <w:rsid w:val="420403A3"/>
    <w:rsid w:val="42891C4D"/>
    <w:rsid w:val="42A71B35"/>
    <w:rsid w:val="432572A7"/>
    <w:rsid w:val="433F5B14"/>
    <w:rsid w:val="43517683"/>
    <w:rsid w:val="436E74EB"/>
    <w:rsid w:val="43A5161D"/>
    <w:rsid w:val="43C56CD3"/>
    <w:rsid w:val="43CB4D86"/>
    <w:rsid w:val="43CF2E41"/>
    <w:rsid w:val="43D70716"/>
    <w:rsid w:val="449813EE"/>
    <w:rsid w:val="44981CA1"/>
    <w:rsid w:val="451F3572"/>
    <w:rsid w:val="455E50E5"/>
    <w:rsid w:val="455F55F7"/>
    <w:rsid w:val="45714D50"/>
    <w:rsid w:val="4573367F"/>
    <w:rsid w:val="45811EEC"/>
    <w:rsid w:val="45A92AC3"/>
    <w:rsid w:val="45C41856"/>
    <w:rsid w:val="46560A2E"/>
    <w:rsid w:val="466121BB"/>
    <w:rsid w:val="46730353"/>
    <w:rsid w:val="46774CCF"/>
    <w:rsid w:val="469E4A8A"/>
    <w:rsid w:val="46A549EA"/>
    <w:rsid w:val="46AA1EF4"/>
    <w:rsid w:val="46C3683F"/>
    <w:rsid w:val="46CE78F0"/>
    <w:rsid w:val="47454771"/>
    <w:rsid w:val="47C836BB"/>
    <w:rsid w:val="47E70693"/>
    <w:rsid w:val="47EF4D3A"/>
    <w:rsid w:val="47F15329"/>
    <w:rsid w:val="482B706A"/>
    <w:rsid w:val="48531FA5"/>
    <w:rsid w:val="48F068EE"/>
    <w:rsid w:val="490728E9"/>
    <w:rsid w:val="49295DBA"/>
    <w:rsid w:val="493C1F64"/>
    <w:rsid w:val="4A2813B9"/>
    <w:rsid w:val="4A3E1511"/>
    <w:rsid w:val="4A541B9F"/>
    <w:rsid w:val="4A6B29FC"/>
    <w:rsid w:val="4A863F91"/>
    <w:rsid w:val="4AA24BF7"/>
    <w:rsid w:val="4AA7405B"/>
    <w:rsid w:val="4AE66343"/>
    <w:rsid w:val="4AED0A1D"/>
    <w:rsid w:val="4AF5513B"/>
    <w:rsid w:val="4B1C6A97"/>
    <w:rsid w:val="4B2B7422"/>
    <w:rsid w:val="4B4B7CCB"/>
    <w:rsid w:val="4B5D1D34"/>
    <w:rsid w:val="4B913CB9"/>
    <w:rsid w:val="4BCB7C3F"/>
    <w:rsid w:val="4C1042C9"/>
    <w:rsid w:val="4C297741"/>
    <w:rsid w:val="4C6E1ECB"/>
    <w:rsid w:val="4D051E7E"/>
    <w:rsid w:val="4D1C0337"/>
    <w:rsid w:val="4D1F5E22"/>
    <w:rsid w:val="4D612DA9"/>
    <w:rsid w:val="4D6E2635"/>
    <w:rsid w:val="4DA0753B"/>
    <w:rsid w:val="4DC53708"/>
    <w:rsid w:val="4DDE6996"/>
    <w:rsid w:val="4DEB1759"/>
    <w:rsid w:val="4E003F6B"/>
    <w:rsid w:val="4E1B6FB3"/>
    <w:rsid w:val="4E2B6A5A"/>
    <w:rsid w:val="4EBB4F32"/>
    <w:rsid w:val="4ED74737"/>
    <w:rsid w:val="4EDE6DB7"/>
    <w:rsid w:val="4EE47996"/>
    <w:rsid w:val="4F1A58B4"/>
    <w:rsid w:val="4F50660D"/>
    <w:rsid w:val="4F9F7A2A"/>
    <w:rsid w:val="4FA53A04"/>
    <w:rsid w:val="4FEF263C"/>
    <w:rsid w:val="503E2C8E"/>
    <w:rsid w:val="50411D04"/>
    <w:rsid w:val="50B867C0"/>
    <w:rsid w:val="50CA1586"/>
    <w:rsid w:val="50D74B1E"/>
    <w:rsid w:val="510035D9"/>
    <w:rsid w:val="5139437C"/>
    <w:rsid w:val="518B0690"/>
    <w:rsid w:val="51C62F07"/>
    <w:rsid w:val="52204150"/>
    <w:rsid w:val="522E30C6"/>
    <w:rsid w:val="526468E5"/>
    <w:rsid w:val="52750905"/>
    <w:rsid w:val="52A404DE"/>
    <w:rsid w:val="52D70998"/>
    <w:rsid w:val="52D7766F"/>
    <w:rsid w:val="530B3470"/>
    <w:rsid w:val="530C07A5"/>
    <w:rsid w:val="531613D5"/>
    <w:rsid w:val="532B23F8"/>
    <w:rsid w:val="53380C3D"/>
    <w:rsid w:val="535A1853"/>
    <w:rsid w:val="53604947"/>
    <w:rsid w:val="53755060"/>
    <w:rsid w:val="53954FA5"/>
    <w:rsid w:val="53C12DF2"/>
    <w:rsid w:val="540D363B"/>
    <w:rsid w:val="542039EB"/>
    <w:rsid w:val="54571A9E"/>
    <w:rsid w:val="545C53B1"/>
    <w:rsid w:val="546367E9"/>
    <w:rsid w:val="54865C45"/>
    <w:rsid w:val="54C52E4A"/>
    <w:rsid w:val="54FA5B68"/>
    <w:rsid w:val="559939A5"/>
    <w:rsid w:val="55DB5364"/>
    <w:rsid w:val="55F0401D"/>
    <w:rsid w:val="563B3CF9"/>
    <w:rsid w:val="567D6BB7"/>
    <w:rsid w:val="56CB51E1"/>
    <w:rsid w:val="56CD6F52"/>
    <w:rsid w:val="570B3D7A"/>
    <w:rsid w:val="572E0D1E"/>
    <w:rsid w:val="573107FB"/>
    <w:rsid w:val="573D2E95"/>
    <w:rsid w:val="57517D03"/>
    <w:rsid w:val="57641DEB"/>
    <w:rsid w:val="57C87B39"/>
    <w:rsid w:val="57CB365A"/>
    <w:rsid w:val="57F505A6"/>
    <w:rsid w:val="57FA5A15"/>
    <w:rsid w:val="581012DD"/>
    <w:rsid w:val="586E6C17"/>
    <w:rsid w:val="587E757D"/>
    <w:rsid w:val="58B1404F"/>
    <w:rsid w:val="58B815A4"/>
    <w:rsid w:val="58C80A33"/>
    <w:rsid w:val="58E13C1D"/>
    <w:rsid w:val="58FA19C7"/>
    <w:rsid w:val="59066E1C"/>
    <w:rsid w:val="59150B5E"/>
    <w:rsid w:val="591D224E"/>
    <w:rsid w:val="59575D03"/>
    <w:rsid w:val="597005C0"/>
    <w:rsid w:val="59AC234C"/>
    <w:rsid w:val="59C118EB"/>
    <w:rsid w:val="59DD2A57"/>
    <w:rsid w:val="5A33504F"/>
    <w:rsid w:val="5A50198C"/>
    <w:rsid w:val="5A602F0F"/>
    <w:rsid w:val="5A7245BF"/>
    <w:rsid w:val="5A9218DB"/>
    <w:rsid w:val="5A9B53C9"/>
    <w:rsid w:val="5AA80B41"/>
    <w:rsid w:val="5AD56EF2"/>
    <w:rsid w:val="5ADB1ECB"/>
    <w:rsid w:val="5AFE3448"/>
    <w:rsid w:val="5B2E0FFD"/>
    <w:rsid w:val="5B5449E3"/>
    <w:rsid w:val="5B564175"/>
    <w:rsid w:val="5B576BCD"/>
    <w:rsid w:val="5B957EBD"/>
    <w:rsid w:val="5B9F6258"/>
    <w:rsid w:val="5BB1283B"/>
    <w:rsid w:val="5BF8205C"/>
    <w:rsid w:val="5C0A7177"/>
    <w:rsid w:val="5C976EFF"/>
    <w:rsid w:val="5CC5638D"/>
    <w:rsid w:val="5CE707DC"/>
    <w:rsid w:val="5CF2350E"/>
    <w:rsid w:val="5D5A7A20"/>
    <w:rsid w:val="5D6128D9"/>
    <w:rsid w:val="5D657CCF"/>
    <w:rsid w:val="5E452B59"/>
    <w:rsid w:val="5E760C1E"/>
    <w:rsid w:val="5EDE72C4"/>
    <w:rsid w:val="5EE25234"/>
    <w:rsid w:val="5EEF747A"/>
    <w:rsid w:val="5F3A7E1F"/>
    <w:rsid w:val="5F8479C2"/>
    <w:rsid w:val="5FBF6ED3"/>
    <w:rsid w:val="5FC30F01"/>
    <w:rsid w:val="5FC97141"/>
    <w:rsid w:val="5FCB07EC"/>
    <w:rsid w:val="5FCB3640"/>
    <w:rsid w:val="5FD7322D"/>
    <w:rsid w:val="5FEC7EC9"/>
    <w:rsid w:val="600C6B92"/>
    <w:rsid w:val="60135765"/>
    <w:rsid w:val="60293CA0"/>
    <w:rsid w:val="602F3BD0"/>
    <w:rsid w:val="60445CD9"/>
    <w:rsid w:val="607F47C4"/>
    <w:rsid w:val="609D11A0"/>
    <w:rsid w:val="60A91F21"/>
    <w:rsid w:val="60AA50C9"/>
    <w:rsid w:val="60C76C91"/>
    <w:rsid w:val="60E943D6"/>
    <w:rsid w:val="60EE75CD"/>
    <w:rsid w:val="61077B2D"/>
    <w:rsid w:val="6108244A"/>
    <w:rsid w:val="610C38B2"/>
    <w:rsid w:val="615D65CA"/>
    <w:rsid w:val="61767B04"/>
    <w:rsid w:val="6178459D"/>
    <w:rsid w:val="617C6E02"/>
    <w:rsid w:val="61AF2C9B"/>
    <w:rsid w:val="61E93540"/>
    <w:rsid w:val="62192B6C"/>
    <w:rsid w:val="625148E0"/>
    <w:rsid w:val="629C6986"/>
    <w:rsid w:val="63141137"/>
    <w:rsid w:val="6330761A"/>
    <w:rsid w:val="633C60CE"/>
    <w:rsid w:val="634C18FC"/>
    <w:rsid w:val="63526B3A"/>
    <w:rsid w:val="6353259C"/>
    <w:rsid w:val="636565B6"/>
    <w:rsid w:val="63724A42"/>
    <w:rsid w:val="63926D34"/>
    <w:rsid w:val="639276EA"/>
    <w:rsid w:val="63B01304"/>
    <w:rsid w:val="63FA0049"/>
    <w:rsid w:val="63FF74F9"/>
    <w:rsid w:val="640B6F9B"/>
    <w:rsid w:val="646B0F38"/>
    <w:rsid w:val="646E0EE9"/>
    <w:rsid w:val="647C6162"/>
    <w:rsid w:val="64C071B2"/>
    <w:rsid w:val="64EC6A0A"/>
    <w:rsid w:val="64FE25AE"/>
    <w:rsid w:val="65092467"/>
    <w:rsid w:val="654C3747"/>
    <w:rsid w:val="657769A7"/>
    <w:rsid w:val="658A6B7C"/>
    <w:rsid w:val="65A263E2"/>
    <w:rsid w:val="65E77701"/>
    <w:rsid w:val="660E3181"/>
    <w:rsid w:val="6610666F"/>
    <w:rsid w:val="663F4FC9"/>
    <w:rsid w:val="664B24FE"/>
    <w:rsid w:val="666A2D6F"/>
    <w:rsid w:val="668B408A"/>
    <w:rsid w:val="668E36EF"/>
    <w:rsid w:val="66A9003D"/>
    <w:rsid w:val="66AC7CC4"/>
    <w:rsid w:val="66D44B3E"/>
    <w:rsid w:val="66F441D4"/>
    <w:rsid w:val="6701120D"/>
    <w:rsid w:val="67421069"/>
    <w:rsid w:val="674B109A"/>
    <w:rsid w:val="674C68DA"/>
    <w:rsid w:val="676E209B"/>
    <w:rsid w:val="677C77F2"/>
    <w:rsid w:val="679F09C5"/>
    <w:rsid w:val="67A66EFB"/>
    <w:rsid w:val="67BD6684"/>
    <w:rsid w:val="67CA486F"/>
    <w:rsid w:val="68391441"/>
    <w:rsid w:val="683F5829"/>
    <w:rsid w:val="684A5A82"/>
    <w:rsid w:val="68522CB3"/>
    <w:rsid w:val="68673F48"/>
    <w:rsid w:val="68AD6603"/>
    <w:rsid w:val="68D058EA"/>
    <w:rsid w:val="68DB1FF3"/>
    <w:rsid w:val="68E70FD7"/>
    <w:rsid w:val="68F44C4D"/>
    <w:rsid w:val="68FD6C12"/>
    <w:rsid w:val="68FE1240"/>
    <w:rsid w:val="69267CBD"/>
    <w:rsid w:val="693D535B"/>
    <w:rsid w:val="6963172F"/>
    <w:rsid w:val="69640F57"/>
    <w:rsid w:val="696C10D5"/>
    <w:rsid w:val="69910563"/>
    <w:rsid w:val="699657B8"/>
    <w:rsid w:val="69DF2F2D"/>
    <w:rsid w:val="6A0D7B0E"/>
    <w:rsid w:val="6A4355E7"/>
    <w:rsid w:val="6A5B021C"/>
    <w:rsid w:val="6A5E0F72"/>
    <w:rsid w:val="6A864059"/>
    <w:rsid w:val="6A9152E9"/>
    <w:rsid w:val="6AA644CF"/>
    <w:rsid w:val="6AAC014B"/>
    <w:rsid w:val="6AD1216A"/>
    <w:rsid w:val="6AD22E7B"/>
    <w:rsid w:val="6B0203D3"/>
    <w:rsid w:val="6B1A68B4"/>
    <w:rsid w:val="6B460543"/>
    <w:rsid w:val="6BC6227F"/>
    <w:rsid w:val="6BD52232"/>
    <w:rsid w:val="6BD75751"/>
    <w:rsid w:val="6BDB7812"/>
    <w:rsid w:val="6C2712E7"/>
    <w:rsid w:val="6C3F2E7B"/>
    <w:rsid w:val="6C69512D"/>
    <w:rsid w:val="6C8E0525"/>
    <w:rsid w:val="6CAE617B"/>
    <w:rsid w:val="6CBA1ABC"/>
    <w:rsid w:val="6CBD6ABF"/>
    <w:rsid w:val="6CC5767D"/>
    <w:rsid w:val="6D312F64"/>
    <w:rsid w:val="6D481C83"/>
    <w:rsid w:val="6D4E776F"/>
    <w:rsid w:val="6D5226D6"/>
    <w:rsid w:val="6D52286B"/>
    <w:rsid w:val="6D62259C"/>
    <w:rsid w:val="6DA52F15"/>
    <w:rsid w:val="6DBA36C6"/>
    <w:rsid w:val="6DFD70F4"/>
    <w:rsid w:val="6E0A46C4"/>
    <w:rsid w:val="6E11088A"/>
    <w:rsid w:val="6E301561"/>
    <w:rsid w:val="6E482745"/>
    <w:rsid w:val="6E48553C"/>
    <w:rsid w:val="6E7D618B"/>
    <w:rsid w:val="6E826BFE"/>
    <w:rsid w:val="6EAA47D6"/>
    <w:rsid w:val="6ED03C7E"/>
    <w:rsid w:val="6F08189D"/>
    <w:rsid w:val="6F3C5A5C"/>
    <w:rsid w:val="6F4525D2"/>
    <w:rsid w:val="6F6B6EC0"/>
    <w:rsid w:val="6F943E2A"/>
    <w:rsid w:val="6FD26125"/>
    <w:rsid w:val="70010584"/>
    <w:rsid w:val="70084711"/>
    <w:rsid w:val="70234889"/>
    <w:rsid w:val="70252689"/>
    <w:rsid w:val="703C5568"/>
    <w:rsid w:val="70600FD5"/>
    <w:rsid w:val="70A938DA"/>
    <w:rsid w:val="70AA482E"/>
    <w:rsid w:val="70B13471"/>
    <w:rsid w:val="70D242A6"/>
    <w:rsid w:val="711B05AB"/>
    <w:rsid w:val="71210962"/>
    <w:rsid w:val="7143029C"/>
    <w:rsid w:val="71696324"/>
    <w:rsid w:val="71781AC8"/>
    <w:rsid w:val="71A07A07"/>
    <w:rsid w:val="71BA5851"/>
    <w:rsid w:val="71C12E77"/>
    <w:rsid w:val="71F029B1"/>
    <w:rsid w:val="71FE332B"/>
    <w:rsid w:val="7212177A"/>
    <w:rsid w:val="723C5FC3"/>
    <w:rsid w:val="728526C1"/>
    <w:rsid w:val="72EB3112"/>
    <w:rsid w:val="72EF31E7"/>
    <w:rsid w:val="732E0230"/>
    <w:rsid w:val="73331DDB"/>
    <w:rsid w:val="73657EED"/>
    <w:rsid w:val="736A55FB"/>
    <w:rsid w:val="737369D1"/>
    <w:rsid w:val="73751378"/>
    <w:rsid w:val="73922586"/>
    <w:rsid w:val="73961B17"/>
    <w:rsid w:val="73AB3D2F"/>
    <w:rsid w:val="73AC3EEE"/>
    <w:rsid w:val="73DC61F2"/>
    <w:rsid w:val="73FE47A6"/>
    <w:rsid w:val="74572591"/>
    <w:rsid w:val="747174B8"/>
    <w:rsid w:val="74747372"/>
    <w:rsid w:val="7480684E"/>
    <w:rsid w:val="7499328E"/>
    <w:rsid w:val="749E53CE"/>
    <w:rsid w:val="75115628"/>
    <w:rsid w:val="751164BB"/>
    <w:rsid w:val="7514321C"/>
    <w:rsid w:val="75185214"/>
    <w:rsid w:val="753B643F"/>
    <w:rsid w:val="75836A21"/>
    <w:rsid w:val="760D0F9D"/>
    <w:rsid w:val="761A71A8"/>
    <w:rsid w:val="763F0BF0"/>
    <w:rsid w:val="76504A0D"/>
    <w:rsid w:val="768A40CF"/>
    <w:rsid w:val="77184BD7"/>
    <w:rsid w:val="772A15D6"/>
    <w:rsid w:val="77601CFE"/>
    <w:rsid w:val="77B15581"/>
    <w:rsid w:val="77F233C1"/>
    <w:rsid w:val="77FF7379"/>
    <w:rsid w:val="78186E53"/>
    <w:rsid w:val="78376408"/>
    <w:rsid w:val="783854C3"/>
    <w:rsid w:val="78436C2C"/>
    <w:rsid w:val="786A124A"/>
    <w:rsid w:val="7886302A"/>
    <w:rsid w:val="78C5119D"/>
    <w:rsid w:val="78CE63D3"/>
    <w:rsid w:val="78E95EB9"/>
    <w:rsid w:val="78FC0F94"/>
    <w:rsid w:val="797950AD"/>
    <w:rsid w:val="79B75147"/>
    <w:rsid w:val="79DD0307"/>
    <w:rsid w:val="79F70E47"/>
    <w:rsid w:val="7A123438"/>
    <w:rsid w:val="7A727A4B"/>
    <w:rsid w:val="7A776E60"/>
    <w:rsid w:val="7A8129AA"/>
    <w:rsid w:val="7A904A21"/>
    <w:rsid w:val="7ABF7ACB"/>
    <w:rsid w:val="7ADB0A33"/>
    <w:rsid w:val="7AF041C5"/>
    <w:rsid w:val="7B047A13"/>
    <w:rsid w:val="7B490352"/>
    <w:rsid w:val="7B576949"/>
    <w:rsid w:val="7B7E34B8"/>
    <w:rsid w:val="7B88637C"/>
    <w:rsid w:val="7B9D6F9F"/>
    <w:rsid w:val="7BAC44B5"/>
    <w:rsid w:val="7BC76A2B"/>
    <w:rsid w:val="7BE756D5"/>
    <w:rsid w:val="7C0E7D74"/>
    <w:rsid w:val="7C474207"/>
    <w:rsid w:val="7C605F65"/>
    <w:rsid w:val="7C6802F1"/>
    <w:rsid w:val="7C7A481B"/>
    <w:rsid w:val="7C8D681A"/>
    <w:rsid w:val="7C8E3D8D"/>
    <w:rsid w:val="7CCC526C"/>
    <w:rsid w:val="7CDD5532"/>
    <w:rsid w:val="7CEB7DFA"/>
    <w:rsid w:val="7CFD1803"/>
    <w:rsid w:val="7D563C8F"/>
    <w:rsid w:val="7D630CC8"/>
    <w:rsid w:val="7D64237E"/>
    <w:rsid w:val="7D8370E6"/>
    <w:rsid w:val="7D9D6998"/>
    <w:rsid w:val="7DBA3A5A"/>
    <w:rsid w:val="7DBD2FDC"/>
    <w:rsid w:val="7E0D3E67"/>
    <w:rsid w:val="7E224099"/>
    <w:rsid w:val="7E433ABB"/>
    <w:rsid w:val="7E84644F"/>
    <w:rsid w:val="7E8C065B"/>
    <w:rsid w:val="7E8E3C5C"/>
    <w:rsid w:val="7EE90353"/>
    <w:rsid w:val="7EEA2C70"/>
    <w:rsid w:val="7F21413D"/>
    <w:rsid w:val="7F2446CA"/>
    <w:rsid w:val="7F335134"/>
    <w:rsid w:val="7F4E7A84"/>
    <w:rsid w:val="7F794455"/>
    <w:rsid w:val="7F8964CB"/>
    <w:rsid w:val="7FBA4AFB"/>
    <w:rsid w:val="DDFF64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4"/>
    <w:next w:val="1"/>
    <w:qFormat/>
    <w:uiPriority w:val="0"/>
    <w:pPr>
      <w:keepNext/>
      <w:keepLines/>
      <w:numPr>
        <w:ilvl w:val="0"/>
        <w:numId w:val="1"/>
      </w:numPr>
      <w:spacing w:line="600" w:lineRule="auto"/>
      <w:ind w:left="0" w:firstLine="0"/>
      <w:jc w:val="center"/>
      <w:outlineLvl w:val="0"/>
    </w:pPr>
    <w:rPr>
      <w:rFonts w:eastAsia="黑体"/>
      <w:kern w:val="44"/>
      <w:sz w:val="30"/>
    </w:rPr>
  </w:style>
  <w:style w:type="paragraph" w:styleId="5">
    <w:name w:val="heading 2"/>
    <w:basedOn w:val="1"/>
    <w:next w:val="1"/>
    <w:link w:val="68"/>
    <w:unhideWhenUsed/>
    <w:qFormat/>
    <w:uiPriority w:val="0"/>
    <w:pPr>
      <w:keepNext/>
      <w:keepLines/>
      <w:numPr>
        <w:ilvl w:val="1"/>
        <w:numId w:val="1"/>
      </w:numPr>
      <w:spacing w:before="260" w:after="260" w:line="413" w:lineRule="auto"/>
      <w:outlineLvl w:val="1"/>
    </w:pPr>
    <w:rPr>
      <w:rFonts w:ascii="Arial" w:hAnsi="Arial" w:eastAsia="黑体"/>
      <w:b/>
      <w:sz w:val="32"/>
    </w:rPr>
  </w:style>
  <w:style w:type="paragraph" w:styleId="6">
    <w:name w:val="heading 3"/>
    <w:basedOn w:val="1"/>
    <w:next w:val="1"/>
    <w:link w:val="40"/>
    <w:unhideWhenUsed/>
    <w:qFormat/>
    <w:uiPriority w:val="9"/>
    <w:pPr>
      <w:spacing w:beforeAutospacing="1" w:afterAutospacing="1"/>
      <w:jc w:val="left"/>
      <w:outlineLvl w:val="2"/>
    </w:pPr>
    <w:rPr>
      <w:rFonts w:hint="eastAsia" w:ascii="宋体" w:hAnsi="宋体"/>
      <w:b/>
      <w:bCs/>
      <w:kern w:val="0"/>
      <w:sz w:val="27"/>
      <w:szCs w:val="27"/>
    </w:rPr>
  </w:style>
  <w:style w:type="paragraph" w:styleId="7">
    <w:name w:val="heading 4"/>
    <w:basedOn w:val="1"/>
    <w:next w:val="1"/>
    <w:unhideWhenUsed/>
    <w:qFormat/>
    <w:uiPriority w:val="9"/>
    <w:pPr>
      <w:keepNext/>
      <w:keepLines/>
      <w:numPr>
        <w:ilvl w:val="3"/>
        <w:numId w:val="1"/>
      </w:numPr>
      <w:spacing w:before="280" w:after="290" w:line="372" w:lineRule="auto"/>
      <w:outlineLvl w:val="3"/>
    </w:pPr>
    <w:rPr>
      <w:rFonts w:ascii="Arial" w:hAnsi="Arial" w:eastAsia="黑体"/>
      <w:b/>
      <w:sz w:val="28"/>
    </w:rPr>
  </w:style>
  <w:style w:type="paragraph" w:styleId="8">
    <w:name w:val="heading 5"/>
    <w:basedOn w:val="1"/>
    <w:next w:val="1"/>
    <w:link w:val="74"/>
    <w:unhideWhenUsed/>
    <w:qFormat/>
    <w:uiPriority w:val="0"/>
    <w:pPr>
      <w:keepNext/>
      <w:keepLines/>
      <w:spacing w:before="280" w:after="290" w:line="376" w:lineRule="auto"/>
      <w:ind w:left="1008"/>
      <w:outlineLvl w:val="4"/>
    </w:pPr>
    <w:rPr>
      <w:rFonts w:cstheme="minorBidi"/>
      <w:b/>
      <w:bCs/>
      <w:sz w:val="28"/>
      <w:szCs w:val="28"/>
    </w:rPr>
  </w:style>
  <w:style w:type="paragraph" w:styleId="9">
    <w:name w:val="heading 6"/>
    <w:basedOn w:val="1"/>
    <w:next w:val="1"/>
    <w:link w:val="75"/>
    <w:unhideWhenUsed/>
    <w:qFormat/>
    <w:uiPriority w:val="0"/>
    <w:pPr>
      <w:keepNext/>
      <w:keepLines/>
      <w:spacing w:before="240" w:after="64" w:line="320" w:lineRule="auto"/>
      <w:ind w:left="1151"/>
      <w:outlineLvl w:val="5"/>
    </w:pPr>
    <w:rPr>
      <w:rFonts w:asciiTheme="majorHAnsi" w:hAnsiTheme="majorHAnsi" w:eastAsiaTheme="majorEastAsia" w:cstheme="majorBidi"/>
      <w:b/>
      <w:bCs/>
      <w:sz w:val="24"/>
    </w:rPr>
  </w:style>
  <w:style w:type="paragraph" w:styleId="10">
    <w:name w:val="heading 7"/>
    <w:basedOn w:val="1"/>
    <w:next w:val="1"/>
    <w:link w:val="76"/>
    <w:unhideWhenUsed/>
    <w:qFormat/>
    <w:uiPriority w:val="0"/>
    <w:pPr>
      <w:keepNext/>
      <w:keepLines/>
      <w:spacing w:before="240" w:after="64" w:line="320" w:lineRule="auto"/>
      <w:ind w:left="1296"/>
      <w:outlineLvl w:val="6"/>
    </w:pPr>
    <w:rPr>
      <w:rFonts w:cstheme="minorBidi"/>
      <w:b/>
      <w:bCs/>
      <w:sz w:val="24"/>
    </w:rPr>
  </w:style>
  <w:style w:type="paragraph" w:styleId="11">
    <w:name w:val="heading 8"/>
    <w:basedOn w:val="1"/>
    <w:next w:val="1"/>
    <w:link w:val="77"/>
    <w:unhideWhenUsed/>
    <w:qFormat/>
    <w:uiPriority w:val="0"/>
    <w:pPr>
      <w:keepNext/>
      <w:keepLines/>
      <w:spacing w:before="240" w:after="64" w:line="320" w:lineRule="auto"/>
      <w:ind w:left="1440"/>
      <w:outlineLvl w:val="7"/>
    </w:pPr>
    <w:rPr>
      <w:rFonts w:asciiTheme="majorHAnsi" w:hAnsiTheme="majorHAnsi" w:eastAsiaTheme="majorEastAsia" w:cstheme="majorBidi"/>
      <w:sz w:val="24"/>
    </w:rPr>
  </w:style>
  <w:style w:type="paragraph" w:styleId="12">
    <w:name w:val="heading 9"/>
    <w:basedOn w:val="1"/>
    <w:next w:val="1"/>
    <w:link w:val="78"/>
    <w:unhideWhenUsed/>
    <w:qFormat/>
    <w:uiPriority w:val="0"/>
    <w:pPr>
      <w:keepNext/>
      <w:keepLines/>
      <w:spacing w:before="240" w:after="64" w:line="320" w:lineRule="auto"/>
      <w:ind w:left="1583"/>
      <w:outlineLvl w:val="8"/>
    </w:pPr>
    <w:rPr>
      <w:rFonts w:asciiTheme="majorHAnsi" w:hAnsiTheme="majorHAnsi" w:eastAsiaTheme="majorEastAsia" w:cstheme="majorBidi"/>
      <w:szCs w:val="21"/>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91"/>
    <w:qFormat/>
    <w:uiPriority w:val="1"/>
    <w:pPr>
      <w:spacing w:after="120"/>
    </w:pPr>
  </w:style>
  <w:style w:type="paragraph" w:customStyle="1" w:styleId="4">
    <w:name w:val="guo-正文不缩进"/>
    <w:basedOn w:val="1"/>
    <w:qFormat/>
    <w:uiPriority w:val="0"/>
    <w:pPr>
      <w:ind w:firstLine="0"/>
    </w:pPr>
    <w:rPr>
      <w:rFonts w:ascii="Times New Roman" w:hAnsi="Times New Roman" w:eastAsia="宋体" w:cs="Times New Roman"/>
    </w:rPr>
  </w:style>
  <w:style w:type="paragraph" w:styleId="13">
    <w:name w:val="Normal Indent"/>
    <w:basedOn w:val="1"/>
    <w:next w:val="1"/>
    <w:qFormat/>
    <w:uiPriority w:val="0"/>
    <w:pPr>
      <w:ind w:firstLine="420" w:firstLineChars="200"/>
    </w:pPr>
  </w:style>
  <w:style w:type="paragraph" w:styleId="14">
    <w:name w:val="annotation text"/>
    <w:basedOn w:val="1"/>
    <w:link w:val="66"/>
    <w:qFormat/>
    <w:uiPriority w:val="0"/>
    <w:pPr>
      <w:jc w:val="left"/>
    </w:pPr>
  </w:style>
  <w:style w:type="paragraph" w:styleId="15">
    <w:name w:val="Body Text 3"/>
    <w:basedOn w:val="1"/>
    <w:link w:val="82"/>
    <w:qFormat/>
    <w:uiPriority w:val="0"/>
    <w:pPr>
      <w:spacing w:after="120"/>
    </w:pPr>
    <w:rPr>
      <w:sz w:val="16"/>
      <w:szCs w:val="16"/>
    </w:rPr>
  </w:style>
  <w:style w:type="paragraph" w:styleId="16">
    <w:name w:val="Body Text Indent"/>
    <w:basedOn w:val="1"/>
    <w:qFormat/>
    <w:uiPriority w:val="0"/>
    <w:pPr>
      <w:spacing w:after="120"/>
      <w:ind w:left="420" w:leftChars="200"/>
    </w:pPr>
    <w:rPr>
      <w:kern w:val="0"/>
      <w:sz w:val="24"/>
      <w:szCs w:val="20"/>
    </w:rPr>
  </w:style>
  <w:style w:type="paragraph" w:styleId="17">
    <w:name w:val="index 4"/>
    <w:basedOn w:val="1"/>
    <w:next w:val="1"/>
    <w:qFormat/>
    <w:uiPriority w:val="0"/>
    <w:pPr>
      <w:ind w:left="840" w:hanging="210" w:firstLineChars="200"/>
      <w:jc w:val="left"/>
    </w:pPr>
    <w:rPr>
      <w:szCs w:val="21"/>
    </w:rPr>
  </w:style>
  <w:style w:type="paragraph" w:styleId="18">
    <w:name w:val="Plain Text"/>
    <w:basedOn w:val="1"/>
    <w:qFormat/>
    <w:uiPriority w:val="0"/>
    <w:rPr>
      <w:rFonts w:ascii="宋体" w:hAnsi="Courier New"/>
      <w:szCs w:val="20"/>
    </w:rPr>
  </w:style>
  <w:style w:type="paragraph" w:styleId="19">
    <w:name w:val="List Bullet 5"/>
    <w:basedOn w:val="1"/>
    <w:qFormat/>
    <w:uiPriority w:val="0"/>
    <w:pPr>
      <w:numPr>
        <w:ilvl w:val="0"/>
        <w:numId w:val="2"/>
      </w:numPr>
      <w:tabs>
        <w:tab w:val="left" w:pos="480"/>
      </w:tabs>
      <w:spacing w:line="360" w:lineRule="auto"/>
    </w:pPr>
    <w:rPr>
      <w:sz w:val="24"/>
    </w:rPr>
  </w:style>
  <w:style w:type="paragraph" w:styleId="20">
    <w:name w:val="Balloon Text"/>
    <w:basedOn w:val="1"/>
    <w:link w:val="92"/>
    <w:qFormat/>
    <w:uiPriority w:val="0"/>
    <w:rPr>
      <w:sz w:val="18"/>
      <w:szCs w:val="18"/>
    </w:rPr>
  </w:style>
  <w:style w:type="paragraph" w:styleId="21">
    <w:name w:val="footer"/>
    <w:basedOn w:val="1"/>
    <w:link w:val="95"/>
    <w:qFormat/>
    <w:uiPriority w:val="99"/>
    <w:pPr>
      <w:tabs>
        <w:tab w:val="center" w:pos="4153"/>
        <w:tab w:val="right" w:pos="8306"/>
      </w:tabs>
      <w:snapToGrid w:val="0"/>
      <w:jc w:val="left"/>
    </w:pPr>
    <w:rPr>
      <w:kern w:val="0"/>
      <w:sz w:val="18"/>
      <w:szCs w:val="20"/>
    </w:rPr>
  </w:style>
  <w:style w:type="paragraph" w:styleId="22">
    <w:name w:val="header"/>
    <w:basedOn w:val="1"/>
    <w:link w:val="87"/>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3">
    <w:name w:val="toc 1"/>
    <w:basedOn w:val="1"/>
    <w:next w:val="1"/>
    <w:qFormat/>
    <w:uiPriority w:val="39"/>
  </w:style>
  <w:style w:type="paragraph" w:styleId="24">
    <w:name w:val="index heading"/>
    <w:basedOn w:val="1"/>
    <w:next w:val="25"/>
    <w:semiHidden/>
    <w:qFormat/>
    <w:uiPriority w:val="0"/>
    <w:rPr>
      <w:rFonts w:ascii="Arial" w:hAnsi="Arial" w:cs="Arial"/>
      <w:b/>
      <w:bCs/>
    </w:rPr>
  </w:style>
  <w:style w:type="paragraph" w:styleId="25">
    <w:name w:val="index 1"/>
    <w:basedOn w:val="1"/>
    <w:next w:val="1"/>
    <w:qFormat/>
    <w:uiPriority w:val="0"/>
    <w:pPr>
      <w:jc w:val="center"/>
    </w:pPr>
    <w:rPr>
      <w:color w:val="000000"/>
      <w:szCs w:val="21"/>
    </w:rPr>
  </w:style>
  <w:style w:type="paragraph" w:styleId="26">
    <w:name w:val="List"/>
    <w:basedOn w:val="1"/>
    <w:qFormat/>
    <w:uiPriority w:val="0"/>
    <w:pPr>
      <w:spacing w:line="320" w:lineRule="exact"/>
      <w:jc w:val="center"/>
    </w:pPr>
    <w:rPr>
      <w:sz w:val="22"/>
    </w:rPr>
  </w:style>
  <w:style w:type="paragraph" w:styleId="27">
    <w:name w:val="footnote text"/>
    <w:basedOn w:val="1"/>
    <w:qFormat/>
    <w:uiPriority w:val="0"/>
    <w:pPr>
      <w:widowControl/>
      <w:snapToGrid w:val="0"/>
      <w:spacing w:line="240" w:lineRule="auto"/>
      <w:jc w:val="left"/>
    </w:pPr>
    <w:rPr>
      <w:rFonts w:ascii="Calibri" w:hAnsi="Calibri"/>
      <w:sz w:val="18"/>
      <w:szCs w:val="18"/>
    </w:rPr>
  </w:style>
  <w:style w:type="paragraph" w:styleId="28">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9">
    <w:name w:val="annotation subject"/>
    <w:basedOn w:val="14"/>
    <w:next w:val="14"/>
    <w:link w:val="67"/>
    <w:qFormat/>
    <w:uiPriority w:val="0"/>
    <w:rPr>
      <w:b/>
      <w:bCs/>
    </w:rPr>
  </w:style>
  <w:style w:type="paragraph" w:styleId="30">
    <w:name w:val="Body Text First Indent"/>
    <w:basedOn w:val="2"/>
    <w:qFormat/>
    <w:uiPriority w:val="0"/>
    <w:pPr>
      <w:ind w:firstLine="420" w:firstLineChars="100"/>
    </w:pPr>
  </w:style>
  <w:style w:type="paragraph" w:styleId="31">
    <w:name w:val="Body Text First Indent 2"/>
    <w:basedOn w:val="16"/>
    <w:next w:val="1"/>
    <w:link w:val="81"/>
    <w:qFormat/>
    <w:uiPriority w:val="0"/>
    <w:pPr>
      <w:tabs>
        <w:tab w:val="left" w:pos="540"/>
      </w:tabs>
      <w:ind w:firstLine="420" w:firstLineChars="200"/>
    </w:p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22"/>
    <w:rPr>
      <w:b/>
      <w:bCs/>
    </w:rPr>
  </w:style>
  <w:style w:type="character" w:styleId="36">
    <w:name w:val="page number"/>
    <w:basedOn w:val="34"/>
    <w:qFormat/>
    <w:uiPriority w:val="0"/>
  </w:style>
  <w:style w:type="character" w:styleId="37">
    <w:name w:val="Hyperlink"/>
    <w:basedOn w:val="34"/>
    <w:unhideWhenUsed/>
    <w:qFormat/>
    <w:uiPriority w:val="99"/>
    <w:rPr>
      <w:color w:val="0563C1" w:themeColor="hyperlink"/>
      <w:u w:val="single"/>
      <w14:textFill>
        <w14:solidFill>
          <w14:schemeClr w14:val="hlink"/>
        </w14:solidFill>
      </w14:textFill>
    </w:rPr>
  </w:style>
  <w:style w:type="character" w:styleId="38">
    <w:name w:val="annotation reference"/>
    <w:basedOn w:val="34"/>
    <w:qFormat/>
    <w:uiPriority w:val="0"/>
    <w:rPr>
      <w:sz w:val="21"/>
      <w:szCs w:val="21"/>
    </w:rPr>
  </w:style>
  <w:style w:type="character" w:styleId="39">
    <w:name w:val="footnote reference"/>
    <w:qFormat/>
    <w:uiPriority w:val="0"/>
    <w:rPr>
      <w:vertAlign w:val="superscript"/>
    </w:rPr>
  </w:style>
  <w:style w:type="character" w:customStyle="1" w:styleId="40">
    <w:name w:val="标题 3 字符"/>
    <w:link w:val="6"/>
    <w:qFormat/>
    <w:uiPriority w:val="9"/>
    <w:rPr>
      <w:rFonts w:ascii="Times New Roman" w:hAnsi="Times New Roman" w:eastAsia="宋体" w:cs="Times New Roman"/>
      <w:b/>
      <w:bCs/>
      <w:kern w:val="2"/>
      <w:sz w:val="28"/>
      <w:szCs w:val="32"/>
      <w:lang w:val="en-US" w:eastAsia="zh-CN" w:bidi="ar-SA"/>
    </w:rPr>
  </w:style>
  <w:style w:type="paragraph" w:customStyle="1" w:styleId="41">
    <w:name w:val="Default"/>
    <w:basedOn w:val="42"/>
    <w:link w:val="71"/>
    <w:qFormat/>
    <w:uiPriority w:val="0"/>
    <w:pPr>
      <w:autoSpaceDE w:val="0"/>
      <w:autoSpaceDN w:val="0"/>
      <w:adjustRightInd w:val="0"/>
    </w:pPr>
    <w:rPr>
      <w:rFonts w:hAnsi="Calibri" w:eastAsia="微软雅黑" w:cs="宋体"/>
      <w:color w:val="000000"/>
      <w:sz w:val="24"/>
    </w:rPr>
  </w:style>
  <w:style w:type="paragraph" w:customStyle="1" w:styleId="42">
    <w:name w:val="纯文本1"/>
    <w:basedOn w:val="1"/>
    <w:qFormat/>
    <w:uiPriority w:val="0"/>
    <w:rPr>
      <w:rFonts w:ascii="宋体" w:hAnsi="Courier New"/>
    </w:rPr>
  </w:style>
  <w:style w:type="paragraph" w:customStyle="1" w:styleId="43">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4">
    <w:name w:val="Table Paragraph"/>
    <w:basedOn w:val="1"/>
    <w:qFormat/>
    <w:uiPriority w:val="1"/>
    <w:pPr>
      <w:autoSpaceDE w:val="0"/>
      <w:autoSpaceDN w:val="0"/>
      <w:adjustRightInd w:val="0"/>
      <w:jc w:val="left"/>
    </w:pPr>
    <w:rPr>
      <w:kern w:val="0"/>
      <w:sz w:val="24"/>
    </w:rPr>
  </w:style>
  <w:style w:type="paragraph" w:customStyle="1" w:styleId="45">
    <w:name w:val="段落"/>
    <w:basedOn w:val="1"/>
    <w:qFormat/>
    <w:uiPriority w:val="0"/>
    <w:pPr>
      <w:tabs>
        <w:tab w:val="left" w:pos="1320"/>
      </w:tabs>
      <w:spacing w:line="360" w:lineRule="auto"/>
      <w:ind w:firstLine="504" w:firstLineChars="200"/>
    </w:pPr>
    <w:rPr>
      <w:rFonts w:ascii="Arial" w:hAnsi="Arial"/>
      <w:color w:val="000000"/>
      <w:spacing w:val="6"/>
      <w:kern w:val="24"/>
      <w:sz w:val="24"/>
    </w:rPr>
  </w:style>
  <w:style w:type="paragraph" w:customStyle="1" w:styleId="46">
    <w:name w:val="表文"/>
    <w:basedOn w:val="1"/>
    <w:qFormat/>
    <w:uiPriority w:val="0"/>
    <w:pPr>
      <w:tabs>
        <w:tab w:val="left" w:pos="1021"/>
      </w:tabs>
      <w:jc w:val="center"/>
    </w:pPr>
    <w:rPr>
      <w:rFonts w:ascii="Arial" w:hAnsi="Arial"/>
      <w:kern w:val="20"/>
      <w:sz w:val="24"/>
      <w:szCs w:val="20"/>
    </w:rPr>
  </w:style>
  <w:style w:type="paragraph" w:customStyle="1" w:styleId="47">
    <w:name w:val="Char"/>
    <w:basedOn w:val="1"/>
    <w:qFormat/>
    <w:uiPriority w:val="0"/>
    <w:rPr>
      <w:sz w:val="24"/>
    </w:rPr>
  </w:style>
  <w:style w:type="paragraph" w:customStyle="1" w:styleId="48">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49">
    <w:name w:val="表格文字2"/>
    <w:basedOn w:val="1"/>
    <w:qFormat/>
    <w:uiPriority w:val="0"/>
    <w:pPr>
      <w:tabs>
        <w:tab w:val="left" w:pos="277"/>
        <w:tab w:val="left" w:pos="600"/>
        <w:tab w:val="left" w:pos="780"/>
        <w:tab w:val="left" w:pos="2517"/>
      </w:tabs>
      <w:adjustRightInd w:val="0"/>
      <w:spacing w:before="60"/>
      <w:jc w:val="center"/>
      <w:textAlignment w:val="baseline"/>
    </w:pPr>
    <w:rPr>
      <w:rFonts w:cs="宋体"/>
      <w:szCs w:val="21"/>
    </w:rPr>
  </w:style>
  <w:style w:type="paragraph" w:customStyle="1" w:styleId="50">
    <w:name w:val="正文文本首行缩进1"/>
    <w:basedOn w:val="1"/>
    <w:qFormat/>
    <w:uiPriority w:val="0"/>
    <w:pPr>
      <w:overflowPunct w:val="0"/>
      <w:autoSpaceDE w:val="0"/>
      <w:autoSpaceDN w:val="0"/>
      <w:adjustRightInd w:val="0"/>
      <w:spacing w:line="360" w:lineRule="auto"/>
      <w:ind w:firstLine="539"/>
      <w:textAlignment w:val="baseline"/>
    </w:pPr>
    <w:rPr>
      <w:rFonts w:eastAsia="仿宋_GB2312"/>
      <w:kern w:val="0"/>
      <w:sz w:val="28"/>
      <w:szCs w:val="20"/>
    </w:rPr>
  </w:style>
  <w:style w:type="paragraph" w:customStyle="1" w:styleId="51">
    <w:name w:val="表格内容"/>
    <w:basedOn w:val="52"/>
    <w:qFormat/>
    <w:uiPriority w:val="0"/>
    <w:rPr>
      <w:rFonts w:ascii="Times New Roman" w:hAnsi="Times New Roman"/>
    </w:rPr>
  </w:style>
  <w:style w:type="paragraph" w:customStyle="1" w:styleId="52">
    <w:name w:val="表格文字"/>
    <w:basedOn w:val="30"/>
    <w:qFormat/>
    <w:uiPriority w:val="0"/>
    <w:pPr>
      <w:adjustRightInd w:val="0"/>
      <w:snapToGrid w:val="0"/>
      <w:spacing w:after="0"/>
      <w:jc w:val="center"/>
    </w:pPr>
    <w:rPr>
      <w:rFonts w:ascii="宋体" w:hAnsi="宋体"/>
      <w:kern w:val="0"/>
      <w:sz w:val="20"/>
      <w:szCs w:val="21"/>
    </w:rPr>
  </w:style>
  <w:style w:type="paragraph" w:customStyle="1" w:styleId="53">
    <w:name w:val="普通(网站)1"/>
    <w:basedOn w:val="1"/>
    <w:qFormat/>
    <w:uiPriority w:val="0"/>
    <w:pPr>
      <w:widowControl/>
      <w:spacing w:before="100" w:beforeAutospacing="1" w:after="100" w:afterAutospacing="1"/>
      <w:jc w:val="left"/>
    </w:pPr>
    <w:rPr>
      <w:rFonts w:hint="eastAsia" w:ascii="宋体" w:hAnsi="宋体"/>
      <w:sz w:val="24"/>
      <w:szCs w:val="20"/>
    </w:rPr>
  </w:style>
  <w:style w:type="paragraph" w:customStyle="1" w:styleId="54">
    <w:name w:val="正文 32"/>
    <w:basedOn w:val="1"/>
    <w:qFormat/>
    <w:uiPriority w:val="0"/>
    <w:pPr>
      <w:autoSpaceDE w:val="0"/>
      <w:autoSpaceDN w:val="0"/>
      <w:adjustRightInd w:val="0"/>
      <w:spacing w:line="300" w:lineRule="auto"/>
      <w:ind w:firstLine="567"/>
      <w:textAlignment w:val="baseline"/>
    </w:pPr>
    <w:rPr>
      <w:rFonts w:eastAsia="楷体_GB2312"/>
      <w:kern w:val="0"/>
      <w:sz w:val="24"/>
      <w:szCs w:val="22"/>
    </w:rPr>
  </w:style>
  <w:style w:type="paragraph" w:customStyle="1" w:styleId="55">
    <w:name w:val="烟厂正文"/>
    <w:basedOn w:val="1"/>
    <w:qFormat/>
    <w:uiPriority w:val="0"/>
    <w:pPr>
      <w:spacing w:before="20" w:beforeLines="20" w:after="20" w:afterLines="20" w:line="500" w:lineRule="exact"/>
      <w:ind w:firstLine="200" w:firstLineChars="200"/>
    </w:pPr>
    <w:rPr>
      <w:sz w:val="24"/>
    </w:rPr>
  </w:style>
  <w:style w:type="paragraph" w:customStyle="1" w:styleId="56">
    <w:name w:val="样式 左侧:  0.85 厘米"/>
    <w:basedOn w:val="1"/>
    <w:semiHidden/>
    <w:qFormat/>
    <w:uiPriority w:val="0"/>
    <w:pPr>
      <w:adjustRightInd w:val="0"/>
      <w:spacing w:line="360" w:lineRule="auto"/>
      <w:ind w:firstLine="480" w:firstLineChars="200"/>
    </w:pPr>
    <w:rPr>
      <w:rFonts w:cs="宋体"/>
      <w:kern w:val="0"/>
    </w:rPr>
  </w:style>
  <w:style w:type="paragraph" w:customStyle="1" w:styleId="57">
    <w:name w:val="1正文阳选清"/>
    <w:basedOn w:val="1"/>
    <w:qFormat/>
    <w:uiPriority w:val="0"/>
    <w:pPr>
      <w:adjustRightInd w:val="0"/>
      <w:snapToGrid w:val="0"/>
      <w:spacing w:line="360" w:lineRule="auto"/>
      <w:ind w:left="20" w:leftChars="20" w:right="20" w:rightChars="20" w:firstLine="200" w:firstLineChars="200"/>
    </w:pPr>
    <w:rPr>
      <w:rFonts w:cs="Arial"/>
      <w:kern w:val="0"/>
      <w:sz w:val="24"/>
      <w:lang w:val="sq-AL" w:bidi="en-US"/>
    </w:rPr>
  </w:style>
  <w:style w:type="paragraph" w:customStyle="1" w:styleId="58">
    <w:name w:val="样式 (符号) 宋体 小四 行距: 1.5 倍行距"/>
    <w:basedOn w:val="1"/>
    <w:link w:val="90"/>
    <w:qFormat/>
    <w:uiPriority w:val="0"/>
    <w:pPr>
      <w:spacing w:line="360" w:lineRule="auto"/>
      <w:ind w:firstLine="480" w:firstLineChars="200"/>
    </w:pPr>
    <w:rPr>
      <w:rFonts w:hAnsi="宋体"/>
      <w:kern w:val="0"/>
      <w:sz w:val="24"/>
      <w:szCs w:val="20"/>
    </w:rPr>
  </w:style>
  <w:style w:type="paragraph" w:customStyle="1" w:styleId="59">
    <w:name w:val="样式 小四 行距: 1.5 倍行距 首行缩进:  2 字符1"/>
    <w:basedOn w:val="1"/>
    <w:qFormat/>
    <w:uiPriority w:val="0"/>
    <w:pPr>
      <w:adjustRightInd w:val="0"/>
      <w:snapToGrid w:val="0"/>
      <w:spacing w:line="360" w:lineRule="auto"/>
      <w:ind w:firstLine="200" w:firstLineChars="200"/>
    </w:pPr>
    <w:rPr>
      <w:rFonts w:cs="宋体"/>
      <w:kern w:val="0"/>
      <w:sz w:val="24"/>
    </w:rPr>
  </w:style>
  <w:style w:type="paragraph" w:customStyle="1" w:styleId="60">
    <w:name w:val="样式 小四 行距: 1.5 倍行距 首行缩进:  2 字符2"/>
    <w:basedOn w:val="1"/>
    <w:qFormat/>
    <w:uiPriority w:val="0"/>
    <w:pPr>
      <w:widowControl/>
      <w:adjustRightInd w:val="0"/>
      <w:snapToGrid w:val="0"/>
      <w:spacing w:line="360" w:lineRule="auto"/>
      <w:ind w:firstLine="200" w:firstLineChars="200"/>
    </w:pPr>
    <w:rPr>
      <w:rFonts w:cs="宋体"/>
      <w:sz w:val="24"/>
      <w:szCs w:val="20"/>
    </w:rPr>
  </w:style>
  <w:style w:type="paragraph" w:customStyle="1" w:styleId="61">
    <w:name w:val="样式 样式 小四 行距: 1.5 倍行距 首行缩进:  2 字符1 + 13 磅 黑色 紧缩量  0.2 磅"/>
    <w:basedOn w:val="59"/>
    <w:qFormat/>
    <w:uiPriority w:val="0"/>
    <w:rPr>
      <w:color w:val="000000"/>
      <w:spacing w:val="-4"/>
    </w:rPr>
  </w:style>
  <w:style w:type="paragraph" w:customStyle="1" w:styleId="62">
    <w:name w:val="样式 小四 行距: 1.5 倍行距 首行缩进:  2 字符"/>
    <w:basedOn w:val="1"/>
    <w:qFormat/>
    <w:uiPriority w:val="0"/>
    <w:pPr>
      <w:widowControl/>
      <w:adjustRightInd w:val="0"/>
      <w:snapToGrid w:val="0"/>
      <w:spacing w:line="360" w:lineRule="auto"/>
      <w:ind w:firstLine="200" w:firstLineChars="200"/>
    </w:pPr>
    <w:rPr>
      <w:rFonts w:cs="宋体"/>
      <w:sz w:val="24"/>
      <w:szCs w:val="20"/>
    </w:rPr>
  </w:style>
  <w:style w:type="paragraph" w:customStyle="1" w:styleId="63">
    <w:name w:val="样式 样式 小四 行距: 1.5 倍行距 首行缩进:  2 字符 + 加粗"/>
    <w:basedOn w:val="1"/>
    <w:qFormat/>
    <w:uiPriority w:val="0"/>
    <w:pPr>
      <w:widowControl/>
      <w:adjustRightInd w:val="0"/>
      <w:snapToGrid w:val="0"/>
      <w:spacing w:line="360" w:lineRule="auto"/>
      <w:ind w:firstLine="200" w:firstLineChars="200"/>
    </w:pPr>
    <w:rPr>
      <w:rFonts w:cs="宋体"/>
      <w:sz w:val="24"/>
    </w:rPr>
  </w:style>
  <w:style w:type="paragraph" w:customStyle="1" w:styleId="64">
    <w:name w:val="列出段落1"/>
    <w:basedOn w:val="1"/>
    <w:link w:val="79"/>
    <w:qFormat/>
    <w:uiPriority w:val="34"/>
    <w:pPr>
      <w:spacing w:line="480" w:lineRule="exact"/>
      <w:ind w:firstLine="420" w:firstLineChars="200"/>
    </w:pPr>
    <w:rPr>
      <w:sz w:val="24"/>
      <w:szCs w:val="22"/>
    </w:rPr>
  </w:style>
  <w:style w:type="paragraph" w:customStyle="1" w:styleId="65">
    <w:name w:val="正文文字"/>
    <w:basedOn w:val="13"/>
    <w:qFormat/>
    <w:uiPriority w:val="0"/>
    <w:pPr>
      <w:spacing w:line="360" w:lineRule="auto"/>
      <w:ind w:firstLine="200"/>
    </w:pPr>
    <w:rPr>
      <w:sz w:val="24"/>
    </w:rPr>
  </w:style>
  <w:style w:type="character" w:customStyle="1" w:styleId="66">
    <w:name w:val="批注文字 字符"/>
    <w:basedOn w:val="34"/>
    <w:link w:val="14"/>
    <w:qFormat/>
    <w:uiPriority w:val="0"/>
    <w:rPr>
      <w:kern w:val="2"/>
      <w:sz w:val="21"/>
      <w:szCs w:val="24"/>
    </w:rPr>
  </w:style>
  <w:style w:type="character" w:customStyle="1" w:styleId="67">
    <w:name w:val="批注主题 字符"/>
    <w:basedOn w:val="66"/>
    <w:link w:val="29"/>
    <w:qFormat/>
    <w:uiPriority w:val="0"/>
    <w:rPr>
      <w:b/>
      <w:bCs/>
      <w:kern w:val="2"/>
      <w:sz w:val="21"/>
      <w:szCs w:val="24"/>
    </w:rPr>
  </w:style>
  <w:style w:type="character" w:customStyle="1" w:styleId="68">
    <w:name w:val="标题 2 字符"/>
    <w:link w:val="5"/>
    <w:qFormat/>
    <w:uiPriority w:val="0"/>
    <w:rPr>
      <w:rFonts w:ascii="Arial" w:hAnsi="Arial" w:eastAsia="黑体"/>
      <w:b/>
      <w:kern w:val="2"/>
      <w:sz w:val="32"/>
      <w:szCs w:val="24"/>
    </w:rPr>
  </w:style>
  <w:style w:type="character" w:customStyle="1" w:styleId="69">
    <w:name w:val="6-1表格文字（居中）阳选清 Char"/>
    <w:link w:val="70"/>
    <w:qFormat/>
    <w:uiPriority w:val="0"/>
    <w:rPr>
      <w:bCs/>
      <w:color w:val="000000"/>
      <w:kern w:val="2"/>
      <w:sz w:val="21"/>
      <w:szCs w:val="18"/>
    </w:rPr>
  </w:style>
  <w:style w:type="paragraph" w:customStyle="1" w:styleId="70">
    <w:name w:val="6-1表格文字（居中）阳选清"/>
    <w:basedOn w:val="1"/>
    <w:link w:val="69"/>
    <w:qFormat/>
    <w:uiPriority w:val="0"/>
    <w:pPr>
      <w:adjustRightInd w:val="0"/>
      <w:snapToGrid w:val="0"/>
      <w:jc w:val="center"/>
    </w:pPr>
    <w:rPr>
      <w:bCs/>
      <w:color w:val="000000"/>
      <w:szCs w:val="18"/>
    </w:rPr>
  </w:style>
  <w:style w:type="character" w:customStyle="1" w:styleId="71">
    <w:name w:val="Default Char"/>
    <w:link w:val="41"/>
    <w:qFormat/>
    <w:uiPriority w:val="0"/>
    <w:rPr>
      <w:rFonts w:ascii="宋体" w:hAnsi="Calibri" w:eastAsia="微软雅黑" w:cs="宋体"/>
      <w:color w:val="000000"/>
      <w:kern w:val="2"/>
      <w:sz w:val="24"/>
      <w:szCs w:val="24"/>
    </w:rPr>
  </w:style>
  <w:style w:type="paragraph" w:customStyle="1" w:styleId="72">
    <w:name w:val="表格标题"/>
    <w:basedOn w:val="1"/>
    <w:next w:val="1"/>
    <w:qFormat/>
    <w:uiPriority w:val="0"/>
    <w:pPr>
      <w:ind w:firstLine="100" w:firstLineChars="100"/>
      <w:jc w:val="left"/>
    </w:pPr>
    <w:rPr>
      <w:rFonts w:ascii="宋体" w:hAnsi="宋体" w:eastAsia="黑体" w:cs="宋体"/>
      <w:kern w:val="0"/>
      <w:sz w:val="24"/>
    </w:rPr>
  </w:style>
  <w:style w:type="paragraph" w:styleId="73">
    <w:name w:val="List Paragraph"/>
    <w:basedOn w:val="1"/>
    <w:qFormat/>
    <w:uiPriority w:val="99"/>
    <w:pPr>
      <w:ind w:firstLine="420" w:firstLineChars="200"/>
    </w:pPr>
  </w:style>
  <w:style w:type="character" w:customStyle="1" w:styleId="74">
    <w:name w:val="标题 5 字符"/>
    <w:basedOn w:val="34"/>
    <w:link w:val="8"/>
    <w:qFormat/>
    <w:uiPriority w:val="0"/>
    <w:rPr>
      <w:rFonts w:cstheme="minorBidi"/>
      <w:b/>
      <w:bCs/>
      <w:kern w:val="2"/>
      <w:sz w:val="28"/>
      <w:szCs w:val="28"/>
    </w:rPr>
  </w:style>
  <w:style w:type="character" w:customStyle="1" w:styleId="75">
    <w:name w:val="标题 6 字符"/>
    <w:basedOn w:val="34"/>
    <w:link w:val="9"/>
    <w:qFormat/>
    <w:uiPriority w:val="0"/>
    <w:rPr>
      <w:rFonts w:asciiTheme="majorHAnsi" w:hAnsiTheme="majorHAnsi" w:eastAsiaTheme="majorEastAsia" w:cstheme="majorBidi"/>
      <w:b/>
      <w:bCs/>
      <w:kern w:val="2"/>
      <w:sz w:val="24"/>
      <w:szCs w:val="24"/>
    </w:rPr>
  </w:style>
  <w:style w:type="character" w:customStyle="1" w:styleId="76">
    <w:name w:val="标题 7 字符"/>
    <w:basedOn w:val="34"/>
    <w:link w:val="10"/>
    <w:qFormat/>
    <w:uiPriority w:val="0"/>
    <w:rPr>
      <w:rFonts w:cstheme="minorBidi"/>
      <w:b/>
      <w:bCs/>
      <w:kern w:val="2"/>
      <w:sz w:val="24"/>
      <w:szCs w:val="24"/>
    </w:rPr>
  </w:style>
  <w:style w:type="character" w:customStyle="1" w:styleId="77">
    <w:name w:val="标题 8 字符"/>
    <w:basedOn w:val="34"/>
    <w:link w:val="11"/>
    <w:qFormat/>
    <w:uiPriority w:val="0"/>
    <w:rPr>
      <w:rFonts w:asciiTheme="majorHAnsi" w:hAnsiTheme="majorHAnsi" w:eastAsiaTheme="majorEastAsia" w:cstheme="majorBidi"/>
      <w:kern w:val="2"/>
      <w:sz w:val="24"/>
      <w:szCs w:val="24"/>
    </w:rPr>
  </w:style>
  <w:style w:type="character" w:customStyle="1" w:styleId="78">
    <w:name w:val="标题 9 字符"/>
    <w:basedOn w:val="34"/>
    <w:link w:val="12"/>
    <w:qFormat/>
    <w:uiPriority w:val="0"/>
    <w:rPr>
      <w:rFonts w:asciiTheme="majorHAnsi" w:hAnsiTheme="majorHAnsi" w:eastAsiaTheme="majorEastAsia" w:cstheme="majorBidi"/>
      <w:kern w:val="2"/>
      <w:sz w:val="21"/>
      <w:szCs w:val="21"/>
    </w:rPr>
  </w:style>
  <w:style w:type="character" w:customStyle="1" w:styleId="79">
    <w:name w:val="列出段落 Char"/>
    <w:link w:val="64"/>
    <w:qFormat/>
    <w:locked/>
    <w:uiPriority w:val="34"/>
    <w:rPr>
      <w:kern w:val="2"/>
      <w:sz w:val="24"/>
      <w:szCs w:val="22"/>
    </w:rPr>
  </w:style>
  <w:style w:type="paragraph" w:customStyle="1" w:styleId="80">
    <w:name w:val="表格题头"/>
    <w:basedOn w:val="1"/>
    <w:qFormat/>
    <w:uiPriority w:val="0"/>
    <w:pPr>
      <w:adjustRightInd w:val="0"/>
      <w:snapToGrid w:val="0"/>
      <w:spacing w:beforeLines="50" w:line="460" w:lineRule="exact"/>
      <w:jc w:val="center"/>
    </w:pPr>
    <w:rPr>
      <w:rFonts w:eastAsia="黑体"/>
      <w:sz w:val="24"/>
    </w:rPr>
  </w:style>
  <w:style w:type="character" w:customStyle="1" w:styleId="81">
    <w:name w:val="正文文本首行缩进 2 字符"/>
    <w:link w:val="31"/>
    <w:qFormat/>
    <w:uiPriority w:val="0"/>
    <w:rPr>
      <w:sz w:val="24"/>
    </w:rPr>
  </w:style>
  <w:style w:type="character" w:customStyle="1" w:styleId="82">
    <w:name w:val="正文文本 3 字符"/>
    <w:basedOn w:val="34"/>
    <w:link w:val="15"/>
    <w:qFormat/>
    <w:uiPriority w:val="0"/>
    <w:rPr>
      <w:kern w:val="2"/>
      <w:sz w:val="16"/>
      <w:szCs w:val="16"/>
    </w:rPr>
  </w:style>
  <w:style w:type="paragraph" w:customStyle="1" w:styleId="83">
    <w:name w:val="表格文本1"/>
    <w:basedOn w:val="1"/>
    <w:qFormat/>
    <w:uiPriority w:val="0"/>
    <w:pPr>
      <w:jc w:val="center"/>
    </w:pPr>
    <w:rPr>
      <w:szCs w:val="21"/>
    </w:rPr>
  </w:style>
  <w:style w:type="character" w:customStyle="1" w:styleId="84">
    <w:name w:val="无间隔 Char"/>
    <w:link w:val="85"/>
    <w:qFormat/>
    <w:locked/>
    <w:uiPriority w:val="0"/>
    <w:rPr>
      <w:rFonts w:eastAsia="仿宋_GB2312"/>
      <w:szCs w:val="32"/>
    </w:rPr>
  </w:style>
  <w:style w:type="paragraph" w:customStyle="1" w:styleId="85">
    <w:name w:val="无间隔1"/>
    <w:basedOn w:val="1"/>
    <w:next w:val="1"/>
    <w:link w:val="84"/>
    <w:qFormat/>
    <w:uiPriority w:val="0"/>
    <w:rPr>
      <w:rFonts w:eastAsia="仿宋_GB2312"/>
      <w:kern w:val="0"/>
      <w:sz w:val="20"/>
      <w:szCs w:val="32"/>
    </w:rPr>
  </w:style>
  <w:style w:type="paragraph" w:customStyle="1" w:styleId="86">
    <w:name w:val="xl31"/>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18"/>
      <w:szCs w:val="18"/>
    </w:rPr>
  </w:style>
  <w:style w:type="character" w:customStyle="1" w:styleId="87">
    <w:name w:val="页眉 字符"/>
    <w:link w:val="22"/>
    <w:qFormat/>
    <w:uiPriority w:val="99"/>
    <w:rPr>
      <w:kern w:val="2"/>
      <w:sz w:val="18"/>
      <w:szCs w:val="24"/>
    </w:rPr>
  </w:style>
  <w:style w:type="character" w:customStyle="1" w:styleId="88">
    <w:name w:val="表头文字 Char"/>
    <w:link w:val="89"/>
    <w:qFormat/>
    <w:uiPriority w:val="0"/>
    <w:rPr>
      <w:rFonts w:eastAsia="黑体"/>
      <w:kern w:val="2"/>
      <w:sz w:val="24"/>
    </w:rPr>
  </w:style>
  <w:style w:type="paragraph" w:customStyle="1" w:styleId="89">
    <w:name w:val="表头文字"/>
    <w:basedOn w:val="2"/>
    <w:link w:val="88"/>
    <w:qFormat/>
    <w:uiPriority w:val="0"/>
    <w:pPr>
      <w:adjustRightInd w:val="0"/>
      <w:snapToGrid w:val="0"/>
      <w:spacing w:before="156" w:beforeLines="50" w:line="360" w:lineRule="auto"/>
      <w:jc w:val="left"/>
    </w:pPr>
    <w:rPr>
      <w:rFonts w:eastAsia="黑体"/>
      <w:sz w:val="24"/>
      <w:szCs w:val="20"/>
    </w:rPr>
  </w:style>
  <w:style w:type="character" w:customStyle="1" w:styleId="90">
    <w:name w:val="样式 (符号) 宋体 小四 行距: 1.5 倍行距 Char"/>
    <w:link w:val="58"/>
    <w:qFormat/>
    <w:uiPriority w:val="0"/>
    <w:rPr>
      <w:rFonts w:hAnsi="宋体"/>
      <w:sz w:val="24"/>
    </w:rPr>
  </w:style>
  <w:style w:type="character" w:customStyle="1" w:styleId="91">
    <w:name w:val="正文文本 字符"/>
    <w:link w:val="2"/>
    <w:qFormat/>
    <w:uiPriority w:val="99"/>
    <w:rPr>
      <w:kern w:val="2"/>
      <w:sz w:val="21"/>
      <w:szCs w:val="24"/>
    </w:rPr>
  </w:style>
  <w:style w:type="character" w:customStyle="1" w:styleId="92">
    <w:name w:val="批注框文本 字符"/>
    <w:basedOn w:val="34"/>
    <w:link w:val="20"/>
    <w:qFormat/>
    <w:uiPriority w:val="0"/>
    <w:rPr>
      <w:kern w:val="2"/>
      <w:sz w:val="18"/>
      <w:szCs w:val="18"/>
    </w:rPr>
  </w:style>
  <w:style w:type="paragraph" w:customStyle="1" w:styleId="93">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94">
    <w:name w:val="图表标题"/>
    <w:basedOn w:val="1"/>
    <w:qFormat/>
    <w:uiPriority w:val="0"/>
    <w:pPr>
      <w:spacing w:line="360" w:lineRule="auto"/>
      <w:jc w:val="center"/>
    </w:pPr>
    <w:rPr>
      <w:b/>
      <w:szCs w:val="21"/>
    </w:rPr>
  </w:style>
  <w:style w:type="character" w:customStyle="1" w:styleId="95">
    <w:name w:val="页脚 字符"/>
    <w:basedOn w:val="34"/>
    <w:link w:val="21"/>
    <w:qFormat/>
    <w:uiPriority w:val="99"/>
    <w:rPr>
      <w:sz w:val="18"/>
    </w:rPr>
  </w:style>
  <w:style w:type="table" w:customStyle="1" w:styleId="96">
    <w:name w:val="Table Normal"/>
    <w:semiHidden/>
    <w:unhideWhenUsed/>
    <w:qFormat/>
    <w:uiPriority w:val="0"/>
    <w:tblPr>
      <w:tblCellMar>
        <w:top w:w="0" w:type="dxa"/>
        <w:left w:w="0" w:type="dxa"/>
        <w:bottom w:w="0" w:type="dxa"/>
        <w:right w:w="0" w:type="dxa"/>
      </w:tblCellMar>
    </w:tblPr>
  </w:style>
  <w:style w:type="paragraph" w:customStyle="1" w:styleId="97">
    <w:name w:val="WPSOffice手动目录 1"/>
    <w:qFormat/>
    <w:uiPriority w:val="0"/>
    <w:pPr>
      <w:ind w:leftChars="0"/>
    </w:pPr>
    <w:rPr>
      <w:rFonts w:ascii="Times New Roman" w:hAnsi="Times New Roman" w:eastAsia="宋体" w:cs="Times New Roman"/>
      <w:sz w:val="20"/>
      <w:szCs w:val="20"/>
    </w:rPr>
  </w:style>
  <w:style w:type="paragraph" w:customStyle="1" w:styleId="98">
    <w:name w:val="YY表头"/>
    <w:basedOn w:val="1"/>
    <w:qFormat/>
    <w:uiPriority w:val="0"/>
    <w:pPr>
      <w:adjustRightInd w:val="0"/>
      <w:snapToGrid w:val="0"/>
      <w:spacing w:before="50" w:beforeLines="50" w:line="240" w:lineRule="auto"/>
      <w:ind w:left="0" w:leftChars="0" w:firstLine="0" w:firstLineChars="0"/>
      <w:jc w:val="center"/>
    </w:pPr>
    <w:rPr>
      <w:rFonts w:cs="Times New Roman"/>
      <w:b/>
      <w:color w:val="000000"/>
    </w:rPr>
  </w:style>
  <w:style w:type="paragraph" w:customStyle="1" w:styleId="99">
    <w:name w:val="表格2"/>
    <w:basedOn w:val="2"/>
    <w:next w:val="1"/>
    <w:qFormat/>
    <w:uiPriority w:val="0"/>
    <w:pPr>
      <w:widowControl w:val="0"/>
      <w:tabs>
        <w:tab w:val="left" w:pos="3720"/>
      </w:tabs>
      <w:autoSpaceDE w:val="0"/>
      <w:autoSpaceDN w:val="0"/>
      <w:adjustRightInd w:val="0"/>
      <w:snapToGrid/>
      <w:spacing w:before="0" w:after="0" w:line="240" w:lineRule="auto"/>
      <w:ind w:right="0" w:firstLine="0" w:firstLineChars="0"/>
      <w:jc w:val="center"/>
      <w:textAlignment w:val="bottom"/>
    </w:pPr>
    <w:rPr>
      <w:sz w:val="21"/>
      <w:szCs w:val="21"/>
    </w:rPr>
  </w:style>
  <w:style w:type="paragraph" w:customStyle="1" w:styleId="100">
    <w:name w:val="guo-正文缩进2"/>
    <w:basedOn w:val="4"/>
    <w:qFormat/>
    <w:uiPriority w:val="0"/>
    <w:pPr>
      <w:ind w:firstLine="562" w:firstLineChars="200"/>
    </w:pPr>
    <w:rPr>
      <w:rFonts w:ascii="Times New Roman" w:hAnsi="Times New Roman" w:eastAsia="宋体"/>
    </w:rPr>
  </w:style>
  <w:style w:type="paragraph" w:customStyle="1" w:styleId="101">
    <w:name w:val="guo-表格内容-居中"/>
    <w:basedOn w:val="4"/>
    <w:qFormat/>
    <w:uiPriority w:val="0"/>
    <w:pPr>
      <w:tabs>
        <w:tab w:val="left" w:pos="1021"/>
      </w:tabs>
      <w:spacing w:line="240" w:lineRule="auto"/>
      <w:jc w:val="center"/>
    </w:pPr>
    <w:rPr>
      <w:rFonts w:ascii="Times New Roman" w:hAnsi="Times New Roman" w:eastAsia="宋体"/>
      <w:color w:val="000000"/>
      <w:sz w:val="22"/>
      <w:szCs w:val="22"/>
    </w:rPr>
  </w:style>
  <w:style w:type="paragraph" w:customStyle="1" w:styleId="102">
    <w:name w:val="列出段落12"/>
    <w:unhideWhenUsed/>
    <w:qFormat/>
    <w:uiPriority w:val="99"/>
    <w:pPr>
      <w:widowControl/>
      <w:spacing w:line="240" w:lineRule="auto"/>
      <w:ind w:firstLine="420" w:firstLineChars="200"/>
      <w:jc w:val="left"/>
    </w:pPr>
    <w:rPr>
      <w:rFonts w:ascii="Calibri" w:hAnsi="Calibri" w:eastAsia="宋体" w:cs="Times New Roman"/>
      <w:kern w:val="2"/>
      <w:sz w:val="21"/>
      <w:szCs w:val="24"/>
      <w:lang w:val="en-US" w:eastAsia="zh-CN" w:bidi="ar-SA"/>
    </w:rPr>
  </w:style>
  <w:style w:type="paragraph" w:customStyle="1" w:styleId="103">
    <w:name w:val="表头"/>
    <w:basedOn w:val="1"/>
    <w:qFormat/>
    <w:uiPriority w:val="0"/>
    <w:pPr>
      <w:spacing w:line="240" w:lineRule="auto"/>
      <w:ind w:firstLine="0" w:firstLineChars="0"/>
      <w:jc w:val="center"/>
    </w:pPr>
    <w:rPr>
      <w:rFonts w:ascii="Times New Roman" w:hAnsi="Times New Roman" w:eastAsia="宋体"/>
      <w:b/>
      <w:sz w:val="24"/>
      <w:szCs w:val="21"/>
    </w:rPr>
  </w:style>
  <w:style w:type="table" w:customStyle="1" w:styleId="104">
    <w:name w:val="网格型171"/>
    <w:basedOn w:val="3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5">
    <w:name w:val="表格样式"/>
    <w:basedOn w:val="72"/>
    <w:qFormat/>
    <w:uiPriority w:val="0"/>
    <w:pPr>
      <w:spacing w:line="240" w:lineRule="auto"/>
    </w:pPr>
    <w:rPr>
      <w:rFonts w:ascii="Times New Roman" w:hAnsi="Times New Roman" w:eastAsia="宋体"/>
      <w:snapToGrid w:val="0"/>
      <w:color w:val="auto"/>
      <w:spacing w:val="0"/>
      <w:kern w:val="0"/>
      <w:sz w:val="21"/>
      <w:szCs w:val="21"/>
    </w:rPr>
  </w:style>
  <w:style w:type="paragraph" w:customStyle="1" w:styleId="106">
    <w:name w:val="表-正文"/>
    <w:basedOn w:val="1"/>
    <w:qFormat/>
    <w:uiPriority w:val="0"/>
    <w:pPr>
      <w:spacing w:line="360" w:lineRule="auto"/>
      <w:ind w:firstLine="200" w:firstLineChars="200"/>
      <w:jc w:val="both"/>
    </w:pPr>
    <w:rPr>
      <w:rFonts w:ascii="Times New Roman" w:hAnsi="Times New Roman"/>
      <w:sz w:val="24"/>
    </w:rPr>
  </w:style>
  <w:style w:type="paragraph" w:customStyle="1" w:styleId="107">
    <w:name w:val="1级标题"/>
    <w:basedOn w:val="1"/>
    <w:qFormat/>
    <w:uiPriority w:val="0"/>
    <w:pPr>
      <w:numPr>
        <w:ilvl w:val="0"/>
        <w:numId w:val="3"/>
      </w:numPr>
      <w:spacing w:line="360" w:lineRule="auto"/>
      <w:outlineLvl w:val="0"/>
    </w:pPr>
    <w:rPr>
      <w:rFonts w:ascii="Times New Roman" w:hAnsi="Times New Roman"/>
      <w:b/>
      <w:sz w:val="28"/>
    </w:rPr>
  </w:style>
  <w:style w:type="paragraph" w:customStyle="1" w:styleId="108">
    <w:name w:val="2级标题"/>
    <w:basedOn w:val="1"/>
    <w:next w:val="106"/>
    <w:qFormat/>
    <w:uiPriority w:val="0"/>
    <w:pPr>
      <w:numPr>
        <w:ilvl w:val="1"/>
        <w:numId w:val="3"/>
      </w:numPr>
      <w:spacing w:before="50" w:beforeLines="50" w:line="360" w:lineRule="auto"/>
      <w:ind w:left="567" w:hanging="567"/>
      <w:outlineLvl w:val="1"/>
    </w:pPr>
    <w:rPr>
      <w:rFonts w:ascii="Times New Roman" w:hAnsi="Times New Roman"/>
      <w:b/>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header" Target="header1.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45.emf"/><Relationship Id="rId57" Type="http://schemas.openxmlformats.org/officeDocument/2006/relationships/oleObject" Target="embeddings/oleObject4.bin"/><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wmf"/><Relationship Id="rId38" Type="http://schemas.openxmlformats.org/officeDocument/2006/relationships/oleObject" Target="embeddings/oleObject3.bin"/><Relationship Id="rId37" Type="http://schemas.openxmlformats.org/officeDocument/2006/relationships/image" Target="media/image26.wmf"/><Relationship Id="rId36" Type="http://schemas.openxmlformats.org/officeDocument/2006/relationships/oleObject" Target="embeddings/oleObject2.bin"/><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125</Pages>
  <Words>1260</Words>
  <Characters>1407</Characters>
  <Lines>665</Lines>
  <Paragraphs>187</Paragraphs>
  <TotalTime>12</TotalTime>
  <ScaleCrop>false</ScaleCrop>
  <LinksUpToDate>false</LinksUpToDate>
  <CharactersWithSpaces>1457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2022-12-20T09:53:00Z</dcterms:created>
  <dc:creator>52421</dc:creator>
  <cp:lastModifiedBy>美女无敌</cp:lastModifiedBy>
  <cp:lastPrinted>2023-08-23T08:18:00Z</cp:lastPrinted>
  <dcterms:modified xsi:type="dcterms:W3CDTF">2026-04-13T01:40:00Z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03BBF8F8CD2F48819CE72F9B2F6F59D7_13</vt:lpwstr>
  </property>
  <property fmtid="{D5CDD505-2E9C-101B-9397-08002B2CF9AE}" pid="4" name="KSOTemplateDocerSaveRecord">
    <vt:lpwstr>eyJoZGlkIjoiZTY2MWM4MWY1Nzc3YTU2NWFiNzU3MWZmM2EwMGNkMjgiLCJ1c2VySWQiOiIxMDQyNTgwODk2In0=</vt:lpwstr>
  </property>
</Properties>
</file>