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方正小标宋_GBK" w:cs="Times New Roman"/>
          <w:sz w:val="48"/>
          <w:szCs w:val="48"/>
        </w:rPr>
      </w:pPr>
      <w:r>
        <w:rPr>
          <w:rFonts w:hint="default" w:ascii="Times New Roman" w:hAnsi="Times New Roman" w:cs="Times New Roman"/>
          <w:sz w:val="48"/>
          <w:szCs w:val="48"/>
        </w:rPr>
        <w:t>2019年度部门整体支出绩效自评报告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衡阳市人民政府金融工作办公室</w:t>
      </w:r>
    </w:p>
    <w:p>
      <w:pPr>
        <w:keepNext w:val="0"/>
        <w:keepLines w:val="0"/>
        <w:pageBreakBefore w:val="0"/>
        <w:kinsoku/>
        <w:wordWrap/>
        <w:overflowPunct/>
        <w:topLinePunct w:val="0"/>
        <w:autoSpaceDN/>
        <w:bidi w:val="0"/>
        <w:adjustRightInd/>
        <w:spacing w:line="360" w:lineRule="auto"/>
        <w:jc w:val="center"/>
        <w:textAlignment w:val="auto"/>
        <w:rPr>
          <w:rFonts w:hint="default" w:ascii="Times New Roman" w:hAnsi="Times New Roman" w:eastAsia="黑体" w:cs="Times New Roman"/>
          <w:sz w:val="44"/>
          <w:szCs w:val="44"/>
          <w:lang w:val="en-US" w:eastAsia="zh-CN"/>
        </w:rPr>
      </w:pPr>
    </w:p>
    <w:p>
      <w:pPr>
        <w:keepNext w:val="0"/>
        <w:keepLines w:val="0"/>
        <w:pageBreakBefore w:val="0"/>
        <w:kinsoku/>
        <w:wordWrap/>
        <w:overflowPunct/>
        <w:topLinePunct w:val="0"/>
        <w:autoSpaceDN/>
        <w:bidi w:val="0"/>
        <w:adjustRightInd/>
        <w:spacing w:line="360" w:lineRule="auto"/>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N/>
        <w:bidi w:val="0"/>
        <w:adjustRightInd/>
        <w:spacing w:line="360" w:lineRule="auto"/>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黑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黑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黑体" w:cs="Times New Roman"/>
          <w:b w:val="0"/>
          <w:bCs w:val="0"/>
          <w:sz w:val="44"/>
          <w:szCs w:val="44"/>
          <w:lang w:val="en-US" w:eastAsia="zh-CN"/>
        </w:rPr>
      </w:pPr>
      <w:r>
        <w:rPr>
          <w:rFonts w:hint="eastAsia" w:eastAsia="黑体" w:cs="Times New Roman"/>
          <w:b w:val="0"/>
          <w:bCs w:val="0"/>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黑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黑体" w:cs="Times New Roman"/>
          <w:b/>
          <w:bCs/>
          <w:sz w:val="44"/>
          <w:szCs w:val="44"/>
          <w:lang w:val="en-US" w:eastAsia="zh-CN"/>
        </w:rPr>
      </w:pPr>
    </w:p>
    <w:p>
      <w:pPr>
        <w:pStyle w:val="9"/>
        <w:keepNext w:val="0"/>
        <w:keepLines w:val="0"/>
        <w:pageBreakBefore w:val="0"/>
        <w:widowControl/>
        <w:kinsoku/>
        <w:wordWrap/>
        <w:overflowPunct/>
        <w:topLinePunct w:val="0"/>
        <w:autoSpaceDE/>
        <w:autoSpaceDN/>
        <w:bidi w:val="0"/>
        <w:adjustRightInd/>
        <w:snapToGrid/>
        <w:spacing w:line="600" w:lineRule="exact"/>
        <w:ind w:firstLine="640" w:firstLineChars="0"/>
        <w:textAlignment w:val="auto"/>
        <w:rPr>
          <w:rFonts w:hint="eastAsia" w:ascii="黑体" w:hAnsi="黑体" w:eastAsia="宋体"/>
          <w:sz w:val="32"/>
          <w:szCs w:val="32"/>
          <w:lang w:eastAsia="zh-CN"/>
        </w:rPr>
      </w:pPr>
      <w:r>
        <w:rPr>
          <w:rFonts w:hint="eastAsia" w:ascii="黑体" w:hAnsi="黑体"/>
          <w:sz w:val="32"/>
          <w:szCs w:val="32"/>
        </w:rPr>
        <w:t>一、</w:t>
      </w:r>
      <w:r>
        <w:rPr>
          <w:rFonts w:ascii="黑体" w:hAnsi="黑体"/>
          <w:sz w:val="32"/>
          <w:szCs w:val="32"/>
        </w:rPr>
        <w:t>部门、单位基本情况</w:t>
      </w:r>
    </w:p>
    <w:p>
      <w:pPr>
        <w:pStyle w:val="9"/>
        <w:keepNext w:val="0"/>
        <w:keepLines w:val="0"/>
        <w:pageBreakBefore w:val="0"/>
        <w:widowControl/>
        <w:kinsoku/>
        <w:wordWrap/>
        <w:overflowPunct/>
        <w:topLinePunct w:val="0"/>
        <w:autoSpaceDE/>
        <w:autoSpaceDN/>
        <w:bidi w:val="0"/>
        <w:adjustRightInd/>
        <w:snapToGrid/>
        <w:spacing w:line="600" w:lineRule="exact"/>
        <w:ind w:firstLine="640" w:firstLineChars="0"/>
        <w:textAlignment w:val="auto"/>
        <w:rPr>
          <w:rFonts w:hint="eastAsia" w:ascii="黑体" w:hAnsi="黑体" w:eastAsia="宋体"/>
          <w:sz w:val="32"/>
          <w:szCs w:val="32"/>
          <w:lang w:eastAsia="zh-CN"/>
        </w:rPr>
      </w:pPr>
      <w:r>
        <w:rPr>
          <w:rFonts w:ascii="黑体" w:hAnsi="黑体"/>
          <w:sz w:val="32"/>
          <w:szCs w:val="32"/>
        </w:rPr>
        <w:t>二、一般公共预算支出情况</w:t>
      </w:r>
    </w:p>
    <w:p>
      <w:pPr>
        <w:pStyle w:val="9"/>
        <w:keepNext w:val="0"/>
        <w:keepLines w:val="0"/>
        <w:pageBreakBefore w:val="0"/>
        <w:widowControl/>
        <w:kinsoku/>
        <w:wordWrap/>
        <w:overflowPunct/>
        <w:topLinePunct w:val="0"/>
        <w:autoSpaceDE/>
        <w:autoSpaceDN/>
        <w:bidi w:val="0"/>
        <w:adjustRightInd/>
        <w:snapToGrid/>
        <w:spacing w:line="600" w:lineRule="exact"/>
        <w:ind w:firstLine="640" w:firstLineChars="0"/>
        <w:textAlignment w:val="auto"/>
        <w:rPr>
          <w:rFonts w:hint="eastAsia" w:ascii="黑体" w:hAnsi="黑体" w:eastAsia="黑体"/>
          <w:sz w:val="32"/>
          <w:szCs w:val="32"/>
        </w:rPr>
      </w:pPr>
      <w:r>
        <w:rPr>
          <w:rFonts w:ascii="黑体" w:hAnsi="黑体"/>
          <w:sz w:val="32"/>
          <w:szCs w:val="32"/>
        </w:rPr>
        <w:t>三、政府性基金预算支出情况</w:t>
      </w:r>
    </w:p>
    <w:p>
      <w:pPr>
        <w:pStyle w:val="9"/>
        <w:keepNext w:val="0"/>
        <w:keepLines w:val="0"/>
        <w:pageBreakBefore w:val="0"/>
        <w:widowControl/>
        <w:kinsoku/>
        <w:wordWrap/>
        <w:overflowPunct/>
        <w:topLinePunct w:val="0"/>
        <w:autoSpaceDE/>
        <w:autoSpaceDN/>
        <w:bidi w:val="0"/>
        <w:adjustRightInd/>
        <w:snapToGrid/>
        <w:spacing w:line="600" w:lineRule="exact"/>
        <w:ind w:firstLine="640" w:firstLineChars="0"/>
        <w:textAlignment w:val="auto"/>
        <w:rPr>
          <w:rFonts w:hint="eastAsia" w:ascii="黑体" w:hAnsi="黑体" w:eastAsia="黑体"/>
          <w:sz w:val="32"/>
          <w:szCs w:val="32"/>
        </w:rPr>
      </w:pPr>
      <w:r>
        <w:rPr>
          <w:rFonts w:ascii="黑体" w:hAnsi="黑体"/>
          <w:sz w:val="32"/>
          <w:szCs w:val="32"/>
        </w:rPr>
        <w:t>四、国有资本经营预算支出情况</w:t>
      </w:r>
    </w:p>
    <w:p>
      <w:pPr>
        <w:pStyle w:val="9"/>
        <w:keepNext w:val="0"/>
        <w:keepLines w:val="0"/>
        <w:pageBreakBefore w:val="0"/>
        <w:widowControl/>
        <w:kinsoku/>
        <w:wordWrap/>
        <w:overflowPunct/>
        <w:topLinePunct w:val="0"/>
        <w:autoSpaceDE/>
        <w:autoSpaceDN/>
        <w:bidi w:val="0"/>
        <w:adjustRightInd/>
        <w:snapToGrid/>
        <w:spacing w:line="600" w:lineRule="exact"/>
        <w:ind w:firstLine="640" w:firstLineChars="0"/>
        <w:textAlignment w:val="auto"/>
        <w:rPr>
          <w:rFonts w:ascii="黑体" w:hAnsi="黑体" w:eastAsia="黑体"/>
          <w:sz w:val="32"/>
          <w:szCs w:val="32"/>
        </w:rPr>
      </w:pPr>
      <w:r>
        <w:rPr>
          <w:rFonts w:ascii="黑体" w:hAnsi="黑体"/>
          <w:sz w:val="32"/>
          <w:szCs w:val="32"/>
        </w:rPr>
        <w:t>五、社会保险基金预算支出情况</w:t>
      </w:r>
    </w:p>
    <w:p>
      <w:pPr>
        <w:keepNext w:val="0"/>
        <w:keepLines w:val="0"/>
        <w:pageBreakBefore w:val="0"/>
        <w:widowControl/>
        <w:kinsoku/>
        <w:wordWrap/>
        <w:overflowPunct/>
        <w:topLinePunct w:val="0"/>
        <w:autoSpaceDE/>
        <w:autoSpaceDN/>
        <w:bidi w:val="0"/>
        <w:adjustRightInd/>
        <w:snapToGrid/>
        <w:spacing w:line="600" w:lineRule="exact"/>
        <w:ind w:firstLine="645"/>
        <w:jc w:val="left"/>
        <w:textAlignment w:val="auto"/>
        <w:rPr>
          <w:rFonts w:ascii="黑体" w:hAnsi="黑体" w:eastAsia="黑体"/>
          <w:sz w:val="32"/>
          <w:szCs w:val="32"/>
        </w:rPr>
      </w:pPr>
      <w:r>
        <w:rPr>
          <w:rFonts w:hint="eastAsia" w:ascii="黑体" w:hAnsi="黑体"/>
          <w:sz w:val="32"/>
          <w:szCs w:val="32"/>
        </w:rPr>
        <w:t>六</w:t>
      </w:r>
      <w:r>
        <w:rPr>
          <w:rFonts w:ascii="黑体" w:hAnsi="黑体"/>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600" w:lineRule="exact"/>
        <w:ind w:firstLine="645"/>
        <w:jc w:val="left"/>
        <w:textAlignment w:val="auto"/>
        <w:rPr>
          <w:rFonts w:ascii="黑体" w:hAnsi="黑体"/>
          <w:sz w:val="32"/>
          <w:szCs w:val="32"/>
        </w:rPr>
      </w:pPr>
      <w:r>
        <w:rPr>
          <w:rFonts w:hint="eastAsia" w:ascii="黑体" w:hAnsi="黑体"/>
          <w:color w:val="000000"/>
          <w:sz w:val="32"/>
          <w:szCs w:val="32"/>
        </w:rPr>
        <w:t>七、</w:t>
      </w:r>
      <w:r>
        <w:rPr>
          <w:rFonts w:ascii="黑体" w:hAnsi="黑体"/>
          <w:sz w:val="32"/>
          <w:szCs w:val="32"/>
        </w:rPr>
        <w:t>存在的主要问题</w:t>
      </w:r>
    </w:p>
    <w:p>
      <w:pPr>
        <w:keepNext w:val="0"/>
        <w:keepLines w:val="0"/>
        <w:pageBreakBefore w:val="0"/>
        <w:widowControl/>
        <w:kinsoku/>
        <w:wordWrap/>
        <w:overflowPunct/>
        <w:topLinePunct w:val="0"/>
        <w:autoSpaceDE/>
        <w:autoSpaceDN/>
        <w:bidi w:val="0"/>
        <w:adjustRightInd/>
        <w:snapToGrid/>
        <w:spacing w:line="600" w:lineRule="exact"/>
        <w:ind w:firstLine="645"/>
        <w:jc w:val="left"/>
        <w:textAlignment w:val="auto"/>
        <w:rPr>
          <w:rFonts w:ascii="黑体" w:hAnsi="黑体" w:eastAsia="黑体"/>
          <w:sz w:val="32"/>
          <w:szCs w:val="32"/>
        </w:rPr>
      </w:pPr>
      <w:r>
        <w:rPr>
          <w:rFonts w:hint="eastAsia" w:ascii="黑体" w:hAnsi="黑体"/>
          <w:sz w:val="32"/>
          <w:szCs w:val="32"/>
        </w:rPr>
        <w:t>八</w:t>
      </w:r>
      <w:r>
        <w:rPr>
          <w:rFonts w:ascii="黑体" w:hAnsi="黑体"/>
          <w:sz w:val="32"/>
          <w:szCs w:val="32"/>
        </w:rPr>
        <w:t>、下一步改进措施</w:t>
      </w:r>
    </w:p>
    <w:p>
      <w:pPr>
        <w:keepNext w:val="0"/>
        <w:keepLines w:val="0"/>
        <w:pageBreakBefore w:val="0"/>
        <w:widowControl/>
        <w:kinsoku/>
        <w:wordWrap/>
        <w:overflowPunct/>
        <w:topLinePunct w:val="0"/>
        <w:autoSpaceDE/>
        <w:autoSpaceDN/>
        <w:bidi w:val="0"/>
        <w:adjustRightInd/>
        <w:snapToGrid/>
        <w:spacing w:line="600" w:lineRule="exact"/>
        <w:ind w:firstLine="645"/>
        <w:jc w:val="left"/>
        <w:textAlignment w:val="auto"/>
        <w:rPr>
          <w:rFonts w:ascii="黑体" w:hAnsi="黑体" w:eastAsia="黑体"/>
          <w:sz w:val="32"/>
          <w:szCs w:val="32"/>
        </w:rPr>
      </w:pPr>
      <w:r>
        <w:rPr>
          <w:rFonts w:hint="eastAsia" w:ascii="黑体" w:hAnsi="黑体"/>
          <w:sz w:val="32"/>
          <w:szCs w:val="32"/>
        </w:rPr>
        <w:t>九</w:t>
      </w:r>
      <w:r>
        <w:rPr>
          <w:rFonts w:ascii="黑体" w:hAnsi="黑体"/>
          <w:sz w:val="32"/>
          <w:szCs w:val="32"/>
        </w:rPr>
        <w:t>、绩效自评结果拟应用和公开情况</w:t>
      </w:r>
    </w:p>
    <w:p>
      <w:pPr>
        <w:keepNext w:val="0"/>
        <w:keepLines w:val="0"/>
        <w:pageBreakBefore w:val="0"/>
        <w:widowControl/>
        <w:kinsoku/>
        <w:wordWrap/>
        <w:overflowPunct/>
        <w:topLinePunct w:val="0"/>
        <w:autoSpaceDE/>
        <w:autoSpaceDN/>
        <w:bidi w:val="0"/>
        <w:adjustRightInd/>
        <w:snapToGrid/>
        <w:spacing w:line="600" w:lineRule="exact"/>
        <w:ind w:firstLine="645"/>
        <w:jc w:val="left"/>
        <w:textAlignment w:val="auto"/>
        <w:rPr>
          <w:rFonts w:ascii="黑体" w:hAnsi="黑体" w:eastAsia="黑体"/>
          <w:sz w:val="32"/>
          <w:szCs w:val="32"/>
        </w:rPr>
      </w:pPr>
      <w:r>
        <w:rPr>
          <w:rFonts w:hint="eastAsia" w:ascii="黑体" w:hAnsi="黑体"/>
          <w:sz w:val="32"/>
          <w:szCs w:val="32"/>
          <w:lang w:val="en-US" w:eastAsia="zh-CN"/>
        </w:rPr>
        <w:t>十</w:t>
      </w:r>
      <w:r>
        <w:rPr>
          <w:rFonts w:ascii="黑体" w:hAnsi="黑体"/>
          <w:sz w:val="32"/>
          <w:szCs w:val="32"/>
        </w:rPr>
        <w:t>、其他需要说明的情况</w:t>
      </w:r>
    </w:p>
    <w:p>
      <w:pPr>
        <w:keepNext w:val="0"/>
        <w:keepLines w:val="0"/>
        <w:pageBreakBefore w:val="0"/>
        <w:widowControl/>
        <w:kinsoku/>
        <w:wordWrap/>
        <w:overflowPunct/>
        <w:topLinePunct w:val="0"/>
        <w:autoSpaceDE/>
        <w:autoSpaceDN/>
        <w:bidi w:val="0"/>
        <w:adjustRightInd/>
        <w:snapToGrid/>
        <w:spacing w:line="600" w:lineRule="exact"/>
        <w:ind w:firstLine="645"/>
        <w:jc w:val="left"/>
        <w:textAlignment w:val="auto"/>
        <w:rPr>
          <w:rFonts w:hint="eastAsia" w:ascii="黑体" w:hAnsi="黑体" w:eastAsia="黑体"/>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firstLine="645"/>
        <w:jc w:val="left"/>
        <w:textAlignment w:val="auto"/>
        <w:rPr>
          <w:rFonts w:hint="eastAsia" w:ascii="黑体" w:hAnsi="黑体" w:eastAsia="黑体"/>
          <w:sz w:val="32"/>
          <w:szCs w:val="32"/>
          <w:lang w:eastAsia="zh-CN"/>
        </w:rPr>
      </w:pPr>
    </w:p>
    <w:p>
      <w:pPr>
        <w:keepNext w:val="0"/>
        <w:keepLines w:val="0"/>
        <w:pageBreakBefore w:val="0"/>
        <w:kinsoku/>
        <w:wordWrap/>
        <w:overflowPunct/>
        <w:topLinePunct w:val="0"/>
        <w:autoSpaceDN/>
        <w:bidi w:val="0"/>
        <w:adjustRightInd/>
        <w:spacing w:line="600" w:lineRule="exact"/>
        <w:jc w:val="both"/>
        <w:textAlignment w:val="auto"/>
        <w:rPr>
          <w:rFonts w:hint="default" w:ascii="Times New Roman" w:hAnsi="Times New Roman" w:eastAsia="黑体" w:cs="Times New Roman"/>
          <w:sz w:val="36"/>
          <w:szCs w:val="36"/>
        </w:rPr>
      </w:pPr>
    </w:p>
    <w:p>
      <w:pPr>
        <w:keepNext w:val="0"/>
        <w:keepLines w:val="0"/>
        <w:pageBreakBefore w:val="0"/>
        <w:kinsoku/>
        <w:wordWrap/>
        <w:overflowPunct/>
        <w:topLinePunct w:val="0"/>
        <w:autoSpaceDN/>
        <w:bidi w:val="0"/>
        <w:adjustRightInd/>
        <w:spacing w:line="600" w:lineRule="exact"/>
        <w:jc w:val="both"/>
        <w:textAlignment w:val="auto"/>
        <w:rPr>
          <w:rFonts w:hint="default" w:ascii="Times New Roman" w:hAnsi="Times New Roman" w:eastAsia="黑体" w:cs="Times New Roman"/>
          <w:sz w:val="36"/>
          <w:szCs w:val="36"/>
        </w:rPr>
      </w:pPr>
    </w:p>
    <w:p>
      <w:pPr>
        <w:keepNext w:val="0"/>
        <w:keepLines w:val="0"/>
        <w:pageBreakBefore w:val="0"/>
        <w:kinsoku/>
        <w:wordWrap/>
        <w:overflowPunct/>
        <w:topLinePunct w:val="0"/>
        <w:autoSpaceDN/>
        <w:bidi w:val="0"/>
        <w:adjustRightInd/>
        <w:spacing w:line="600" w:lineRule="exact"/>
        <w:jc w:val="both"/>
        <w:textAlignment w:val="auto"/>
        <w:rPr>
          <w:rFonts w:hint="default" w:ascii="Times New Roman" w:hAnsi="Times New Roman" w:eastAsia="黑体" w:cs="Times New Roman"/>
          <w:sz w:val="36"/>
          <w:szCs w:val="36"/>
        </w:rPr>
      </w:pPr>
    </w:p>
    <w:p>
      <w:pPr>
        <w:keepNext w:val="0"/>
        <w:keepLines w:val="0"/>
        <w:pageBreakBefore w:val="0"/>
        <w:kinsoku/>
        <w:wordWrap/>
        <w:overflowPunct/>
        <w:topLinePunct w:val="0"/>
        <w:autoSpaceDN/>
        <w:bidi w:val="0"/>
        <w:adjustRightInd/>
        <w:spacing w:line="600" w:lineRule="exact"/>
        <w:jc w:val="both"/>
        <w:textAlignment w:val="auto"/>
        <w:rPr>
          <w:rFonts w:hint="default" w:ascii="Times New Roman" w:hAnsi="Times New Roman" w:eastAsia="黑体" w:cs="Times New Roman"/>
          <w:sz w:val="36"/>
          <w:szCs w:val="36"/>
        </w:rPr>
      </w:pPr>
    </w:p>
    <w:p>
      <w:pPr>
        <w:pStyle w:val="9"/>
        <w:keepNext w:val="0"/>
        <w:keepLines w:val="0"/>
        <w:pageBreakBefore w:val="0"/>
        <w:widowControl/>
        <w:numPr>
          <w:ilvl w:val="0"/>
          <w:numId w:val="1"/>
        </w:numPr>
        <w:kinsoku/>
        <w:wordWrap/>
        <w:overflowPunct/>
        <w:topLinePunct w:val="0"/>
        <w:autoSpaceDN/>
        <w:bidi w:val="0"/>
        <w:adjustRightInd/>
        <w:spacing w:line="600" w:lineRule="exact"/>
        <w:ind w:firstLine="640" w:firstLineChars="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部门、单位基本情</w:t>
      </w:r>
      <w:r>
        <w:rPr>
          <w:rFonts w:hint="eastAsia" w:cs="Times New Roman"/>
          <w:sz w:val="32"/>
          <w:szCs w:val="32"/>
          <w:lang w:val="en-US" w:eastAsia="zh-CN"/>
        </w:rPr>
        <w:t>况</w:t>
      </w:r>
    </w:p>
    <w:p>
      <w:pPr>
        <w:keepNext w:val="0"/>
        <w:keepLines w:val="0"/>
        <w:pageBreakBefore w:val="0"/>
        <w:kinsoku/>
        <w:wordWrap/>
        <w:overflowPunct/>
        <w:topLinePunct w:val="0"/>
        <w:autoSpaceDN/>
        <w:bidi w:val="0"/>
        <w:adjustRightInd/>
        <w:snapToGrid w:val="0"/>
        <w:spacing w:line="600" w:lineRule="exact"/>
        <w:ind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主要职能</w:t>
      </w:r>
    </w:p>
    <w:p>
      <w:pPr>
        <w:keepNext w:val="0"/>
        <w:keepLines w:val="0"/>
        <w:pageBreakBefore w:val="0"/>
        <w:widowControl/>
        <w:shd w:val="clear" w:color="auto" w:fill="FFFFFF"/>
        <w:kinsoku/>
        <w:wordWrap/>
        <w:overflowPunct/>
        <w:topLinePunct w:val="0"/>
        <w:autoSpaceDE w:val="0"/>
        <w:autoSpaceDN/>
        <w:bidi w:val="0"/>
        <w:adjustRightIn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⑴贯彻执行党和国家金融工作的方针政策和法律法规，组织拟订全市金融业管理发展战略、中长期规划。组织草拟加强全市金融行业服务、促进金融行业发展的政策措施。</w:t>
      </w:r>
    </w:p>
    <w:p>
      <w:pPr>
        <w:keepNext w:val="0"/>
        <w:keepLines w:val="0"/>
        <w:pageBreakBefore w:val="0"/>
        <w:widowControl/>
        <w:shd w:val="clear" w:color="auto" w:fill="FFFFFF"/>
        <w:kinsoku/>
        <w:wordWrap/>
        <w:overflowPunct/>
        <w:topLinePunct w:val="0"/>
        <w:autoSpaceDE w:val="0"/>
        <w:autoSpaceDN/>
        <w:bidi w:val="0"/>
        <w:adjustRightIn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⑵研究分析国家和省金融政策、金融形势及全市金融运行情况，会同县市区和有关部门推进全市金融市场体系建设。</w:t>
      </w:r>
    </w:p>
    <w:p>
      <w:pPr>
        <w:keepNext w:val="0"/>
        <w:keepLines w:val="0"/>
        <w:pageBreakBefore w:val="0"/>
        <w:widowControl/>
        <w:shd w:val="clear" w:color="auto" w:fill="FFFFFF"/>
        <w:kinsoku/>
        <w:wordWrap/>
        <w:overflowPunct/>
        <w:topLinePunct w:val="0"/>
        <w:autoSpaceDE w:val="0"/>
        <w:autoSpaceDN/>
        <w:bidi w:val="0"/>
        <w:adjustRightIn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⑶代表市政府联系协调驻衡金融监督管理机构和境内外各类金融机构。负责联系及引进各类金融机构，并做好相关服务工作。组织开展政金企对接合作，引导、协调和鼓励金融机构加大对全市经济社会发展的支持力度。组织对全市金融机构进行目标管理考核。</w:t>
      </w:r>
    </w:p>
    <w:p>
      <w:pPr>
        <w:keepNext w:val="0"/>
        <w:keepLines w:val="0"/>
        <w:pageBreakBefore w:val="0"/>
        <w:widowControl/>
        <w:shd w:val="clear" w:color="auto" w:fill="FFFFFF"/>
        <w:kinsoku/>
        <w:wordWrap/>
        <w:overflowPunct/>
        <w:topLinePunct w:val="0"/>
        <w:autoSpaceDE w:val="0"/>
        <w:autoSpaceDN/>
        <w:bidi w:val="0"/>
        <w:adjustRightIn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⑷代表市政府联系国家、省证券监管部门。组织推进全市全方位多层次资本市场建设与发展，负责全市上市后备资源培育，指导和推动企业股份制改造、上市和新三板挂牌。指导地方各类风险投资机构、基金的设立和发展工作。</w:t>
      </w:r>
    </w:p>
    <w:p>
      <w:pPr>
        <w:keepNext w:val="0"/>
        <w:keepLines w:val="0"/>
        <w:pageBreakBefore w:val="0"/>
        <w:widowControl/>
        <w:shd w:val="clear" w:color="auto" w:fill="FFFFFF"/>
        <w:kinsoku/>
        <w:wordWrap/>
        <w:overflowPunct/>
        <w:topLinePunct w:val="0"/>
        <w:autoSpaceDE w:val="0"/>
        <w:autoSpaceDN/>
        <w:bidi w:val="0"/>
        <w:adjustRightIn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⑸负责对辖区内融资性担保机构、小额贷款公司、典当行、融资租赁公司、商业保理公司的监督管理。</w:t>
      </w:r>
    </w:p>
    <w:p>
      <w:pPr>
        <w:keepNext w:val="0"/>
        <w:keepLines w:val="0"/>
        <w:pageBreakBefore w:val="0"/>
        <w:widowControl/>
        <w:shd w:val="clear" w:color="auto" w:fill="FFFFFF"/>
        <w:kinsoku/>
        <w:wordWrap/>
        <w:overflowPunct/>
        <w:topLinePunct w:val="0"/>
        <w:autoSpaceDE w:val="0"/>
        <w:autoSpaceDN/>
        <w:bidi w:val="0"/>
        <w:adjustRightIn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⑹会同有关部门查处和打击非法金融机构和非法金融业务活动，整顿和规范全市金融市场秩序，防范、化解、处置各类金融风险，维护金融稳定。负责协调相关部门加强对互联网金融的监管。</w:t>
      </w:r>
    </w:p>
    <w:p>
      <w:pPr>
        <w:keepNext w:val="0"/>
        <w:keepLines w:val="0"/>
        <w:pageBreakBefore w:val="0"/>
        <w:widowControl/>
        <w:shd w:val="clear" w:color="auto" w:fill="FFFFFF"/>
        <w:kinsoku/>
        <w:wordWrap/>
        <w:overflowPunct/>
        <w:topLinePunct w:val="0"/>
        <w:autoSpaceDE w:val="0"/>
        <w:autoSpaceDN/>
        <w:bidi w:val="0"/>
        <w:adjustRightIn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⑺会同有关部门推进金融安全区创建，推进改善金融生态环境。</w:t>
      </w:r>
    </w:p>
    <w:p>
      <w:pPr>
        <w:keepNext w:val="0"/>
        <w:keepLines w:val="0"/>
        <w:pageBreakBefore w:val="0"/>
        <w:widowControl/>
        <w:shd w:val="clear" w:color="auto" w:fill="FFFFFF"/>
        <w:kinsoku/>
        <w:wordWrap/>
        <w:overflowPunct/>
        <w:topLinePunct w:val="0"/>
        <w:autoSpaceDE w:val="0"/>
        <w:autoSpaceDN/>
        <w:bidi w:val="0"/>
        <w:adjustRightInd/>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⑻完成市委、市政府交办的其他任务。</w:t>
      </w:r>
    </w:p>
    <w:p>
      <w:pPr>
        <w:keepNext w:val="0"/>
        <w:keepLines w:val="0"/>
        <w:pageBreakBefore w:val="0"/>
        <w:kinsoku/>
        <w:wordWrap/>
        <w:overflowPunct/>
        <w:topLinePunct w:val="0"/>
        <w:autoSpaceDN/>
        <w:bidi w:val="0"/>
        <w:adjustRightInd/>
        <w:snapToGrid w:val="0"/>
        <w:spacing w:line="600" w:lineRule="exact"/>
        <w:ind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机构情况。</w:t>
      </w:r>
    </w:p>
    <w:p>
      <w:pPr>
        <w:keepNext w:val="0"/>
        <w:keepLines w:val="0"/>
        <w:pageBreakBefore w:val="0"/>
        <w:kinsoku/>
        <w:wordWrap/>
        <w:overflowPunct/>
        <w:topLinePunct w:val="0"/>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机构改革，部分内设科室名称改变、职能调整。下设综合科、法规信息科（保险科）、银行科、资本市场科、金融监管一科、金融监管二科和金融稳定科7个科室。下设一个二级事业机构：衡阳市中小企业担保基金管理中心。</w:t>
      </w:r>
    </w:p>
    <w:p>
      <w:pPr>
        <w:keepNext w:val="0"/>
        <w:keepLines w:val="0"/>
        <w:pageBreakBefore w:val="0"/>
        <w:kinsoku/>
        <w:wordWrap/>
        <w:overflowPunct/>
        <w:topLinePunct w:val="0"/>
        <w:autoSpaceDN/>
        <w:bidi w:val="0"/>
        <w:adjustRightInd/>
        <w:snapToGrid w:val="0"/>
        <w:spacing w:line="600" w:lineRule="exact"/>
        <w:ind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人员情况。</w:t>
      </w:r>
    </w:p>
    <w:p>
      <w:pPr>
        <w:keepNext w:val="0"/>
        <w:keepLines w:val="0"/>
        <w:pageBreakBefore w:val="0"/>
        <w:kinsoku/>
        <w:wordWrap/>
        <w:overflowPunct/>
        <w:topLinePunct w:val="0"/>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2019年机构改革后，机关编制21名，其中行政编制20名，后勤服务全额拨款事业编制1名。现有在职人员20名，离退休人员0人。</w:t>
      </w:r>
    </w:p>
    <w:p>
      <w:pPr>
        <w:pStyle w:val="9"/>
        <w:keepNext w:val="0"/>
        <w:keepLines w:val="0"/>
        <w:pageBreakBefore w:val="0"/>
        <w:widowControl/>
        <w:kinsoku/>
        <w:wordWrap/>
        <w:overflowPunct/>
        <w:topLinePunct w:val="0"/>
        <w:autoSpaceDN/>
        <w:bidi w:val="0"/>
        <w:adjustRightInd/>
        <w:spacing w:line="600" w:lineRule="exact"/>
        <w:ind w:firstLine="640" w:firstLineChars="0"/>
        <w:jc w:val="both"/>
        <w:textAlignment w:val="auto"/>
        <w:rPr>
          <w:rFonts w:hint="default" w:ascii="Times New Roman" w:hAnsi="Times New Roman" w:eastAsia="黑体" w:cs="Times New Roman"/>
          <w:sz w:val="32"/>
          <w:szCs w:val="32"/>
        </w:rPr>
      </w:pPr>
      <w:r>
        <w:rPr>
          <w:rFonts w:hint="default" w:ascii="Times New Roman" w:hAnsi="Times New Roman" w:cs="Times New Roman"/>
          <w:sz w:val="32"/>
          <w:szCs w:val="32"/>
        </w:rPr>
        <w:t>二、一般公共预算支出情况</w:t>
      </w:r>
    </w:p>
    <w:p>
      <w:pPr>
        <w:pStyle w:val="9"/>
        <w:keepNext w:val="0"/>
        <w:keepLines w:val="0"/>
        <w:pageBreakBefore w:val="0"/>
        <w:widowControl/>
        <w:kinsoku/>
        <w:wordWrap/>
        <w:overflowPunct/>
        <w:topLinePunct w:val="0"/>
        <w:autoSpaceDN/>
        <w:bidi w:val="0"/>
        <w:adjustRightInd/>
        <w:spacing w:line="600" w:lineRule="exact"/>
        <w:ind w:firstLine="640"/>
        <w:jc w:val="both"/>
        <w:textAlignment w:val="auto"/>
        <w:rPr>
          <w:rFonts w:hint="default" w:ascii="Times New Roman" w:hAnsi="Times New Roman" w:eastAsia="仿宋" w:cs="Times New Roman"/>
          <w:b/>
          <w:bCs/>
          <w:sz w:val="32"/>
          <w:szCs w:val="32"/>
        </w:rPr>
      </w:pPr>
      <w:r>
        <w:rPr>
          <w:rFonts w:hint="eastAsia" w:eastAsia="仿宋" w:cs="Times New Roman"/>
          <w:b/>
          <w:bCs/>
          <w:sz w:val="32"/>
          <w:szCs w:val="32"/>
          <w:lang w:val="en-US" w:eastAsia="zh-CN"/>
        </w:rPr>
        <w:t>1、</w:t>
      </w:r>
      <w:r>
        <w:rPr>
          <w:rFonts w:hint="default" w:ascii="Times New Roman" w:hAnsi="Times New Roman" w:eastAsia="仿宋" w:cs="Times New Roman"/>
          <w:b/>
          <w:bCs/>
          <w:sz w:val="32"/>
          <w:szCs w:val="32"/>
        </w:rPr>
        <w:t>基本支出情况</w:t>
      </w:r>
    </w:p>
    <w:p>
      <w:pPr>
        <w:keepNext w:val="0"/>
        <w:keepLines w:val="0"/>
        <w:pageBreakBefore w:val="0"/>
        <w:kinsoku/>
        <w:wordWrap/>
        <w:overflowPunct/>
        <w:topLinePunct w:val="0"/>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2019年基本支出预算数</w:t>
      </w:r>
      <w:r>
        <w:rPr>
          <w:rFonts w:hint="default" w:ascii="Times New Roman" w:hAnsi="Times New Roman" w:eastAsia="仿宋_GB2312" w:cs="Times New Roman"/>
          <w:sz w:val="32"/>
          <w:szCs w:val="32"/>
          <w:lang w:val="en-US" w:eastAsia="zh-CN"/>
        </w:rPr>
        <w:t>231.6</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实际发生314.15</w:t>
      </w:r>
      <w:r>
        <w:rPr>
          <w:rFonts w:hint="default" w:ascii="Times New Roman" w:hAnsi="Times New Roman" w:eastAsia="仿宋_GB2312" w:cs="Times New Roman"/>
          <w:sz w:val="32"/>
          <w:szCs w:val="32"/>
        </w:rPr>
        <w:t>万元，比年初预算增加支出</w:t>
      </w:r>
      <w:r>
        <w:rPr>
          <w:rFonts w:hint="default" w:ascii="Times New Roman" w:hAnsi="Times New Roman" w:eastAsia="仿宋_GB2312" w:cs="Times New Roman"/>
          <w:sz w:val="32"/>
          <w:szCs w:val="32"/>
          <w:lang w:val="en-US" w:eastAsia="zh-CN"/>
        </w:rPr>
        <w:t>82.55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主要原因是</w:t>
      </w:r>
      <w:r>
        <w:rPr>
          <w:rFonts w:hint="default" w:ascii="Times New Roman" w:hAnsi="Times New Roman" w:eastAsia="仿宋" w:cs="Times New Roman"/>
          <w:sz w:val="32"/>
          <w:szCs w:val="32"/>
        </w:rPr>
        <w:t>人员工资奖金提标</w:t>
      </w:r>
      <w:r>
        <w:rPr>
          <w:rFonts w:hint="default" w:ascii="Times New Roman" w:hAnsi="Times New Roman" w:eastAsia="仿宋" w:cs="Times New Roman"/>
          <w:sz w:val="32"/>
          <w:szCs w:val="32"/>
          <w:lang w:eastAsia="zh-CN"/>
        </w:rPr>
        <w:t>。</w:t>
      </w:r>
      <w:r>
        <w:rPr>
          <w:rFonts w:hint="default" w:ascii="Times New Roman" w:hAnsi="Times New Roman" w:eastAsia="仿宋_GB2312" w:cs="Times New Roman"/>
          <w:sz w:val="32"/>
          <w:szCs w:val="32"/>
        </w:rPr>
        <w:t>其中：</w:t>
      </w:r>
      <w:r>
        <w:rPr>
          <w:rFonts w:hint="default" w:ascii="Times New Roman" w:hAnsi="Times New Roman" w:eastAsia="仿宋_GB2312" w:cs="Times New Roman"/>
          <w:color w:val="000000"/>
          <w:kern w:val="0"/>
          <w:sz w:val="32"/>
          <w:szCs w:val="32"/>
        </w:rPr>
        <w:t>人员经费</w:t>
      </w:r>
      <w:r>
        <w:rPr>
          <w:rFonts w:hint="default" w:ascii="Times New Roman" w:hAnsi="Times New Roman" w:cs="Times New Roman"/>
          <w:sz w:val="32"/>
          <w:szCs w:val="32"/>
        </w:rPr>
        <w:t>280.96</w:t>
      </w:r>
      <w:r>
        <w:rPr>
          <w:rFonts w:hint="default" w:ascii="Times New Roman" w:hAnsi="Times New Roman" w:eastAsia="仿宋_GB2312" w:cs="Times New Roman"/>
          <w:color w:val="000000"/>
          <w:kern w:val="0"/>
          <w:sz w:val="32"/>
          <w:szCs w:val="32"/>
        </w:rPr>
        <w:t>万元，占比8</w:t>
      </w:r>
      <w:r>
        <w:rPr>
          <w:rFonts w:hint="default" w:ascii="Times New Roman" w:hAnsi="Times New Roman" w:eastAsia="仿宋_GB2312" w:cs="Times New Roman"/>
          <w:color w:val="000000"/>
          <w:kern w:val="0"/>
          <w:sz w:val="32"/>
          <w:szCs w:val="32"/>
          <w:lang w:val="en-US" w:eastAsia="zh-CN"/>
        </w:rPr>
        <w:t>9.5</w:t>
      </w:r>
      <w:r>
        <w:rPr>
          <w:rFonts w:hint="default" w:ascii="Times New Roman" w:hAnsi="Times New Roman" w:eastAsia="仿宋_GB2312" w:cs="Times New Roman"/>
          <w:color w:val="000000"/>
          <w:kern w:val="0"/>
          <w:sz w:val="32"/>
          <w:szCs w:val="32"/>
        </w:rPr>
        <w:t>%；日常公用经费</w:t>
      </w:r>
      <w:r>
        <w:rPr>
          <w:rFonts w:hint="default" w:ascii="Times New Roman" w:hAnsi="Times New Roman" w:cs="Times New Roman"/>
          <w:sz w:val="32"/>
          <w:szCs w:val="32"/>
        </w:rPr>
        <w:t>33.19</w:t>
      </w:r>
      <w:r>
        <w:rPr>
          <w:rFonts w:hint="default" w:ascii="Times New Roman" w:hAnsi="Times New Roman" w:eastAsia="仿宋_GB2312" w:cs="Times New Roman"/>
          <w:color w:val="000000"/>
          <w:kern w:val="0"/>
          <w:sz w:val="32"/>
          <w:szCs w:val="32"/>
        </w:rPr>
        <w:t>万元，占比</w:t>
      </w:r>
      <w:r>
        <w:rPr>
          <w:rFonts w:hint="default" w:ascii="Times New Roman" w:hAnsi="Times New Roman" w:eastAsia="仿宋_GB2312" w:cs="Times New Roman"/>
          <w:color w:val="000000"/>
          <w:kern w:val="0"/>
          <w:sz w:val="32"/>
          <w:szCs w:val="32"/>
          <w:lang w:val="en-US" w:eastAsia="zh-CN"/>
        </w:rPr>
        <w:t>10.5</w:t>
      </w:r>
      <w:r>
        <w:rPr>
          <w:rFonts w:hint="default" w:ascii="Times New Roman" w:hAnsi="Times New Roman" w:eastAsia="仿宋_GB2312" w:cs="Times New Roman"/>
          <w:color w:val="000000"/>
          <w:kern w:val="0"/>
          <w:sz w:val="32"/>
          <w:szCs w:val="32"/>
        </w:rPr>
        <w:t>%。人员经费包括基本工资、津贴补贴、奖金、社保医保、住房公积金等工资福利支出，日常公用经费包括办公费、印刷费</w:t>
      </w:r>
      <w:r>
        <w:rPr>
          <w:rFonts w:hint="eastAsia"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差旅费、会议费、培训费、“三公”经费、工会经费、福利费、商品和服务支出以及办公设备购置等资本性支出。</w:t>
      </w:r>
    </w:p>
    <w:p>
      <w:pPr>
        <w:keepNext w:val="0"/>
        <w:keepLines w:val="0"/>
        <w:pageBreakBefore w:val="0"/>
        <w:kinsoku/>
        <w:wordWrap/>
        <w:overflowPunct/>
        <w:topLinePunct w:val="0"/>
        <w:autoSpaceDN/>
        <w:bidi w:val="0"/>
        <w:adjustRightInd/>
        <w:snapToGrid w:val="0"/>
        <w:spacing w:line="60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rPr>
        <w:t>我单位严格落实中央厉行节约的有关规定</w:t>
      </w:r>
      <w:r>
        <w:rPr>
          <w:rFonts w:hint="eastAsia"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严把“三公”经费使用关。201</w:t>
      </w:r>
      <w:r>
        <w:rPr>
          <w:rFonts w:hint="default"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年度“三公”经费预算支出7.5万元，与上年一致。 “三公”经费实际支出4.</w:t>
      </w:r>
      <w:r>
        <w:rPr>
          <w:rFonts w:hint="default" w:ascii="Times New Roman" w:hAnsi="Times New Roman" w:eastAsia="仿宋_GB2312" w:cs="Times New Roman"/>
          <w:color w:val="000000"/>
          <w:kern w:val="0"/>
          <w:sz w:val="32"/>
          <w:szCs w:val="32"/>
          <w:lang w:val="en-US" w:eastAsia="zh-CN"/>
        </w:rPr>
        <w:t>97</w:t>
      </w:r>
      <w:r>
        <w:rPr>
          <w:rFonts w:hint="default" w:ascii="Times New Roman" w:hAnsi="Times New Roman" w:eastAsia="仿宋_GB2312" w:cs="Times New Roman"/>
          <w:color w:val="000000"/>
          <w:kern w:val="0"/>
          <w:sz w:val="32"/>
          <w:szCs w:val="32"/>
        </w:rPr>
        <w:t>万元，其中：因公出国（境）费无，公务用车运行维护费3.</w:t>
      </w:r>
      <w:r>
        <w:rPr>
          <w:rFonts w:hint="default" w:ascii="Times New Roman" w:hAnsi="Times New Roman" w:eastAsia="仿宋_GB2312" w:cs="Times New Roman"/>
          <w:color w:val="000000"/>
          <w:kern w:val="0"/>
          <w:sz w:val="32"/>
          <w:szCs w:val="32"/>
          <w:lang w:val="en-US" w:eastAsia="zh-CN"/>
        </w:rPr>
        <w:t>71</w:t>
      </w:r>
      <w:r>
        <w:rPr>
          <w:rFonts w:hint="default" w:ascii="Times New Roman" w:hAnsi="Times New Roman" w:eastAsia="仿宋_GB2312" w:cs="Times New Roman"/>
          <w:color w:val="000000"/>
          <w:kern w:val="0"/>
          <w:sz w:val="32"/>
          <w:szCs w:val="32"/>
        </w:rPr>
        <w:t>万元，公务接待费</w:t>
      </w:r>
      <w:r>
        <w:rPr>
          <w:rFonts w:hint="default" w:ascii="Times New Roman" w:hAnsi="Times New Roman" w:eastAsia="仿宋_GB2312" w:cs="Times New Roman"/>
          <w:color w:val="000000"/>
          <w:kern w:val="0"/>
          <w:sz w:val="32"/>
          <w:szCs w:val="32"/>
          <w:lang w:val="en-US" w:eastAsia="zh-CN"/>
        </w:rPr>
        <w:t>1.26</w:t>
      </w:r>
      <w:r>
        <w:rPr>
          <w:rFonts w:hint="default" w:ascii="Times New Roman" w:hAnsi="Times New Roman" w:eastAsia="仿宋_GB2312" w:cs="Times New Roman"/>
          <w:color w:val="000000"/>
          <w:kern w:val="0"/>
          <w:sz w:val="32"/>
          <w:szCs w:val="32"/>
        </w:rPr>
        <w:t>万元，均未超预算。</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bCs/>
          <w:sz w:val="32"/>
          <w:szCs w:val="32"/>
        </w:rPr>
      </w:pPr>
      <w:r>
        <w:rPr>
          <w:rFonts w:hint="eastAsia" w:eastAsia="仿宋" w:cs="Times New Roman"/>
          <w:b/>
          <w:bCs/>
          <w:sz w:val="32"/>
          <w:szCs w:val="32"/>
          <w:lang w:val="en-US" w:eastAsia="zh-CN"/>
        </w:rPr>
        <w:t>2、</w:t>
      </w:r>
      <w:r>
        <w:rPr>
          <w:rFonts w:hint="default" w:ascii="Times New Roman" w:hAnsi="Times New Roman" w:eastAsia="仿宋" w:cs="Times New Roman"/>
          <w:b/>
          <w:bCs/>
          <w:sz w:val="32"/>
          <w:szCs w:val="32"/>
        </w:rPr>
        <w:t>项目支出情况</w:t>
      </w:r>
    </w:p>
    <w:p>
      <w:pPr>
        <w:keepNext w:val="0"/>
        <w:keepLines w:val="0"/>
        <w:pageBreakBefore w:val="0"/>
        <w:widowControl/>
        <w:kinsoku/>
        <w:wordWrap/>
        <w:overflowPunct/>
        <w:topLinePunct w:val="0"/>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我单位无市级专项资金安排，有项目支出2个：金融办工作经费和打击处置非法集资工作经费，均为业务工作专项，主要用于服务全市金融发展和维护地方金融稳定，包括金融协调、监管和服务以及防范非法集资。201</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年我办项目支出预算数</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70</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万元，实际发生</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153.7</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万元</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超过预算83.7万元，主要原因是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上年结转</w:t>
      </w:r>
      <w:r>
        <w:rPr>
          <w:rFonts w:hint="eastAsia" w:eastAsia="仿宋_GB2312" w:cs="Times New Roman"/>
          <w:color w:val="000000" w:themeColor="text1"/>
          <w:sz w:val="32"/>
          <w:szCs w:val="32"/>
          <w:highlight w:val="none"/>
          <w:lang w:val="en-US" w:eastAsia="zh-CN"/>
          <w14:textFill>
            <w14:solidFill>
              <w14:schemeClr w14:val="tx1"/>
            </w14:solidFill>
          </w14:textFill>
        </w:rPr>
        <w:t>资金77.39万元，且</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工作</w:t>
      </w:r>
      <w:r>
        <w:rPr>
          <w:rFonts w:hint="default" w:ascii="Times New Roman" w:hAnsi="Times New Roman" w:eastAsia="仿宋" w:cs="Times New Roman"/>
          <w:color w:val="000000" w:themeColor="text1"/>
          <w:sz w:val="32"/>
          <w:szCs w:val="32"/>
          <w:highlight w:val="none"/>
          <w14:textFill>
            <w14:solidFill>
              <w14:schemeClr w14:val="tx1"/>
            </w14:solidFill>
          </w14:textFill>
        </w:rPr>
        <w:t>任务加大，项目增加</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w:t>
      </w:r>
    </w:p>
    <w:p>
      <w:pPr>
        <w:pStyle w:val="9"/>
        <w:keepNext w:val="0"/>
        <w:keepLines w:val="0"/>
        <w:pageBreakBefore w:val="0"/>
        <w:widowControl/>
        <w:kinsoku/>
        <w:wordWrap/>
        <w:overflowPunct/>
        <w:topLinePunct w:val="0"/>
        <w:autoSpaceDE/>
        <w:autoSpaceDN/>
        <w:bidi w:val="0"/>
        <w:adjustRightInd/>
        <w:snapToGrid/>
        <w:spacing w:line="600" w:lineRule="exact"/>
        <w:ind w:firstLine="640" w:firstLineChars="0"/>
        <w:jc w:val="both"/>
        <w:textAlignment w:val="auto"/>
        <w:rPr>
          <w:rFonts w:ascii="黑体" w:hAnsi="黑体"/>
          <w:sz w:val="32"/>
          <w:szCs w:val="32"/>
        </w:rPr>
      </w:pPr>
      <w:r>
        <w:rPr>
          <w:rFonts w:ascii="黑体" w:hAnsi="黑体"/>
          <w:sz w:val="32"/>
          <w:szCs w:val="32"/>
        </w:rPr>
        <w:t>三、政府性基金预算支出情况</w:t>
      </w:r>
    </w:p>
    <w:p>
      <w:pPr>
        <w:pStyle w:val="9"/>
        <w:keepNext w:val="0"/>
        <w:keepLines w:val="0"/>
        <w:pageBreakBefore w:val="0"/>
        <w:widowControl/>
        <w:kinsoku/>
        <w:wordWrap/>
        <w:overflowPunct/>
        <w:topLinePunct w:val="0"/>
        <w:autoSpaceDE/>
        <w:autoSpaceDN/>
        <w:bidi w:val="0"/>
        <w:adjustRightInd/>
        <w:snapToGrid/>
        <w:spacing w:line="600" w:lineRule="exact"/>
        <w:ind w:firstLine="64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本单位无</w:t>
      </w:r>
      <w:r>
        <w:rPr>
          <w:rFonts w:hint="eastAsia" w:ascii="仿宋" w:hAnsi="仿宋" w:eastAsia="仿宋" w:cs="仿宋"/>
          <w:sz w:val="32"/>
          <w:szCs w:val="32"/>
        </w:rPr>
        <w:t>政府性基金预算支出</w:t>
      </w:r>
      <w:r>
        <w:rPr>
          <w:rFonts w:hint="eastAsia" w:ascii="仿宋" w:hAnsi="仿宋" w:eastAsia="仿宋" w:cs="仿宋"/>
          <w:sz w:val="32"/>
          <w:szCs w:val="32"/>
          <w:lang w:eastAsia="zh-CN"/>
        </w:rPr>
        <w:t>。</w:t>
      </w:r>
    </w:p>
    <w:p>
      <w:pPr>
        <w:pStyle w:val="9"/>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0"/>
        <w:jc w:val="both"/>
        <w:textAlignment w:val="auto"/>
        <w:rPr>
          <w:rFonts w:ascii="黑体" w:hAnsi="黑体"/>
          <w:sz w:val="32"/>
          <w:szCs w:val="32"/>
        </w:rPr>
      </w:pPr>
      <w:r>
        <w:rPr>
          <w:rFonts w:ascii="黑体" w:hAnsi="黑体"/>
          <w:sz w:val="32"/>
          <w:szCs w:val="32"/>
        </w:rPr>
        <w:t>国有资本经营预算支出情况</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本单位无</w:t>
      </w:r>
      <w:r>
        <w:rPr>
          <w:rFonts w:hint="eastAsia" w:ascii="仿宋" w:hAnsi="仿宋" w:eastAsia="仿宋" w:cs="仿宋"/>
          <w:sz w:val="32"/>
          <w:szCs w:val="32"/>
        </w:rPr>
        <w:t>国有资本经营预算支出</w:t>
      </w:r>
      <w:r>
        <w:rPr>
          <w:rFonts w:hint="eastAsia" w:ascii="仿宋" w:hAnsi="仿宋" w:eastAsia="仿宋" w:cs="仿宋"/>
          <w:sz w:val="32"/>
          <w:szCs w:val="32"/>
          <w:lang w:eastAsia="zh-CN"/>
        </w:rPr>
        <w:t>。</w:t>
      </w:r>
    </w:p>
    <w:p>
      <w:pPr>
        <w:pStyle w:val="9"/>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640" w:firstLineChars="0"/>
        <w:jc w:val="both"/>
        <w:textAlignment w:val="auto"/>
        <w:rPr>
          <w:rFonts w:ascii="黑体" w:hAnsi="黑体"/>
          <w:sz w:val="32"/>
          <w:szCs w:val="32"/>
        </w:rPr>
      </w:pPr>
      <w:r>
        <w:rPr>
          <w:rFonts w:ascii="黑体" w:hAnsi="黑体"/>
          <w:sz w:val="32"/>
          <w:szCs w:val="32"/>
        </w:rPr>
        <w:t>社会保险基金预算支出情况</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left="640" w:leftChars="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本单位无</w:t>
      </w:r>
      <w:r>
        <w:rPr>
          <w:rFonts w:hint="eastAsia" w:ascii="仿宋" w:hAnsi="仿宋" w:eastAsia="仿宋" w:cs="仿宋"/>
          <w:sz w:val="32"/>
          <w:szCs w:val="32"/>
        </w:rPr>
        <w:t>社会保险基金预算支出</w:t>
      </w:r>
      <w:r>
        <w:rPr>
          <w:rFonts w:hint="eastAsia" w:ascii="仿宋" w:hAnsi="仿宋" w:eastAsia="仿宋" w:cs="仿宋"/>
          <w:sz w:val="32"/>
          <w:szCs w:val="32"/>
          <w:lang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600" w:lineRule="exact"/>
        <w:ind w:left="640" w:leftChars="0"/>
        <w:jc w:val="both"/>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eastAsia" w:cs="Times New Roman"/>
          <w:color w:val="000000" w:themeColor="text1"/>
          <w:sz w:val="32"/>
          <w:szCs w:val="32"/>
          <w:highlight w:val="none"/>
          <w:lang w:val="en-US" w:eastAsia="zh-CN"/>
          <w14:textFill>
            <w14:solidFill>
              <w14:schemeClr w14:val="tx1"/>
            </w14:solidFill>
          </w14:textFill>
        </w:rPr>
        <w:t>六</w:t>
      </w:r>
      <w:r>
        <w:rPr>
          <w:rFonts w:hint="default" w:ascii="Times New Roman" w:hAnsi="Times New Roman" w:cs="Times New Roman"/>
          <w:color w:val="000000" w:themeColor="text1"/>
          <w:sz w:val="32"/>
          <w:szCs w:val="32"/>
          <w:highlight w:val="none"/>
          <w14:textFill>
            <w14:solidFill>
              <w14:schemeClr w14:val="tx1"/>
            </w14:solidFill>
          </w14:textFill>
        </w:rPr>
        <w:t>、部门整体支出绩效情况</w:t>
      </w:r>
    </w:p>
    <w:p>
      <w:pPr>
        <w:pStyle w:val="5"/>
        <w:keepNext w:val="0"/>
        <w:keepLines w:val="0"/>
        <w:pageBreakBefore w:val="0"/>
        <w:shd w:val="clear" w:color="auto" w:fill="FFFFFF"/>
        <w:kinsoku/>
        <w:wordWrap/>
        <w:overflowPunct/>
        <w:topLinePunct w:val="0"/>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年，我单位积极履职，强化管理，优质高效的完成了年度工作目标。根据部门整体支出绩效评价指标体系，我单位201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年度评价得分为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95.5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分</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详见附件一</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。部门整体支出绩效情况如下：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lang w:val="en-US" w:eastAsia="zh-CN"/>
        </w:rPr>
      </w:pPr>
      <w:r>
        <w:rPr>
          <w:rFonts w:hint="eastAsia" w:eastAsia="仿宋_GB2312" w:cs="Times New Roman"/>
          <w:b/>
          <w:bCs/>
          <w:color w:val="000000" w:themeColor="text1"/>
          <w:sz w:val="32"/>
          <w:szCs w:val="32"/>
          <w:highlight w:val="none"/>
          <w:lang w:val="en-US" w:eastAsia="zh-CN"/>
          <w14:textFill>
            <w14:solidFill>
              <w14:schemeClr w14:val="tx1"/>
            </w14:solidFill>
          </w14:textFill>
        </w:rPr>
        <w:t>1、绩效目标完成情况</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w:t>
      </w:r>
    </w:p>
    <w:p>
      <w:pPr>
        <w:snapToGrid w:val="0"/>
        <w:spacing w:line="520" w:lineRule="exact"/>
        <w:ind w:firstLine="640" w:firstLineChars="200"/>
        <w:rPr>
          <w:rFonts w:hint="eastAsia" w:eastAsia="仿宋_GB2312" w:cs="宋体"/>
          <w:color w:val="434343"/>
          <w:kern w:val="0"/>
          <w:sz w:val="32"/>
          <w:szCs w:val="32"/>
        </w:rPr>
      </w:pPr>
      <w:r>
        <w:rPr>
          <w:rFonts w:hint="eastAsia" w:eastAsia="仿宋_GB2312"/>
          <w:sz w:val="32"/>
          <w:szCs w:val="32"/>
          <w:lang w:val="en-US" w:eastAsia="zh-CN"/>
        </w:rPr>
        <w:t>2019年度1-12月，</w:t>
      </w:r>
      <w:r>
        <w:rPr>
          <w:rFonts w:hint="eastAsia" w:eastAsia="仿宋_GB2312"/>
          <w:sz w:val="32"/>
          <w:szCs w:val="32"/>
        </w:rPr>
        <w:t>银行机构存款余额3937.91亿元，同比增长6.2%。各项贷款余额2425.71亿元，同比增长13.3%。存款余额和增量均位居全省第2位、贷款余额和增量位居全省第2位、第3位，银行机构存贷比61.6%，同比增加4个百分点；保险行业实现保费收入同比增长7.15%，保费规模全省第二；证券成交量同比增长40.23%，证券期货交易量均位列全省第2；融资性担保公司在保余额4.4亿元；小贷公司数量及余额全省第2。现</w:t>
      </w:r>
      <w:r>
        <w:rPr>
          <w:rFonts w:hint="eastAsia" w:eastAsia="仿宋_GB2312"/>
          <w:sz w:val="32"/>
          <w:szCs w:val="32"/>
          <w:lang w:val="en-US" w:eastAsia="zh-CN"/>
        </w:rPr>
        <w:t>衡阳市</w:t>
      </w:r>
      <w:r>
        <w:rPr>
          <w:rFonts w:hint="eastAsia" w:eastAsia="仿宋_GB2312"/>
          <w:sz w:val="32"/>
          <w:szCs w:val="32"/>
        </w:rPr>
        <w:t>有上市公司4家，分别是启迪古汉、湖南天雁、湘油泵和千山药机，有“新三板”挂牌上市企业7家，有湖南股交所标准板挂牌企业4家，有21家进入省上市后备企业资源库。</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2、绩效产出情况：</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eastAsia="仿宋_GB2312"/>
          <w:sz w:val="32"/>
          <w:szCs w:val="32"/>
        </w:rPr>
      </w:pPr>
      <w:r>
        <w:rPr>
          <w:rFonts w:hint="eastAsia" w:eastAsia="楷体_GB2312"/>
          <w:b/>
          <w:sz w:val="32"/>
          <w:szCs w:val="32"/>
        </w:rPr>
        <w:t>金融服务实体经济成效明显</w:t>
      </w:r>
      <w:r>
        <w:rPr>
          <w:rFonts w:hint="eastAsia" w:eastAsia="楷体_GB2312"/>
          <w:sz w:val="32"/>
          <w:szCs w:val="32"/>
        </w:rPr>
        <w:t>。</w:t>
      </w:r>
      <w:r>
        <w:rPr>
          <w:rFonts w:hint="eastAsia" w:eastAsia="仿宋_GB2312"/>
          <w:sz w:val="32"/>
          <w:szCs w:val="32"/>
        </w:rPr>
        <w:t>截至2019年12月末，全市新增贷款（含表外）284.66亿元，超额完成全年新增200亿元目标任务。从投向看，涉农、小微贷款保持较快增长，金融支持三农、小微等实体经济效果初显</w:t>
      </w:r>
      <w:r>
        <w:rPr>
          <w:rFonts w:hint="eastAsia" w:eastAsia="仿宋_GB2312"/>
          <w:sz w:val="32"/>
          <w:szCs w:val="32"/>
          <w:lang w:eastAsia="zh-CN"/>
        </w:rPr>
        <w:t>，</w:t>
      </w:r>
      <w:r>
        <w:rPr>
          <w:rFonts w:hint="eastAsia" w:eastAsia="仿宋_GB2312"/>
          <w:sz w:val="32"/>
          <w:szCs w:val="32"/>
        </w:rPr>
        <w:t>产业基金运作良好，为实体经济稳定运行提供风险保障。</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eastAsia="仿宋_GB2312"/>
          <w:sz w:val="32"/>
          <w:szCs w:val="32"/>
          <w:lang w:eastAsia="zh-CN"/>
        </w:rPr>
      </w:pPr>
      <w:r>
        <w:rPr>
          <w:rFonts w:hint="eastAsia" w:eastAsia="楷体_GB2312"/>
          <w:b/>
          <w:sz w:val="32"/>
          <w:szCs w:val="32"/>
        </w:rPr>
        <w:t>金融改革创新取得新进展。</w:t>
      </w:r>
      <w:r>
        <w:rPr>
          <w:rFonts w:hint="eastAsia" w:eastAsia="仿宋_GB2312"/>
          <w:sz w:val="32"/>
          <w:szCs w:val="32"/>
        </w:rPr>
        <w:t>“一县两行（农商行、村镇银行）”实现县域全覆盖，新引进长城人寿，全市开业保险机构达40家。推进企业挂牌上市力度加强，建立了“企业上市融资咨询专家库”，出台《推进30家企业首发上市行动实施方案》</w:t>
      </w:r>
      <w:r>
        <w:rPr>
          <w:rFonts w:hint="eastAsia" w:eastAsia="仿宋_GB2312"/>
          <w:sz w:val="32"/>
          <w:szCs w:val="32"/>
          <w:lang w:eastAsia="zh-CN"/>
        </w:rPr>
        <w:t>。</w:t>
      </w:r>
      <w:r>
        <w:rPr>
          <w:rFonts w:hint="eastAsia" w:eastAsia="仿宋_GB2312"/>
          <w:sz w:val="32"/>
          <w:szCs w:val="32"/>
        </w:rPr>
        <w:t>积极推进我市政策性融资担保体系建设</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仿宋" w:hAnsi="仿宋" w:eastAsia="仿宋" w:cs="仿宋"/>
          <w:sz w:val="32"/>
          <w:szCs w:val="32"/>
          <w:lang w:val="en-US" w:eastAsia="zh-CN"/>
        </w:rPr>
      </w:pPr>
      <w:r>
        <w:rPr>
          <w:rFonts w:hint="eastAsia" w:eastAsia="楷体_GB2312"/>
          <w:b/>
          <w:sz w:val="32"/>
          <w:szCs w:val="32"/>
        </w:rPr>
        <w:t>金融风险防范化解扎实推进。</w:t>
      </w:r>
      <w:r>
        <w:rPr>
          <w:rFonts w:hint="eastAsia" w:eastAsia="仿宋_GB2312"/>
          <w:sz w:val="32"/>
          <w:szCs w:val="32"/>
        </w:rPr>
        <w:t>通过非现场和现场监管协同，强化融资担保、小贷行业监管。集中开展春节</w:t>
      </w:r>
      <w:r>
        <w:rPr>
          <w:rFonts w:hint="eastAsia" w:eastAsia="仿宋_GB2312"/>
          <w:sz w:val="32"/>
          <w:szCs w:val="32"/>
          <w:lang w:val="en-US" w:eastAsia="zh-CN"/>
        </w:rPr>
        <w:t>处非</w:t>
      </w:r>
      <w:r>
        <w:rPr>
          <w:rFonts w:hint="eastAsia" w:eastAsia="仿宋_GB2312"/>
          <w:sz w:val="32"/>
          <w:szCs w:val="32"/>
        </w:rPr>
        <w:t>宣传周、5月处非宣传月活动，部署开展了“一非三贷”（非法集资、“套路贷”、“校园贷”和非法高利放贷）专项整治，出台了《处非“大宣传、大排查和大化解”攻坚年行动方案》，建立了非法集资案件（纠纷）包案处置责任工作机制，全面排查化解风险隐患。全市金融风险在严防、严打、严管下稳定可控，牢牢守住了不发生区域性风险的底线</w:t>
      </w:r>
      <w:r>
        <w:rPr>
          <w:rFonts w:hint="eastAsia" w:eastAsia="仿宋_GB2312"/>
          <w:sz w:val="32"/>
          <w:szCs w:val="32"/>
          <w:lang w:eastAsia="zh-CN"/>
        </w:rPr>
        <w:t>。</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3、经济效益：</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全市2019年度，</w:t>
      </w:r>
      <w:r>
        <w:rPr>
          <w:rFonts w:hint="eastAsia" w:ascii="仿宋" w:hAnsi="仿宋" w:eastAsia="仿宋" w:cs="仿宋"/>
          <w:sz w:val="32"/>
          <w:szCs w:val="32"/>
        </w:rPr>
        <w:t>银行机构存款余额3937.91亿元</w:t>
      </w:r>
      <w:r>
        <w:rPr>
          <w:rFonts w:hint="eastAsia" w:ascii="仿宋" w:hAnsi="仿宋" w:eastAsia="仿宋" w:cs="仿宋"/>
          <w:sz w:val="32"/>
          <w:szCs w:val="32"/>
          <w:lang w:eastAsia="zh-CN"/>
        </w:rPr>
        <w:t>，</w:t>
      </w:r>
      <w:r>
        <w:rPr>
          <w:rFonts w:hint="eastAsia" w:ascii="仿宋" w:hAnsi="仿宋" w:eastAsia="仿宋" w:cs="仿宋"/>
          <w:sz w:val="32"/>
          <w:szCs w:val="32"/>
          <w:highlight w:val="none"/>
        </w:rPr>
        <w:t>贷款余额2475.4亿元（含表外），同比</w:t>
      </w:r>
      <w:r>
        <w:rPr>
          <w:rFonts w:hint="eastAsia" w:ascii="仿宋" w:hAnsi="仿宋" w:eastAsia="仿宋" w:cs="仿宋"/>
          <w:sz w:val="32"/>
          <w:szCs w:val="32"/>
          <w:highlight w:val="none"/>
          <w:lang w:val="en-US" w:eastAsia="zh-CN"/>
        </w:rPr>
        <w:t>分别</w:t>
      </w:r>
      <w:r>
        <w:rPr>
          <w:rFonts w:hint="eastAsia" w:ascii="仿宋" w:hAnsi="仿宋" w:eastAsia="仿宋" w:cs="仿宋"/>
          <w:sz w:val="32"/>
          <w:szCs w:val="32"/>
        </w:rPr>
        <w:t>增长6.2%</w:t>
      </w:r>
      <w:r>
        <w:rPr>
          <w:rFonts w:hint="eastAsia" w:ascii="仿宋" w:hAnsi="仿宋" w:eastAsia="仿宋" w:cs="仿宋"/>
          <w:sz w:val="32"/>
          <w:szCs w:val="32"/>
          <w:lang w:eastAsia="zh-CN"/>
        </w:rPr>
        <w:t>、</w:t>
      </w:r>
      <w:r>
        <w:rPr>
          <w:rFonts w:hint="eastAsia" w:ascii="仿宋" w:hAnsi="仿宋" w:eastAsia="仿宋" w:cs="仿宋"/>
          <w:sz w:val="32"/>
          <w:szCs w:val="32"/>
          <w:highlight w:val="none"/>
        </w:rPr>
        <w:t>16.12%</w:t>
      </w:r>
      <w:r>
        <w:rPr>
          <w:rFonts w:hint="eastAsia" w:ascii="仿宋" w:hAnsi="仿宋" w:eastAsia="仿宋" w:cs="仿宋"/>
          <w:sz w:val="32"/>
          <w:szCs w:val="32"/>
          <w:lang w:eastAsia="zh-CN"/>
        </w:rPr>
        <w:t>；</w:t>
      </w:r>
      <w:r>
        <w:rPr>
          <w:rFonts w:hint="eastAsia" w:ascii="仿宋" w:hAnsi="仿宋" w:eastAsia="仿宋" w:cs="仿宋"/>
          <w:sz w:val="32"/>
          <w:szCs w:val="32"/>
        </w:rPr>
        <w:t>保险行业实现保费收入102.51亿元，同比增长7.15%</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非法集资案件公安立案数、涉案金额，同比分别下降31.25%、19.96%。经济效益目标圆满完成。</w:t>
      </w:r>
    </w:p>
    <w:p>
      <w:pPr>
        <w:pStyle w:val="5"/>
        <w:keepNext w:val="0"/>
        <w:keepLines w:val="0"/>
        <w:pageBreakBefore w:val="0"/>
        <w:shd w:val="clear" w:color="auto" w:fill="FFFFFF"/>
        <w:kinsoku/>
        <w:wordWrap/>
        <w:overflowPunct/>
        <w:topLinePunct w:val="0"/>
        <w:autoSpaceDN/>
        <w:bidi w:val="0"/>
        <w:adjustRightInd/>
        <w:spacing w:line="600" w:lineRule="exact"/>
        <w:ind w:firstLine="643" w:firstLineChars="200"/>
        <w:jc w:val="both"/>
        <w:textAlignment w:val="auto"/>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4、社会效益：</w:t>
      </w:r>
    </w:p>
    <w:p>
      <w:pPr>
        <w:pStyle w:val="5"/>
        <w:keepNext w:val="0"/>
        <w:keepLines w:val="0"/>
        <w:pageBreakBefore w:val="0"/>
        <w:shd w:val="clear" w:color="auto" w:fill="FFFFFF"/>
        <w:kinsoku/>
        <w:wordWrap/>
        <w:overflowPunct/>
        <w:topLinePunct w:val="0"/>
        <w:autoSpaceDN/>
        <w:bidi w:val="0"/>
        <w:adjustRightInd/>
        <w:spacing w:line="600" w:lineRule="exact"/>
        <w:ind w:firstLine="643" w:firstLineChars="20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做好融资服务：</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围绕我市重点领域和薄弱领域，开展常态政银企对接会，优化信贷结构，加大信贷投放。支持平台、企业利用多种债务融资工具进行融资，使社会融资规模与全市经济社会发展相匹配。</w:t>
      </w:r>
    </w:p>
    <w:p>
      <w:pPr>
        <w:pStyle w:val="5"/>
        <w:keepNext w:val="0"/>
        <w:keepLines w:val="0"/>
        <w:pageBreakBefore w:val="0"/>
        <w:shd w:val="clear" w:color="auto" w:fill="FFFFFF"/>
        <w:kinsoku/>
        <w:wordWrap/>
        <w:overflowPunct/>
        <w:topLinePunct w:val="0"/>
        <w:autoSpaceDN/>
        <w:bidi w:val="0"/>
        <w:adjustRightInd/>
        <w:spacing w:line="600" w:lineRule="exact"/>
        <w:ind w:firstLine="643" w:firstLineChars="20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推动企业上市：</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结合振兴实体经济“3311”工程计划，全力做好企业上市推进工作。充实全市上市后备企业资源库，并组织开展企业上市相关培训教育活动，为企业上市构建良好的服务机制。</w:t>
      </w:r>
    </w:p>
    <w:p>
      <w:pPr>
        <w:pStyle w:val="5"/>
        <w:keepNext w:val="0"/>
        <w:keepLines w:val="0"/>
        <w:pageBreakBefore w:val="0"/>
        <w:shd w:val="clear" w:color="auto" w:fill="FFFFFF"/>
        <w:kinsoku/>
        <w:wordWrap/>
        <w:overflowPunct/>
        <w:topLinePunct w:val="0"/>
        <w:autoSpaceDN/>
        <w:bidi w:val="0"/>
        <w:adjustRightInd/>
        <w:spacing w:line="600" w:lineRule="exact"/>
        <w:ind w:firstLine="643" w:firstLineChars="20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抓好金融招商：</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完成“一县两行（农商银行、村镇银行）”县域全覆盖工作。规范发展小贷公司、融资担保公司两类公司，引导和鼓励机构之间进行整合、重组，促进行业转型发展。</w:t>
      </w:r>
    </w:p>
    <w:p>
      <w:pPr>
        <w:pStyle w:val="5"/>
        <w:keepNext w:val="0"/>
        <w:keepLines w:val="0"/>
        <w:pageBreakBefore w:val="0"/>
        <w:shd w:val="clear" w:color="auto" w:fill="FFFFFF"/>
        <w:kinsoku/>
        <w:wordWrap/>
        <w:overflowPunct/>
        <w:topLinePunct w:val="0"/>
        <w:autoSpaceDN/>
        <w:bidi w:val="0"/>
        <w:adjustRightInd/>
        <w:spacing w:line="600" w:lineRule="exact"/>
        <w:ind w:firstLine="643" w:firstLineChars="2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维护金融稳定：</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加强对小贷公司、融资担保公司等地方金融组织的全过程监管。落实属地监管责任，完善监管手段，提升监管能力，配合有关部门做好非法集资防范和处置工作维护金融安全稳定。</w:t>
      </w:r>
    </w:p>
    <w:p>
      <w:pPr>
        <w:pStyle w:val="5"/>
        <w:keepNext w:val="0"/>
        <w:keepLines w:val="0"/>
        <w:pageBreakBefore w:val="0"/>
        <w:shd w:val="clear" w:color="auto" w:fill="FFFFFF"/>
        <w:kinsoku/>
        <w:wordWrap/>
        <w:overflowPunct/>
        <w:topLinePunct w:val="0"/>
        <w:autoSpaceDN/>
        <w:bidi w:val="0"/>
        <w:adjustRightInd/>
        <w:spacing w:line="600" w:lineRule="exact"/>
        <w:ind w:firstLine="643" w:firstLineChars="200"/>
        <w:jc w:val="both"/>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5、社会公众或服务对象满意度：</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全市金融领域发展稳步提升，处非工作开展效果良好，满意度达到较好水平。</w:t>
      </w:r>
    </w:p>
    <w:p>
      <w:pPr>
        <w:keepNext w:val="0"/>
        <w:keepLines w:val="0"/>
        <w:pageBreakBefore w:val="0"/>
        <w:widowControl/>
        <w:kinsoku/>
        <w:wordWrap/>
        <w:overflowPunct/>
        <w:topLinePunct w:val="0"/>
        <w:autoSpaceDN/>
        <w:bidi w:val="0"/>
        <w:adjustRightInd/>
        <w:spacing w:line="600" w:lineRule="exact"/>
        <w:ind w:firstLine="645"/>
        <w:jc w:val="left"/>
        <w:textAlignment w:val="auto"/>
        <w:rPr>
          <w:rFonts w:ascii="黑体" w:hAnsi="黑体" w:eastAsia="黑体"/>
          <w:sz w:val="32"/>
          <w:szCs w:val="32"/>
        </w:rPr>
      </w:pPr>
      <w:r>
        <w:rPr>
          <w:rFonts w:hint="eastAsia" w:ascii="黑体" w:hAnsi="黑体"/>
          <w:color w:val="000000"/>
          <w:sz w:val="32"/>
          <w:szCs w:val="32"/>
        </w:rPr>
        <w:t>七、</w:t>
      </w:r>
      <w:r>
        <w:rPr>
          <w:rFonts w:ascii="黑体" w:hAnsi="黑体"/>
          <w:sz w:val="32"/>
          <w:szCs w:val="32"/>
        </w:rPr>
        <w:t>存在的主要问题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预算</w:t>
      </w:r>
      <w:r>
        <w:rPr>
          <w:rFonts w:hint="eastAsia" w:ascii="仿宋" w:hAnsi="仿宋" w:eastAsia="仿宋" w:cs="仿宋"/>
          <w:b/>
          <w:bCs/>
          <w:sz w:val="32"/>
          <w:szCs w:val="32"/>
          <w:lang w:val="en-US" w:eastAsia="zh-CN"/>
        </w:rPr>
        <w:t>编制不够完善</w:t>
      </w:r>
      <w:r>
        <w:rPr>
          <w:rFonts w:hint="eastAsia" w:ascii="仿宋" w:hAnsi="仿宋" w:eastAsia="仿宋" w:cs="仿宋"/>
          <w:b/>
          <w:bCs/>
          <w:sz w:val="32"/>
          <w:szCs w:val="32"/>
          <w:lang w:eastAsia="zh-CN"/>
        </w:rPr>
        <w:t>。</w:t>
      </w:r>
      <w:r>
        <w:rPr>
          <w:rFonts w:hint="eastAsia" w:eastAsia="仿宋_GB2312"/>
          <w:sz w:val="32"/>
          <w:szCs w:val="32"/>
        </w:rPr>
        <w:t>年初</w:t>
      </w:r>
      <w:r>
        <w:rPr>
          <w:rFonts w:hint="eastAsia" w:eastAsia="仿宋_GB2312"/>
          <w:sz w:val="32"/>
          <w:szCs w:val="32"/>
          <w:lang w:val="en-US" w:eastAsia="zh-CN"/>
        </w:rPr>
        <w:t>开展</w:t>
      </w:r>
      <w:r>
        <w:rPr>
          <w:rFonts w:hint="eastAsia" w:eastAsia="仿宋_GB2312"/>
          <w:sz w:val="32"/>
          <w:szCs w:val="32"/>
        </w:rPr>
        <w:t>预算编制</w:t>
      </w:r>
      <w:r>
        <w:rPr>
          <w:rFonts w:hint="eastAsia" w:eastAsia="仿宋_GB2312"/>
          <w:sz w:val="32"/>
          <w:szCs w:val="32"/>
          <w:lang w:val="en-US" w:eastAsia="zh-CN"/>
        </w:rPr>
        <w:t>工作时，</w:t>
      </w:r>
      <w:r>
        <w:rPr>
          <w:rFonts w:hint="eastAsia" w:eastAsia="仿宋_GB2312"/>
          <w:sz w:val="32"/>
          <w:szCs w:val="32"/>
        </w:rPr>
        <w:t>不够准确完整，年</w:t>
      </w:r>
      <w:r>
        <w:rPr>
          <w:rFonts w:hint="eastAsia" w:ascii="仿宋" w:hAnsi="仿宋" w:eastAsia="仿宋" w:cs="仿宋"/>
          <w:sz w:val="32"/>
          <w:szCs w:val="32"/>
        </w:rPr>
        <w:t>中工资奖金提标</w:t>
      </w:r>
      <w:r>
        <w:rPr>
          <w:rFonts w:hint="eastAsia" w:ascii="仿宋" w:hAnsi="仿宋" w:eastAsia="仿宋" w:cs="仿宋"/>
          <w:sz w:val="32"/>
          <w:szCs w:val="32"/>
          <w:lang w:val="en-US" w:eastAsia="zh-CN"/>
        </w:rPr>
        <w:t>和</w:t>
      </w:r>
      <w:r>
        <w:rPr>
          <w:rFonts w:hint="eastAsia" w:ascii="仿宋" w:hAnsi="仿宋" w:eastAsia="仿宋" w:cs="仿宋"/>
          <w:sz w:val="32"/>
          <w:szCs w:val="32"/>
        </w:rPr>
        <w:t>追加项目经费</w:t>
      </w:r>
      <w:r>
        <w:rPr>
          <w:rFonts w:hint="eastAsia" w:ascii="仿宋" w:hAnsi="仿宋" w:eastAsia="仿宋" w:cs="仿宋"/>
          <w:sz w:val="32"/>
          <w:szCs w:val="32"/>
          <w:lang w:eastAsia="zh-CN"/>
        </w:rPr>
        <w:t>，</w:t>
      </w:r>
      <w:r>
        <w:rPr>
          <w:rFonts w:hint="eastAsia" w:ascii="仿宋" w:hAnsi="仿宋" w:eastAsia="仿宋" w:cs="仿宋"/>
          <w:sz w:val="32"/>
          <w:szCs w:val="32"/>
        </w:rPr>
        <w:t>导致收入决算数超过预算数。</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sz w:val="30"/>
          <w:szCs w:val="30"/>
          <w:u w:val="none"/>
          <w:lang w:val="en-US" w:eastAsia="zh-CN"/>
        </w:rPr>
      </w:pPr>
      <w:r>
        <w:rPr>
          <w:rFonts w:hint="eastAsia" w:ascii="仿宋" w:hAnsi="仿宋" w:eastAsia="仿宋" w:cs="仿宋"/>
          <w:b/>
          <w:bCs/>
          <w:color w:val="000000"/>
          <w:kern w:val="0"/>
          <w:sz w:val="32"/>
          <w:szCs w:val="32"/>
          <w:u w:val="none"/>
        </w:rPr>
        <w:t>2.</w:t>
      </w:r>
      <w:r>
        <w:rPr>
          <w:rFonts w:hint="eastAsia" w:ascii="仿宋" w:hAnsi="仿宋" w:eastAsia="仿宋" w:cs="仿宋"/>
          <w:b/>
          <w:bCs/>
          <w:sz w:val="32"/>
          <w:szCs w:val="32"/>
          <w:u w:val="none"/>
        </w:rPr>
        <w:t>预算执行未</w:t>
      </w:r>
      <w:r>
        <w:rPr>
          <w:rFonts w:hint="eastAsia" w:ascii="仿宋" w:hAnsi="仿宋" w:eastAsia="仿宋" w:cs="仿宋"/>
          <w:b/>
          <w:bCs/>
          <w:sz w:val="32"/>
          <w:szCs w:val="32"/>
          <w:u w:val="none"/>
          <w:lang w:val="en-US" w:eastAsia="zh-CN"/>
        </w:rPr>
        <w:t>完全</w:t>
      </w:r>
      <w:r>
        <w:rPr>
          <w:rFonts w:hint="eastAsia" w:ascii="仿宋" w:hAnsi="仿宋" w:eastAsia="仿宋" w:cs="仿宋"/>
          <w:b/>
          <w:bCs/>
          <w:sz w:val="32"/>
          <w:szCs w:val="32"/>
          <w:u w:val="none"/>
        </w:rPr>
        <w:t>到位</w:t>
      </w:r>
      <w:r>
        <w:rPr>
          <w:rFonts w:hint="eastAsia" w:ascii="仿宋" w:hAnsi="仿宋" w:eastAsia="仿宋" w:cs="仿宋"/>
          <w:b/>
          <w:bCs/>
          <w:color w:val="000000"/>
          <w:kern w:val="0"/>
          <w:sz w:val="32"/>
          <w:szCs w:val="32"/>
          <w:u w:val="none"/>
        </w:rPr>
        <w:t>。</w:t>
      </w:r>
      <w:r>
        <w:rPr>
          <w:rFonts w:hint="eastAsia" w:ascii="仿宋" w:hAnsi="仿宋" w:eastAsia="仿宋" w:cs="仿宋"/>
          <w:sz w:val="32"/>
          <w:szCs w:val="32"/>
          <w:u w:val="none"/>
          <w:lang w:val="en-US" w:eastAsia="zh-CN"/>
        </w:rPr>
        <w:t>实际执行</w:t>
      </w:r>
      <w:r>
        <w:rPr>
          <w:rFonts w:hint="eastAsia" w:ascii="仿宋" w:hAnsi="仿宋" w:eastAsia="仿宋" w:cs="仿宋"/>
          <w:sz w:val="32"/>
          <w:szCs w:val="32"/>
          <w:u w:val="none"/>
        </w:rPr>
        <w:t>过程中</w:t>
      </w:r>
      <w:r>
        <w:rPr>
          <w:rFonts w:hint="eastAsia" w:ascii="仿宋" w:hAnsi="仿宋" w:eastAsia="仿宋" w:cs="仿宋"/>
          <w:sz w:val="32"/>
          <w:szCs w:val="32"/>
          <w:u w:val="none"/>
          <w:lang w:eastAsia="zh-CN"/>
        </w:rPr>
        <w:t>，有一些</w:t>
      </w:r>
      <w:r>
        <w:rPr>
          <w:rFonts w:hint="eastAsia" w:ascii="仿宋" w:hAnsi="仿宋" w:eastAsia="仿宋" w:cs="仿宋"/>
          <w:sz w:val="32"/>
          <w:szCs w:val="32"/>
          <w:u w:val="none"/>
          <w:lang w:val="en-US" w:eastAsia="zh-CN"/>
        </w:rPr>
        <w:t>单位工作任务增加</w:t>
      </w:r>
      <w:r>
        <w:rPr>
          <w:rFonts w:hint="eastAsia" w:ascii="仿宋" w:hAnsi="仿宋" w:eastAsia="仿宋" w:cs="仿宋"/>
          <w:sz w:val="32"/>
          <w:szCs w:val="32"/>
          <w:u w:val="none"/>
        </w:rPr>
        <w:t>，引起开支增加</w:t>
      </w:r>
      <w:bookmarkStart w:id="0" w:name="_GoBack"/>
      <w:bookmarkEnd w:id="0"/>
      <w:r>
        <w:rPr>
          <w:rFonts w:hint="eastAsia" w:ascii="仿宋" w:hAnsi="仿宋" w:eastAsia="仿宋" w:cs="仿宋"/>
          <w:sz w:val="32"/>
          <w:szCs w:val="32"/>
          <w:u w:val="none"/>
          <w:lang w:eastAsia="zh-CN"/>
        </w:rPr>
        <w:t>。</w:t>
      </w:r>
    </w:p>
    <w:p>
      <w:pPr>
        <w:keepNext w:val="0"/>
        <w:keepLines w:val="0"/>
        <w:pageBreakBefore w:val="0"/>
        <w:widowControl/>
        <w:kinsoku/>
        <w:wordWrap/>
        <w:overflowPunct/>
        <w:topLinePunct w:val="0"/>
        <w:autoSpaceDN/>
        <w:bidi w:val="0"/>
        <w:adjustRightInd/>
        <w:spacing w:line="600" w:lineRule="exact"/>
        <w:ind w:firstLine="645"/>
        <w:jc w:val="left"/>
        <w:textAlignment w:val="auto"/>
        <w:rPr>
          <w:rFonts w:ascii="黑体" w:hAnsi="黑体" w:eastAsia="黑体"/>
          <w:sz w:val="32"/>
          <w:szCs w:val="32"/>
        </w:rPr>
      </w:pPr>
      <w:r>
        <w:rPr>
          <w:rFonts w:hint="eastAsia" w:ascii="黑体" w:hAnsi="黑体"/>
          <w:sz w:val="32"/>
          <w:szCs w:val="32"/>
          <w:lang w:val="en-US" w:eastAsia="zh-CN"/>
        </w:rPr>
        <w:t>八、</w:t>
      </w:r>
      <w:r>
        <w:rPr>
          <w:rFonts w:ascii="黑体" w:hAnsi="黑体"/>
          <w:sz w:val="32"/>
          <w:szCs w:val="32"/>
        </w:rPr>
        <w:t>下一步改进措施</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b/>
          <w:bCs/>
          <w:i w:val="0"/>
          <w:caps w:val="0"/>
          <w:color w:val="333333"/>
          <w:spacing w:val="0"/>
          <w:sz w:val="32"/>
          <w:szCs w:val="32"/>
          <w:shd w:val="clear" w:fill="FFFFFF"/>
          <w:lang w:val="en-US" w:eastAsia="zh-CN"/>
        </w:rPr>
        <w:t>1、</w:t>
      </w:r>
      <w:r>
        <w:rPr>
          <w:rFonts w:hint="eastAsia" w:ascii="仿宋" w:hAnsi="仿宋" w:eastAsia="仿宋" w:cs="仿宋"/>
          <w:b/>
          <w:bCs/>
          <w:i w:val="0"/>
          <w:caps w:val="0"/>
          <w:color w:val="333333"/>
          <w:spacing w:val="0"/>
          <w:sz w:val="32"/>
          <w:szCs w:val="32"/>
          <w:shd w:val="clear" w:fill="FFFFFF"/>
        </w:rPr>
        <w:t>细化预算编制工作</w:t>
      </w:r>
      <w:r>
        <w:rPr>
          <w:rFonts w:hint="eastAsia" w:ascii="仿宋" w:hAnsi="仿宋" w:eastAsia="仿宋" w:cs="仿宋"/>
          <w:i w:val="0"/>
          <w:caps w:val="0"/>
          <w:color w:val="333333"/>
          <w:spacing w:val="0"/>
          <w:sz w:val="32"/>
          <w:szCs w:val="32"/>
          <w:shd w:val="clear" w:fill="FFFFFF"/>
        </w:rPr>
        <w:t>。进一步加强单位预算管理意识，严格按照预算编制的相关制度和要求，编制范围尽可能全面，不漏项，在预算编制时首先需满足固定性的、相对刚性的费用支出项目，尽量压缩变动性、有控制空间的费用项目；提高预算编制的科学性、合理性、严谨性和可控性。</w:t>
      </w:r>
    </w:p>
    <w:p>
      <w:pPr>
        <w:pStyle w:val="5"/>
        <w:keepNext w:val="0"/>
        <w:keepLines w:val="0"/>
        <w:pageBreakBefore w:val="0"/>
        <w:widowControl/>
        <w:kinsoku/>
        <w:wordWrap/>
        <w:overflowPunct/>
        <w:topLinePunct w:val="0"/>
        <w:autoSpaceDN/>
        <w:bidi w:val="0"/>
        <w:adjustRightInd/>
        <w:spacing w:before="0" w:beforeAutospacing="0" w:after="0" w:afterAutospacing="0" w:line="600" w:lineRule="exact"/>
        <w:ind w:firstLine="643"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2、</w:t>
      </w:r>
      <w:r>
        <w:rPr>
          <w:rFonts w:hint="eastAsia" w:ascii="仿宋" w:hAnsi="仿宋" w:eastAsia="仿宋" w:cs="宋体"/>
          <w:b/>
          <w:bCs/>
          <w:color w:val="333333"/>
          <w:sz w:val="32"/>
          <w:szCs w:val="32"/>
        </w:rPr>
        <w:t>加强</w:t>
      </w:r>
      <w:r>
        <w:rPr>
          <w:rFonts w:hint="eastAsia" w:ascii="仿宋" w:hAnsi="仿宋" w:eastAsia="仿宋" w:cs="宋体"/>
          <w:b/>
          <w:bCs/>
          <w:color w:val="333333"/>
          <w:sz w:val="32"/>
          <w:szCs w:val="32"/>
          <w:lang w:val="en-US" w:eastAsia="zh-CN"/>
        </w:rPr>
        <w:t>单位</w:t>
      </w:r>
      <w:r>
        <w:rPr>
          <w:rFonts w:hint="eastAsia" w:ascii="仿宋" w:hAnsi="仿宋" w:eastAsia="仿宋" w:cs="宋体"/>
          <w:b/>
          <w:bCs/>
          <w:color w:val="333333"/>
          <w:sz w:val="32"/>
          <w:szCs w:val="32"/>
        </w:rPr>
        <w:t>财务管理</w:t>
      </w:r>
      <w:r>
        <w:rPr>
          <w:rFonts w:hint="eastAsia" w:ascii="仿宋" w:hAnsi="仿宋" w:eastAsia="仿宋" w:cs="宋体"/>
          <w:b/>
          <w:bCs/>
          <w:color w:val="333333"/>
          <w:sz w:val="32"/>
          <w:szCs w:val="32"/>
          <w:lang w:eastAsia="zh-CN"/>
        </w:rPr>
        <w:t>。</w:t>
      </w:r>
      <w:r>
        <w:rPr>
          <w:rFonts w:hint="eastAsia" w:ascii="仿宋" w:hAnsi="仿宋" w:eastAsia="仿宋" w:cs="宋体"/>
          <w:color w:val="333333"/>
          <w:sz w:val="32"/>
          <w:szCs w:val="32"/>
        </w:rPr>
        <w:t>严格按照预算规定的项目及用途开支经费，控制现金支出，细化</w:t>
      </w:r>
      <w:r>
        <w:rPr>
          <w:rFonts w:hint="eastAsia" w:ascii="仿宋" w:hAnsi="仿宋" w:eastAsia="仿宋" w:cs="宋体"/>
          <w:color w:val="333333"/>
          <w:sz w:val="32"/>
          <w:szCs w:val="32"/>
          <w:lang w:val="en-US" w:eastAsia="zh-CN"/>
        </w:rPr>
        <w:t>经费</w:t>
      </w:r>
      <w:r>
        <w:rPr>
          <w:rFonts w:hint="eastAsia" w:ascii="仿宋" w:hAnsi="仿宋" w:eastAsia="仿宋" w:cs="宋体"/>
          <w:color w:val="333333"/>
          <w:sz w:val="32"/>
          <w:szCs w:val="32"/>
        </w:rPr>
        <w:t>管理。同时，将预算执行分析常态化，为预算绩效管理工作提供有力保障。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ascii="黑体" w:hAnsi="黑体"/>
          <w:sz w:val="32"/>
          <w:szCs w:val="32"/>
        </w:rPr>
      </w:pPr>
      <w:r>
        <w:rPr>
          <w:rFonts w:hint="eastAsia" w:ascii="黑体" w:hAnsi="黑体"/>
          <w:sz w:val="32"/>
          <w:szCs w:val="32"/>
          <w:lang w:val="en-US" w:eastAsia="zh-CN"/>
        </w:rPr>
        <w:t>九、</w:t>
      </w:r>
      <w:r>
        <w:rPr>
          <w:rFonts w:ascii="黑体" w:hAnsi="黑体"/>
          <w:sz w:val="32"/>
          <w:szCs w:val="32"/>
        </w:rPr>
        <w:t>绩效自评结果拟应用和公开情况</w:t>
      </w:r>
    </w:p>
    <w:p>
      <w:pPr>
        <w:pStyle w:val="5"/>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根据衡阳市财政局衡财绩［20</w:t>
      </w:r>
      <w:r>
        <w:rPr>
          <w:rFonts w:hint="eastAsia" w:ascii="Times New Roman" w:hAnsi="Times New Roman" w:eastAsia="仿宋_GB2312"/>
          <w:color w:val="000000"/>
          <w:sz w:val="32"/>
          <w:szCs w:val="32"/>
          <w:lang w:val="en-US" w:eastAsia="zh-CN"/>
        </w:rPr>
        <w:t>20</w:t>
      </w: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eastAsia="zh-CN"/>
        </w:rPr>
        <w:t>39</w:t>
      </w:r>
      <w:r>
        <w:rPr>
          <w:rFonts w:hint="eastAsia" w:ascii="Times New Roman" w:hAnsi="Times New Roman" w:eastAsia="仿宋_GB2312"/>
          <w:color w:val="000000"/>
          <w:sz w:val="32"/>
          <w:szCs w:val="32"/>
        </w:rPr>
        <w:t>号文件精神，我单位对201</w:t>
      </w:r>
      <w:r>
        <w:rPr>
          <w:rFonts w:hint="eastAsia" w:ascii="Times New Roman" w:hAnsi="Times New Roman" w:eastAsia="仿宋_GB2312"/>
          <w:color w:val="000000"/>
          <w:sz w:val="32"/>
          <w:szCs w:val="32"/>
          <w:lang w:val="en-US" w:eastAsia="zh-CN"/>
        </w:rPr>
        <w:t>9</w:t>
      </w:r>
      <w:r>
        <w:rPr>
          <w:rFonts w:hint="eastAsia" w:ascii="Times New Roman" w:hAnsi="Times New Roman" w:eastAsia="仿宋_GB2312"/>
          <w:color w:val="000000"/>
          <w:sz w:val="32"/>
          <w:szCs w:val="32"/>
        </w:rPr>
        <w:t>年度部门整体支出绩效进行了全面综合评价。对照部门整体支出绩效评价指标体系，我单位201</w:t>
      </w:r>
      <w:r>
        <w:rPr>
          <w:rFonts w:hint="eastAsia" w:ascii="Times New Roman" w:hAnsi="Times New Roman" w:eastAsia="仿宋_GB2312"/>
          <w:color w:val="000000"/>
          <w:sz w:val="32"/>
          <w:szCs w:val="32"/>
          <w:lang w:val="en-US" w:eastAsia="zh-CN"/>
        </w:rPr>
        <w:t>9</w:t>
      </w:r>
      <w:r>
        <w:rPr>
          <w:rFonts w:hint="eastAsia" w:ascii="Times New Roman" w:hAnsi="Times New Roman" w:eastAsia="仿宋_GB2312"/>
          <w:color w:val="000000"/>
          <w:sz w:val="32"/>
          <w:szCs w:val="32"/>
        </w:rPr>
        <w:t>年整体支出严格按照国家的相关财务管理法规执行，制度健全、会计核算规范，有效保障了单位工作的正常运行，为衡阳市金融业发展提供了优质的服务保障，自评结果为良。部门整体支出绩效自评报告将于6月30日前在市政府金融办网站进行公开，接受社会监督。</w:t>
      </w:r>
    </w:p>
    <w:p>
      <w:pPr>
        <w:keepNext w:val="0"/>
        <w:keepLines w:val="0"/>
        <w:pageBreakBefore w:val="0"/>
        <w:widowControl/>
        <w:numPr>
          <w:ilvl w:val="0"/>
          <w:numId w:val="0"/>
        </w:numPr>
        <w:kinsoku/>
        <w:wordWrap/>
        <w:overflowPunct/>
        <w:topLinePunct w:val="0"/>
        <w:autoSpaceDN/>
        <w:bidi w:val="0"/>
        <w:adjustRightInd/>
        <w:spacing w:line="600" w:lineRule="exact"/>
        <w:ind w:left="645" w:leftChars="0"/>
        <w:jc w:val="left"/>
        <w:textAlignment w:val="auto"/>
        <w:rPr>
          <w:rFonts w:ascii="黑体" w:hAnsi="黑体"/>
          <w:sz w:val="32"/>
          <w:szCs w:val="32"/>
        </w:rPr>
      </w:pPr>
      <w:r>
        <w:rPr>
          <w:rFonts w:hint="eastAsia" w:ascii="黑体" w:hAnsi="黑体"/>
          <w:sz w:val="32"/>
          <w:szCs w:val="32"/>
          <w:lang w:val="en-US" w:eastAsia="zh-CN"/>
        </w:rPr>
        <w:t>十、</w:t>
      </w:r>
      <w:r>
        <w:rPr>
          <w:rFonts w:ascii="黑体" w:hAnsi="黑体"/>
          <w:sz w:val="32"/>
          <w:szCs w:val="32"/>
        </w:rPr>
        <w:t>其他需要说明的情况</w:t>
      </w:r>
    </w:p>
    <w:p>
      <w:pPr>
        <w:keepNext w:val="0"/>
        <w:keepLines w:val="0"/>
        <w:pageBreakBefore w:val="0"/>
        <w:widowControl/>
        <w:numPr>
          <w:ilvl w:val="0"/>
          <w:numId w:val="0"/>
        </w:numPr>
        <w:kinsoku/>
        <w:wordWrap/>
        <w:overflowPunct/>
        <w:topLinePunct w:val="0"/>
        <w:autoSpaceDN/>
        <w:bidi w:val="0"/>
        <w:adjustRightInd/>
        <w:spacing w:line="600" w:lineRule="exact"/>
        <w:ind w:left="645" w:leftChars="0"/>
        <w:jc w:val="left"/>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无其他需要说明的情况。</w:t>
      </w:r>
    </w:p>
    <w:p>
      <w:pPr>
        <w:keepNext w:val="0"/>
        <w:keepLines w:val="0"/>
        <w:pageBreakBefore w:val="0"/>
        <w:widowControl/>
        <w:kinsoku/>
        <w:wordWrap/>
        <w:overflowPunct/>
        <w:topLinePunct w:val="0"/>
        <w:autoSpaceDN/>
        <w:bidi w:val="0"/>
        <w:adjustRightInd/>
        <w:spacing w:line="600" w:lineRule="exact"/>
        <w:ind w:firstLine="645"/>
        <w:jc w:val="left"/>
        <w:textAlignment w:val="auto"/>
        <w:rPr>
          <w:rFonts w:ascii="仿宋_GB2312" w:hAnsi="黑体" w:eastAsia="仿宋_GB2312"/>
          <w:sz w:val="32"/>
          <w:szCs w:val="32"/>
        </w:rPr>
      </w:pPr>
      <w:r>
        <w:rPr>
          <w:rFonts w:hint="eastAsia" w:ascii="仿宋_GB2312" w:hAnsi="黑体"/>
          <w:sz w:val="32"/>
          <w:szCs w:val="32"/>
        </w:rPr>
        <w:t>附件：</w:t>
      </w:r>
      <w:r>
        <w:rPr>
          <w:rFonts w:ascii="仿宋_GB2312" w:hAnsi="黑体"/>
          <w:sz w:val="32"/>
          <w:szCs w:val="32"/>
        </w:rPr>
        <w:t>1. 部门整体支出绩效评价指标评分表</w:t>
      </w:r>
    </w:p>
    <w:p>
      <w:pPr>
        <w:keepNext w:val="0"/>
        <w:keepLines w:val="0"/>
        <w:pageBreakBefore w:val="0"/>
        <w:widowControl/>
        <w:numPr>
          <w:ilvl w:val="0"/>
          <w:numId w:val="3"/>
        </w:numPr>
        <w:kinsoku/>
        <w:wordWrap/>
        <w:overflowPunct/>
        <w:topLinePunct w:val="0"/>
        <w:autoSpaceDN/>
        <w:bidi w:val="0"/>
        <w:adjustRightInd/>
        <w:spacing w:line="600" w:lineRule="exact"/>
        <w:ind w:firstLine="1600" w:firstLineChars="500"/>
        <w:jc w:val="left"/>
        <w:textAlignment w:val="auto"/>
        <w:rPr>
          <w:rFonts w:ascii="仿宋_GB2312" w:hAnsi="黑体"/>
          <w:sz w:val="32"/>
          <w:szCs w:val="32"/>
        </w:rPr>
        <w:sectPr>
          <w:headerReference r:id="rId5" w:type="first"/>
          <w:footerReference r:id="rId7" w:type="first"/>
          <w:headerReference r:id="rId3" w:type="default"/>
          <w:headerReference r:id="rId4" w:type="even"/>
          <w:footerReference r:id="rId6" w:type="even"/>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pPr>
      <w:r>
        <w:rPr>
          <w:rFonts w:ascii="仿宋_GB2312" w:hAnsi="黑体"/>
          <w:sz w:val="32"/>
          <w:szCs w:val="32"/>
        </w:rPr>
        <w:t>部门整体支出绩效评价基础表</w:t>
      </w:r>
    </w:p>
    <w:p>
      <w:pPr>
        <w:jc w:val="center"/>
        <w:rPr>
          <w:kern w:val="0"/>
          <w:sz w:val="24"/>
        </w:rPr>
      </w:pPr>
      <w:r>
        <w:rPr>
          <w:rFonts w:hint="eastAsia"/>
          <w:kern w:val="0"/>
          <w:sz w:val="36"/>
          <w:szCs w:val="36"/>
        </w:rPr>
        <w:t>部门整体支出绩效评价指标评分表</w:t>
      </w:r>
    </w:p>
    <w:tbl>
      <w:tblPr>
        <w:tblStyle w:val="6"/>
        <w:tblW w:w="9958" w:type="dxa"/>
        <w:jc w:val="center"/>
        <w:tblLayout w:type="fixed"/>
        <w:tblCellMar>
          <w:top w:w="0" w:type="dxa"/>
          <w:left w:w="108" w:type="dxa"/>
          <w:bottom w:w="0" w:type="dxa"/>
          <w:right w:w="108" w:type="dxa"/>
        </w:tblCellMar>
      </w:tblPr>
      <w:tblGrid>
        <w:gridCol w:w="709"/>
        <w:gridCol w:w="677"/>
        <w:gridCol w:w="1014"/>
        <w:gridCol w:w="483"/>
        <w:gridCol w:w="2948"/>
        <w:gridCol w:w="3490"/>
        <w:gridCol w:w="63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kern w:val="0"/>
                <w:sz w:val="20"/>
                <w:szCs w:val="20"/>
              </w:rPr>
            </w:pPr>
            <w:r>
              <w:rPr>
                <w:rFonts w:hint="eastAsia" w:ascii="黑体"/>
                <w:kern w:val="0"/>
                <w:sz w:val="20"/>
                <w:szCs w:val="20"/>
              </w:rPr>
              <w:t>一级指标</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kern w:val="0"/>
                <w:sz w:val="20"/>
                <w:szCs w:val="20"/>
              </w:rPr>
              <w:t>二级指标</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kern w:val="0"/>
                <w:sz w:val="20"/>
                <w:szCs w:val="20"/>
              </w:rPr>
              <w:t>三级</w:t>
            </w:r>
          </w:p>
          <w:p>
            <w:pPr>
              <w:widowControl/>
              <w:jc w:val="center"/>
              <w:rPr>
                <w:rFonts w:ascii="黑体" w:eastAsia="黑体"/>
                <w:kern w:val="0"/>
                <w:sz w:val="20"/>
                <w:szCs w:val="20"/>
              </w:rPr>
            </w:pPr>
            <w:r>
              <w:rPr>
                <w:rFonts w:hint="eastAsia" w:ascii="黑体"/>
                <w:kern w:val="0"/>
                <w:sz w:val="20"/>
                <w:szCs w:val="20"/>
              </w:rPr>
              <w:t>指标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kern w:val="0"/>
                <w:sz w:val="20"/>
                <w:szCs w:val="20"/>
              </w:rPr>
              <w:t>分值</w:t>
            </w:r>
          </w:p>
        </w:tc>
        <w:tc>
          <w:tcPr>
            <w:tcW w:w="2948"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kern w:val="0"/>
                <w:sz w:val="20"/>
                <w:szCs w:val="20"/>
              </w:rPr>
              <w:t>评价标准</w:t>
            </w:r>
          </w:p>
        </w:tc>
        <w:tc>
          <w:tcPr>
            <w:tcW w:w="3490"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kern w:val="0"/>
                <w:sz w:val="20"/>
                <w:szCs w:val="20"/>
              </w:rPr>
              <w:t>指标说明</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kern w:val="0"/>
                <w:sz w:val="20"/>
                <w:szCs w:val="20"/>
              </w:rPr>
              <w:t>得分</w:t>
            </w:r>
          </w:p>
        </w:tc>
      </w:tr>
      <w:tr>
        <w:tblPrEx>
          <w:tblCellMar>
            <w:top w:w="0" w:type="dxa"/>
            <w:left w:w="108" w:type="dxa"/>
            <w:bottom w:w="0" w:type="dxa"/>
            <w:right w:w="108" w:type="dxa"/>
          </w:tblCellMar>
        </w:tblPrEx>
        <w:trPr>
          <w:trHeight w:val="908" w:hRule="atLeast"/>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投</w:t>
            </w:r>
          </w:p>
          <w:p>
            <w:pPr>
              <w:widowControl/>
              <w:jc w:val="center"/>
              <w:rPr>
                <w:rFonts w:eastAsia="仿宋_GB2312"/>
                <w:kern w:val="0"/>
                <w:sz w:val="20"/>
                <w:szCs w:val="20"/>
              </w:rPr>
            </w:pPr>
            <w:r>
              <w:rPr>
                <w:rFonts w:hint="eastAsia"/>
                <w:kern w:val="0"/>
                <w:sz w:val="20"/>
                <w:szCs w:val="20"/>
              </w:rPr>
              <w:t>入</w:t>
            </w:r>
          </w:p>
          <w:p>
            <w:pPr>
              <w:widowControl/>
              <w:jc w:val="center"/>
              <w:rPr>
                <w:rFonts w:eastAsia="仿宋_GB2312"/>
                <w:kern w:val="0"/>
                <w:sz w:val="20"/>
                <w:szCs w:val="20"/>
              </w:rPr>
            </w:pPr>
          </w:p>
          <w:p>
            <w:pPr>
              <w:widowControl/>
              <w:jc w:val="center"/>
              <w:rPr>
                <w:rFonts w:eastAsia="仿宋_GB2312"/>
                <w:kern w:val="0"/>
                <w:sz w:val="20"/>
                <w:szCs w:val="20"/>
              </w:rPr>
            </w:pPr>
            <w:r>
              <w:rPr>
                <w:kern w:val="0"/>
                <w:sz w:val="20"/>
                <w:szCs w:val="20"/>
              </w:rPr>
              <w:t>10</w:t>
            </w:r>
            <w:r>
              <w:rPr>
                <w:rFonts w:hint="eastAsia"/>
                <w:kern w:val="0"/>
                <w:sz w:val="20"/>
                <w:szCs w:val="20"/>
              </w:rPr>
              <w:t>分</w:t>
            </w:r>
          </w:p>
          <w:p>
            <w:pPr>
              <w:jc w:val="center"/>
              <w:rPr>
                <w:rFonts w:eastAsia="仿宋_GB2312"/>
                <w:kern w:val="0"/>
                <w:sz w:val="20"/>
                <w:szCs w:val="20"/>
              </w:rPr>
            </w:pPr>
          </w:p>
        </w:tc>
        <w:tc>
          <w:tcPr>
            <w:tcW w:w="677" w:type="dxa"/>
            <w:vMerge w:val="restart"/>
            <w:tcBorders>
              <w:top w:val="nil"/>
              <w:left w:val="nil"/>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目标设定</w:t>
            </w:r>
          </w:p>
          <w:p>
            <w:pPr>
              <w:widowControl/>
              <w:jc w:val="center"/>
              <w:rPr>
                <w:rFonts w:hint="eastAsia" w:eastAsia="仿宋_GB2312"/>
                <w:kern w:val="0"/>
                <w:sz w:val="20"/>
                <w:szCs w:val="20"/>
              </w:rPr>
            </w:pPr>
          </w:p>
          <w:p>
            <w:pPr>
              <w:widowControl/>
              <w:jc w:val="center"/>
              <w:rPr>
                <w:rFonts w:eastAsia="仿宋_GB2312"/>
                <w:kern w:val="0"/>
                <w:sz w:val="20"/>
                <w:szCs w:val="20"/>
              </w:rPr>
            </w:pPr>
            <w:r>
              <w:rPr>
                <w:kern w:val="0"/>
                <w:sz w:val="20"/>
                <w:szCs w:val="20"/>
              </w:rPr>
              <w:t>6</w:t>
            </w:r>
            <w:r>
              <w:rPr>
                <w:rFonts w:hint="eastAsia"/>
                <w:kern w:val="0"/>
                <w:sz w:val="20"/>
                <w:szCs w:val="20"/>
              </w:rPr>
              <w:t>分</w:t>
            </w:r>
          </w:p>
        </w:tc>
        <w:tc>
          <w:tcPr>
            <w:tcW w:w="1014" w:type="dxa"/>
            <w:tcBorders>
              <w:top w:val="nil"/>
              <w:left w:val="nil"/>
              <w:bottom w:val="single" w:color="auto" w:sz="4" w:space="0"/>
              <w:right w:val="single" w:color="auto" w:sz="4" w:space="0"/>
            </w:tcBorders>
            <w:noWrap w:val="0"/>
            <w:vAlign w:val="center"/>
          </w:tcPr>
          <w:p>
            <w:pPr>
              <w:jc w:val="center"/>
              <w:rPr>
                <w:rFonts w:eastAsia="仿宋_GB2312"/>
                <w:kern w:val="0"/>
                <w:sz w:val="20"/>
                <w:szCs w:val="20"/>
              </w:rPr>
            </w:pPr>
            <w:r>
              <w:rPr>
                <w:rFonts w:hint="eastAsia"/>
                <w:kern w:val="0"/>
                <w:sz w:val="20"/>
                <w:szCs w:val="20"/>
              </w:rPr>
              <w:t>绩效目标合理性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3</w:t>
            </w:r>
          </w:p>
        </w:tc>
        <w:tc>
          <w:tcPr>
            <w:tcW w:w="2948" w:type="dxa"/>
            <w:tcBorders>
              <w:top w:val="nil"/>
              <w:left w:val="nil"/>
              <w:bottom w:val="single" w:color="auto" w:sz="4" w:space="0"/>
              <w:right w:val="nil"/>
            </w:tcBorders>
            <w:noWrap w:val="0"/>
            <w:vAlign w:val="center"/>
          </w:tcPr>
          <w:p>
            <w:pPr>
              <w:widowControl/>
              <w:jc w:val="center"/>
              <w:rPr>
                <w:rFonts w:eastAsia="仿宋_GB2312"/>
                <w:kern w:val="0"/>
                <w:sz w:val="20"/>
                <w:szCs w:val="20"/>
              </w:rPr>
            </w:pPr>
            <w:r>
              <w:rPr>
                <w:rFonts w:hint="eastAsia"/>
                <w:kern w:val="0"/>
                <w:sz w:val="20"/>
                <w:szCs w:val="20"/>
              </w:rPr>
              <w:t>部门所设立的整体绩效目标依据是否充分，是否符合客观实际，用以反映和考核部门整体绩效目标与部门履职、年度工作任务的相符性情况。</w:t>
            </w:r>
          </w:p>
        </w:tc>
        <w:tc>
          <w:tcPr>
            <w:tcW w:w="3490"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评价要点：</w:t>
            </w:r>
            <w:r>
              <w:rPr>
                <w:rFonts w:eastAsia="仿宋_GB2312"/>
                <w:kern w:val="0"/>
                <w:sz w:val="20"/>
                <w:szCs w:val="20"/>
              </w:rPr>
              <w:br w:type="textWrapping"/>
            </w:r>
            <w:r>
              <w:rPr>
                <w:rFonts w:hint="eastAsia"/>
                <w:kern w:val="0"/>
                <w:sz w:val="20"/>
                <w:szCs w:val="20"/>
              </w:rPr>
              <w:t>①是否符合国家法律法规、国民经济和社会发展总体规划；</w:t>
            </w:r>
            <w:r>
              <w:rPr>
                <w:rFonts w:eastAsia="仿宋_GB2312"/>
                <w:kern w:val="0"/>
                <w:sz w:val="20"/>
                <w:szCs w:val="20"/>
              </w:rPr>
              <w:br w:type="textWrapping"/>
            </w:r>
            <w:r>
              <w:rPr>
                <w:rFonts w:hint="eastAsia"/>
                <w:kern w:val="0"/>
                <w:sz w:val="20"/>
                <w:szCs w:val="20"/>
              </w:rPr>
              <w:t>②是否符合部门</w:t>
            </w:r>
            <w:r>
              <w:rPr>
                <w:kern w:val="0"/>
                <w:sz w:val="20"/>
                <w:szCs w:val="20"/>
              </w:rPr>
              <w:t>“</w:t>
            </w:r>
            <w:r>
              <w:rPr>
                <w:rFonts w:hint="eastAsia"/>
                <w:kern w:val="0"/>
                <w:sz w:val="20"/>
                <w:szCs w:val="20"/>
              </w:rPr>
              <w:t>三定</w:t>
            </w:r>
            <w:r>
              <w:rPr>
                <w:kern w:val="0"/>
                <w:sz w:val="20"/>
                <w:szCs w:val="20"/>
              </w:rPr>
              <w:t>”</w:t>
            </w:r>
            <w:r>
              <w:rPr>
                <w:rFonts w:hint="eastAsia"/>
                <w:kern w:val="0"/>
                <w:sz w:val="20"/>
                <w:szCs w:val="20"/>
              </w:rPr>
              <w:t>方案确定的职责；</w:t>
            </w:r>
            <w:r>
              <w:rPr>
                <w:rFonts w:eastAsia="仿宋_GB2312"/>
                <w:kern w:val="0"/>
                <w:sz w:val="20"/>
                <w:szCs w:val="20"/>
              </w:rPr>
              <w:br w:type="textWrapping"/>
            </w:r>
            <w:r>
              <w:rPr>
                <w:rFonts w:hint="eastAsia"/>
                <w:kern w:val="0"/>
                <w:sz w:val="20"/>
                <w:szCs w:val="20"/>
              </w:rPr>
              <w:t>③是否符合部门制定的中长期实施规划。</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3</w:t>
            </w:r>
          </w:p>
        </w:tc>
      </w:tr>
      <w:tr>
        <w:tblPrEx>
          <w:tblCellMar>
            <w:top w:w="0" w:type="dxa"/>
            <w:left w:w="108" w:type="dxa"/>
            <w:bottom w:w="0" w:type="dxa"/>
            <w:right w:w="108" w:type="dxa"/>
          </w:tblCellMar>
        </w:tblPrEx>
        <w:trPr>
          <w:trHeight w:val="907"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hint="eastAsia"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jc w:val="center"/>
              <w:rPr>
                <w:rFonts w:eastAsia="仿宋_GB2312"/>
                <w:kern w:val="0"/>
                <w:sz w:val="20"/>
                <w:szCs w:val="20"/>
              </w:rPr>
            </w:pPr>
            <w:r>
              <w:rPr>
                <w:rFonts w:hint="eastAsia"/>
                <w:kern w:val="0"/>
                <w:sz w:val="20"/>
                <w:szCs w:val="20"/>
              </w:rPr>
              <w:t>绩效指标</w:t>
            </w:r>
          </w:p>
          <w:p>
            <w:pPr>
              <w:widowControl/>
              <w:jc w:val="center"/>
              <w:rPr>
                <w:rFonts w:eastAsia="仿宋_GB2312"/>
                <w:kern w:val="0"/>
                <w:sz w:val="20"/>
                <w:szCs w:val="20"/>
              </w:rPr>
            </w:pPr>
            <w:r>
              <w:rPr>
                <w:rFonts w:hint="eastAsia"/>
                <w:kern w:val="0"/>
                <w:sz w:val="20"/>
                <w:szCs w:val="20"/>
              </w:rPr>
              <w:t>明确性</w:t>
            </w:r>
          </w:p>
        </w:tc>
        <w:tc>
          <w:tcPr>
            <w:tcW w:w="483" w:type="dxa"/>
            <w:tcBorders>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3</w:t>
            </w:r>
          </w:p>
        </w:tc>
        <w:tc>
          <w:tcPr>
            <w:tcW w:w="2948" w:type="dxa"/>
            <w:tcBorders>
              <w:left w:val="nil"/>
              <w:bottom w:val="single" w:color="auto" w:sz="4" w:space="0"/>
              <w:right w:val="nil"/>
            </w:tcBorders>
            <w:noWrap w:val="0"/>
            <w:vAlign w:val="center"/>
          </w:tcPr>
          <w:p>
            <w:pPr>
              <w:widowControl/>
              <w:jc w:val="center"/>
              <w:rPr>
                <w:rFonts w:eastAsia="仿宋_GB2312"/>
                <w:kern w:val="0"/>
                <w:sz w:val="20"/>
                <w:szCs w:val="20"/>
              </w:rPr>
            </w:pPr>
            <w:r>
              <w:rPr>
                <w:rFonts w:hint="eastAsia"/>
                <w:kern w:val="0"/>
                <w:sz w:val="20"/>
                <w:szCs w:val="20"/>
              </w:rPr>
              <w:t>部门依据整体绩效目标所设定的绩效指针是否清晰、细化、可衡量，用以反映和考核部门整体绩效目标的明细化情况。</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rPr>
            </w:pPr>
            <w:r>
              <w:rPr>
                <w:rFonts w:hint="eastAsia"/>
                <w:kern w:val="0"/>
                <w:sz w:val="20"/>
                <w:szCs w:val="20"/>
              </w:rPr>
              <w:t>评价要点：</w:t>
            </w:r>
            <w:r>
              <w:rPr>
                <w:rFonts w:eastAsia="仿宋_GB2312"/>
                <w:kern w:val="0"/>
                <w:sz w:val="20"/>
                <w:szCs w:val="20"/>
              </w:rPr>
              <w:br w:type="textWrapping"/>
            </w:r>
            <w:r>
              <w:rPr>
                <w:rFonts w:hint="eastAsia"/>
                <w:kern w:val="0"/>
                <w:sz w:val="20"/>
                <w:szCs w:val="20"/>
              </w:rPr>
              <w:t>①是否将部门整体的绩效目标细化分解为具体的工作任务；</w:t>
            </w:r>
            <w:r>
              <w:rPr>
                <w:rFonts w:eastAsia="仿宋_GB2312"/>
                <w:kern w:val="0"/>
                <w:sz w:val="20"/>
                <w:szCs w:val="20"/>
              </w:rPr>
              <w:br w:type="textWrapping"/>
            </w:r>
            <w:r>
              <w:rPr>
                <w:rFonts w:hint="eastAsia"/>
                <w:kern w:val="0"/>
                <w:sz w:val="20"/>
                <w:szCs w:val="20"/>
              </w:rPr>
              <w:t>②是否通过清晰、可衡量的指标值予以体现。</w:t>
            </w:r>
          </w:p>
          <w:p>
            <w:pPr>
              <w:widowControl/>
              <w:jc w:val="center"/>
              <w:rPr>
                <w:rFonts w:eastAsia="仿宋_GB2312"/>
                <w:kern w:val="0"/>
                <w:sz w:val="20"/>
                <w:szCs w:val="20"/>
              </w:rPr>
            </w:pPr>
            <w:r>
              <w:rPr>
                <w:rFonts w:hint="eastAsia"/>
                <w:kern w:val="0"/>
                <w:sz w:val="20"/>
                <w:szCs w:val="20"/>
              </w:rPr>
              <w:t>③是否与部门年度的任务数或计划数相对应；</w:t>
            </w:r>
            <w:r>
              <w:rPr>
                <w:rFonts w:eastAsia="仿宋_GB2312"/>
                <w:kern w:val="0"/>
                <w:sz w:val="20"/>
                <w:szCs w:val="20"/>
              </w:rPr>
              <w:br w:type="textWrapping"/>
            </w:r>
            <w:r>
              <w:rPr>
                <w:rFonts w:hint="eastAsia"/>
                <w:kern w:val="0"/>
                <w:sz w:val="20"/>
                <w:szCs w:val="20"/>
              </w:rPr>
              <w:t>④是否与本年度部门预算资金相匹配。</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3</w:t>
            </w:r>
          </w:p>
        </w:tc>
      </w:tr>
      <w:tr>
        <w:tblPrEx>
          <w:tblCellMar>
            <w:top w:w="0" w:type="dxa"/>
            <w:left w:w="108" w:type="dxa"/>
            <w:bottom w:w="0" w:type="dxa"/>
            <w:right w:w="108" w:type="dxa"/>
          </w:tblCellMar>
        </w:tblPrEx>
        <w:trPr>
          <w:trHeight w:val="1814"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kern w:val="0"/>
                <w:sz w:val="20"/>
                <w:szCs w:val="20"/>
              </w:rPr>
              <w:t>4</w:t>
            </w:r>
            <w:r>
              <w:rPr>
                <w:rFonts w:hint="eastAsia"/>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在职人员控制率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w:t>
            </w:r>
          </w:p>
        </w:tc>
        <w:tc>
          <w:tcPr>
            <w:tcW w:w="2948" w:type="dxa"/>
            <w:tcBorders>
              <w:top w:val="nil"/>
              <w:left w:val="nil"/>
              <w:bottom w:val="nil"/>
              <w:right w:val="nil"/>
            </w:tcBorders>
            <w:noWrap w:val="0"/>
            <w:vAlign w:val="center"/>
          </w:tcPr>
          <w:p>
            <w:pPr>
              <w:widowControl/>
              <w:jc w:val="center"/>
              <w:rPr>
                <w:rFonts w:eastAsia="仿宋_GB2312"/>
                <w:kern w:val="0"/>
                <w:sz w:val="20"/>
                <w:szCs w:val="20"/>
              </w:rPr>
            </w:pPr>
            <w:r>
              <w:rPr>
                <w:rFonts w:hint="eastAsia"/>
                <w:kern w:val="0"/>
                <w:sz w:val="20"/>
                <w:szCs w:val="20"/>
              </w:rPr>
              <w:t>以</w:t>
            </w:r>
            <w:r>
              <w:rPr>
                <w:kern w:val="0"/>
                <w:sz w:val="20"/>
                <w:szCs w:val="20"/>
              </w:rPr>
              <w:t>100%</w:t>
            </w:r>
            <w:r>
              <w:rPr>
                <w:rFonts w:hint="eastAsia"/>
                <w:kern w:val="0"/>
                <w:sz w:val="20"/>
                <w:szCs w:val="20"/>
              </w:rPr>
              <w:t>为标准。在职人员控制率</w:t>
            </w:r>
            <w:r>
              <w:rPr>
                <w:rFonts w:hint="eastAsia" w:ascii="宋体" w:hAnsi="宋体" w:cs="宋体"/>
                <w:kern w:val="0"/>
                <w:sz w:val="20"/>
                <w:szCs w:val="20"/>
              </w:rPr>
              <w:t>≦</w:t>
            </w:r>
            <w:r>
              <w:rPr>
                <w:kern w:val="0"/>
                <w:sz w:val="20"/>
                <w:szCs w:val="20"/>
              </w:rPr>
              <w:t>100%</w:t>
            </w:r>
            <w:r>
              <w:rPr>
                <w:rFonts w:hint="eastAsia"/>
                <w:kern w:val="0"/>
                <w:sz w:val="20"/>
                <w:szCs w:val="20"/>
              </w:rPr>
              <w:t>，计</w:t>
            </w:r>
            <w:r>
              <w:rPr>
                <w:kern w:val="0"/>
                <w:sz w:val="20"/>
                <w:szCs w:val="20"/>
              </w:rPr>
              <w:t>2</w:t>
            </w:r>
            <w:r>
              <w:rPr>
                <w:rFonts w:hint="eastAsia"/>
                <w:kern w:val="0"/>
                <w:sz w:val="20"/>
                <w:szCs w:val="20"/>
              </w:rPr>
              <w:t>分；每超过一个百分点扣</w:t>
            </w:r>
            <w:r>
              <w:rPr>
                <w:kern w:val="0"/>
                <w:sz w:val="20"/>
                <w:szCs w:val="20"/>
              </w:rPr>
              <w:t>0.5</w:t>
            </w:r>
            <w:r>
              <w:rPr>
                <w:rFonts w:hint="eastAsia"/>
                <w:kern w:val="0"/>
                <w:sz w:val="20"/>
                <w:szCs w:val="20"/>
              </w:rPr>
              <w:t>分，扣完为止。</w:t>
            </w:r>
          </w:p>
        </w:tc>
        <w:tc>
          <w:tcPr>
            <w:tcW w:w="3490"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在职人员控制率</w:t>
            </w:r>
            <w:r>
              <w:rPr>
                <w:kern w:val="0"/>
                <w:sz w:val="20"/>
                <w:szCs w:val="20"/>
              </w:rPr>
              <w:t>=</w:t>
            </w:r>
            <w:r>
              <w:rPr>
                <w:rFonts w:hint="eastAsia"/>
                <w:kern w:val="0"/>
                <w:sz w:val="20"/>
                <w:szCs w:val="20"/>
              </w:rPr>
              <w:t>（在职人员数</w:t>
            </w:r>
            <w:r>
              <w:rPr>
                <w:kern w:val="0"/>
                <w:sz w:val="20"/>
                <w:szCs w:val="20"/>
              </w:rPr>
              <w:t>/</w:t>
            </w:r>
            <w:r>
              <w:rPr>
                <w:rFonts w:hint="eastAsia"/>
                <w:kern w:val="0"/>
                <w:sz w:val="20"/>
                <w:szCs w:val="20"/>
              </w:rPr>
              <w:t>编制数）</w:t>
            </w:r>
            <w:r>
              <w:rPr>
                <w:kern w:val="0"/>
                <w:sz w:val="20"/>
                <w:szCs w:val="20"/>
              </w:rPr>
              <w:t>×100%</w:t>
            </w:r>
            <w:r>
              <w:rPr>
                <w:rFonts w:hint="eastAsia"/>
                <w:kern w:val="0"/>
                <w:sz w:val="20"/>
                <w:szCs w:val="20"/>
              </w:rPr>
              <w:t>，在职人员数：部门（单位）实际在职人数，以财政局确定的部门决算编制口径为准。</w:t>
            </w:r>
            <w:r>
              <w:rPr>
                <w:rFonts w:eastAsia="仿宋_GB2312"/>
                <w:kern w:val="0"/>
                <w:sz w:val="20"/>
                <w:szCs w:val="20"/>
              </w:rPr>
              <w:br w:type="textWrapping"/>
            </w:r>
            <w:r>
              <w:rPr>
                <w:rFonts w:hint="eastAsia"/>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1</w:t>
            </w:r>
          </w:p>
        </w:tc>
      </w:tr>
      <w:tr>
        <w:tblPrEx>
          <w:tblCellMar>
            <w:top w:w="0" w:type="dxa"/>
            <w:left w:w="108" w:type="dxa"/>
            <w:bottom w:w="0" w:type="dxa"/>
            <w:right w:w="108" w:type="dxa"/>
          </w:tblCellMar>
        </w:tblPrEx>
        <w:trPr>
          <w:trHeight w:val="924"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w:t>
            </w:r>
          </w:p>
        </w:tc>
        <w:tc>
          <w:tcPr>
            <w:tcW w:w="294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r>
              <w:rPr>
                <w:rFonts w:hint="eastAsia" w:ascii="宋体" w:hAnsi="宋体" w:cs="宋体"/>
                <w:kern w:val="0"/>
                <w:sz w:val="20"/>
                <w:szCs w:val="20"/>
              </w:rPr>
              <w:t>≦</w:t>
            </w:r>
            <w:r>
              <w:rPr>
                <w:kern w:val="0"/>
                <w:sz w:val="20"/>
                <w:szCs w:val="20"/>
              </w:rPr>
              <w:t>0,</w:t>
            </w:r>
            <w:r>
              <w:rPr>
                <w:rFonts w:hint="eastAsia"/>
                <w:kern w:val="0"/>
                <w:sz w:val="20"/>
                <w:szCs w:val="20"/>
              </w:rPr>
              <w:t>计</w:t>
            </w:r>
            <w:r>
              <w:rPr>
                <w:kern w:val="0"/>
                <w:sz w:val="20"/>
                <w:szCs w:val="20"/>
              </w:rPr>
              <w:t>1</w:t>
            </w:r>
            <w:r>
              <w:rPr>
                <w:rFonts w:hint="eastAsia"/>
                <w:kern w:val="0"/>
                <w:sz w:val="20"/>
                <w:szCs w:val="20"/>
              </w:rPr>
              <w:t>分；</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r>
              <w:rPr>
                <w:kern w:val="0"/>
                <w:sz w:val="20"/>
                <w:szCs w:val="20"/>
              </w:rPr>
              <w:t>0</w:t>
            </w:r>
            <w:r>
              <w:rPr>
                <w:rFonts w:hint="eastAsia"/>
                <w:kern w:val="0"/>
                <w:sz w:val="20"/>
                <w:szCs w:val="20"/>
              </w:rPr>
              <w:t>，每超过一个百分点扣</w:t>
            </w:r>
            <w:r>
              <w:rPr>
                <w:kern w:val="0"/>
                <w:sz w:val="20"/>
                <w:szCs w:val="20"/>
              </w:rPr>
              <w:t>0.5</w:t>
            </w:r>
            <w:r>
              <w:rPr>
                <w:rFonts w:hint="eastAsia"/>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r>
              <w:rPr>
                <w:kern w:val="0"/>
                <w:sz w:val="20"/>
                <w:szCs w:val="20"/>
              </w:rPr>
              <w:t>=[</w:t>
            </w:r>
            <w:r>
              <w:rPr>
                <w:rFonts w:hint="eastAsia"/>
                <w:kern w:val="0"/>
                <w:sz w:val="20"/>
                <w:szCs w:val="20"/>
              </w:rPr>
              <w:t>（本年度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预算数</w:t>
            </w:r>
            <w:r>
              <w:rPr>
                <w:kern w:val="0"/>
                <w:sz w:val="20"/>
                <w:szCs w:val="20"/>
              </w:rPr>
              <w:t>-</w:t>
            </w:r>
            <w:r>
              <w:rPr>
                <w:rFonts w:hint="eastAsia"/>
                <w:kern w:val="0"/>
                <w:sz w:val="20"/>
                <w:szCs w:val="20"/>
              </w:rPr>
              <w:t>上年度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预算数）</w:t>
            </w:r>
            <w:r>
              <w:rPr>
                <w:kern w:val="0"/>
                <w:sz w:val="20"/>
                <w:szCs w:val="20"/>
              </w:rPr>
              <w:t>/</w:t>
            </w:r>
            <w:r>
              <w:rPr>
                <w:rFonts w:hint="eastAsia"/>
                <w:kern w:val="0"/>
                <w:sz w:val="20"/>
                <w:szCs w:val="20"/>
              </w:rPr>
              <w:t>上年度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预算数</w:t>
            </w:r>
            <w:r>
              <w:rPr>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1</w:t>
            </w:r>
          </w:p>
        </w:tc>
      </w:tr>
      <w:tr>
        <w:tblPrEx>
          <w:tblCellMar>
            <w:top w:w="0" w:type="dxa"/>
            <w:left w:w="108" w:type="dxa"/>
            <w:bottom w:w="0" w:type="dxa"/>
            <w:right w:w="108" w:type="dxa"/>
          </w:tblCellMar>
        </w:tblPrEx>
        <w:trPr>
          <w:trHeight w:val="3445"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jc w:val="center"/>
              <w:rPr>
                <w:rFonts w:eastAsia="仿宋_GB2312"/>
                <w:kern w:val="0"/>
                <w:sz w:val="20"/>
                <w:szCs w:val="20"/>
              </w:rPr>
            </w:pPr>
            <w:r>
              <w:rPr>
                <w:rFonts w:hint="eastAsia"/>
                <w:kern w:val="0"/>
                <w:sz w:val="20"/>
                <w:szCs w:val="20"/>
              </w:rPr>
              <w:t>重点支出</w:t>
            </w:r>
          </w:p>
          <w:p>
            <w:pPr>
              <w:widowControl/>
              <w:jc w:val="center"/>
              <w:rPr>
                <w:rFonts w:eastAsia="仿宋_GB2312"/>
                <w:kern w:val="0"/>
                <w:sz w:val="20"/>
                <w:szCs w:val="20"/>
              </w:rPr>
            </w:pPr>
            <w:r>
              <w:rPr>
                <w:rFonts w:hint="eastAsia"/>
                <w:kern w:val="0"/>
                <w:sz w:val="20"/>
                <w:szCs w:val="20"/>
              </w:rPr>
              <w:t>安排率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部门本年度预算安排的重点项目支出与部门项目总支出的比率，用以反映和考核部门对履行主要职责或完成重点任务的保障程度。</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重点支出安排率</w:t>
            </w:r>
            <w:r>
              <w:rPr>
                <w:kern w:val="0"/>
                <w:sz w:val="20"/>
                <w:szCs w:val="20"/>
              </w:rPr>
              <w:t>=</w:t>
            </w:r>
            <w:r>
              <w:rPr>
                <w:rFonts w:hint="eastAsia"/>
                <w:kern w:val="0"/>
                <w:sz w:val="20"/>
                <w:szCs w:val="20"/>
              </w:rPr>
              <w:t>（重点项目支出</w:t>
            </w:r>
            <w:r>
              <w:rPr>
                <w:kern w:val="0"/>
                <w:sz w:val="20"/>
                <w:szCs w:val="20"/>
              </w:rPr>
              <w:t>/</w:t>
            </w:r>
            <w:r>
              <w:rPr>
                <w:rFonts w:hint="eastAsia"/>
                <w:kern w:val="0"/>
                <w:sz w:val="20"/>
                <w:szCs w:val="20"/>
              </w:rPr>
              <w:t>项目总支出）</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重点项目支出：部门年度预算安排的，与本部门履职和发展密切相关、具有明显社会和经济影响、党委政府关心或社会比较关注的项目支出总额。</w:t>
            </w:r>
            <w:r>
              <w:rPr>
                <w:rFonts w:eastAsia="仿宋_GB2312"/>
                <w:kern w:val="0"/>
                <w:sz w:val="20"/>
                <w:szCs w:val="20"/>
              </w:rPr>
              <w:br w:type="textWrapping"/>
            </w:r>
            <w:r>
              <w:rPr>
                <w:rFonts w:hint="eastAsia"/>
                <w:kern w:val="0"/>
                <w:sz w:val="20"/>
                <w:szCs w:val="20"/>
              </w:rPr>
              <w:t>项目总支出：部门年度预算安排的项目支出总额。</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过</w:t>
            </w:r>
            <w:r>
              <w:rPr>
                <w:kern w:val="0"/>
                <w:sz w:val="20"/>
                <w:szCs w:val="20"/>
              </w:rPr>
              <w:t xml:space="preserve">                                                                                                                                       </w:t>
            </w:r>
            <w:r>
              <w:rPr>
                <w:rFonts w:hint="eastAsia"/>
                <w:kern w:val="0"/>
                <w:sz w:val="20"/>
                <w:szCs w:val="20"/>
              </w:rPr>
              <w:t>程</w:t>
            </w:r>
          </w:p>
          <w:p>
            <w:pPr>
              <w:widowControl/>
              <w:jc w:val="center"/>
              <w:rPr>
                <w:rFonts w:eastAsia="仿宋_GB2312"/>
                <w:kern w:val="0"/>
                <w:sz w:val="20"/>
                <w:szCs w:val="20"/>
              </w:rPr>
            </w:pPr>
          </w:p>
          <w:p>
            <w:pPr>
              <w:widowControl/>
              <w:jc w:val="center"/>
              <w:rPr>
                <w:rFonts w:eastAsia="仿宋_GB2312"/>
                <w:kern w:val="0"/>
                <w:sz w:val="20"/>
                <w:szCs w:val="20"/>
              </w:rPr>
            </w:pPr>
            <w:r>
              <w:rPr>
                <w:kern w:val="0"/>
                <w:sz w:val="20"/>
                <w:szCs w:val="20"/>
              </w:rPr>
              <w:t>30</w:t>
            </w:r>
            <w:r>
              <w:rPr>
                <w:rFonts w:hint="eastAsia"/>
                <w:kern w:val="0"/>
                <w:sz w:val="20"/>
                <w:szCs w:val="20"/>
              </w:rPr>
              <w:t>分</w:t>
            </w:r>
          </w:p>
          <w:p>
            <w:pPr>
              <w:jc w:val="center"/>
              <w:rPr>
                <w:rFonts w:eastAsia="仿宋_GB2312"/>
                <w:kern w:val="0"/>
                <w:sz w:val="20"/>
                <w:szCs w:val="20"/>
              </w:rPr>
            </w:pPr>
          </w:p>
          <w:p>
            <w:pPr>
              <w:jc w:val="center"/>
              <w:rPr>
                <w:rFonts w:eastAsia="仿宋_GB2312"/>
                <w:kern w:val="0"/>
                <w:sz w:val="20"/>
                <w:szCs w:val="20"/>
              </w:rPr>
            </w:pPr>
          </w:p>
        </w:tc>
        <w:tc>
          <w:tcPr>
            <w:tcW w:w="677" w:type="dxa"/>
            <w:vMerge w:val="restart"/>
            <w:tcBorders>
              <w:top w:val="nil"/>
              <w:left w:val="single" w:color="auto" w:sz="4" w:space="0"/>
              <w:right w:val="single" w:color="auto" w:sz="4" w:space="0"/>
            </w:tcBorders>
            <w:noWrap w:val="0"/>
            <w:vAlign w:val="center"/>
          </w:tcPr>
          <w:p>
            <w:pPr>
              <w:jc w:val="center"/>
              <w:rPr>
                <w:rFonts w:eastAsia="仿宋_GB2312"/>
                <w:kern w:val="0"/>
                <w:sz w:val="20"/>
                <w:szCs w:val="20"/>
              </w:rPr>
            </w:pPr>
            <w:r>
              <w:rPr>
                <w:rFonts w:hint="eastAsia"/>
                <w:kern w:val="0"/>
                <w:sz w:val="20"/>
                <w:szCs w:val="20"/>
              </w:rPr>
              <w:t>预算执行</w:t>
            </w:r>
            <w:r>
              <w:rPr>
                <w:kern w:val="0"/>
                <w:sz w:val="20"/>
                <w:szCs w:val="20"/>
              </w:rPr>
              <w:t>15</w:t>
            </w:r>
            <w:r>
              <w:rPr>
                <w:rFonts w:hint="eastAsia"/>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预算完成率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ascii="宋体" w:hAnsi="宋体"/>
                <w:kern w:val="0"/>
                <w:sz w:val="20"/>
                <w:szCs w:val="20"/>
              </w:rPr>
              <w:t>≥</w:t>
            </w:r>
            <w:r>
              <w:rPr>
                <w:kern w:val="0"/>
                <w:sz w:val="20"/>
                <w:szCs w:val="20"/>
              </w:rPr>
              <w:t>98%</w:t>
            </w:r>
            <w:r>
              <w:rPr>
                <w:rFonts w:hint="eastAsia"/>
                <w:kern w:val="0"/>
                <w:sz w:val="20"/>
                <w:szCs w:val="20"/>
              </w:rPr>
              <w:t>计满分，每低于</w:t>
            </w:r>
            <w:r>
              <w:rPr>
                <w:kern w:val="0"/>
                <w:sz w:val="20"/>
                <w:szCs w:val="20"/>
              </w:rPr>
              <w:t>5%</w:t>
            </w:r>
            <w:r>
              <w:rPr>
                <w:rFonts w:hint="eastAsia"/>
                <w:kern w:val="0"/>
                <w:sz w:val="20"/>
                <w:szCs w:val="20"/>
              </w:rPr>
              <w:t>扣</w:t>
            </w:r>
            <w:r>
              <w:rPr>
                <w:kern w:val="0"/>
                <w:sz w:val="20"/>
                <w:szCs w:val="20"/>
              </w:rPr>
              <w:t>1</w:t>
            </w:r>
            <w:r>
              <w:rPr>
                <w:rFonts w:hint="eastAsia"/>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预算完成率</w:t>
            </w:r>
            <w:r>
              <w:rPr>
                <w:kern w:val="0"/>
                <w:sz w:val="20"/>
                <w:szCs w:val="20"/>
              </w:rPr>
              <w:t>=</w:t>
            </w:r>
            <w:r>
              <w:rPr>
                <w:rFonts w:hint="eastAsia"/>
                <w:kern w:val="0"/>
                <w:sz w:val="20"/>
                <w:szCs w:val="20"/>
              </w:rPr>
              <w:t>（上年结转</w:t>
            </w:r>
            <w:r>
              <w:rPr>
                <w:kern w:val="0"/>
                <w:sz w:val="20"/>
                <w:szCs w:val="20"/>
              </w:rPr>
              <w:t>+</w:t>
            </w:r>
            <w:r>
              <w:rPr>
                <w:rFonts w:hint="eastAsia"/>
                <w:kern w:val="0"/>
                <w:sz w:val="20"/>
                <w:szCs w:val="20"/>
              </w:rPr>
              <w:t>年初预算</w:t>
            </w:r>
            <w:r>
              <w:rPr>
                <w:kern w:val="0"/>
                <w:sz w:val="20"/>
                <w:szCs w:val="20"/>
              </w:rPr>
              <w:t>+</w:t>
            </w:r>
            <w:r>
              <w:rPr>
                <w:rFonts w:hint="eastAsia"/>
                <w:kern w:val="0"/>
                <w:sz w:val="20"/>
                <w:szCs w:val="20"/>
              </w:rPr>
              <w:t>本年追加预算</w:t>
            </w:r>
            <w:r>
              <w:rPr>
                <w:kern w:val="0"/>
                <w:sz w:val="20"/>
                <w:szCs w:val="20"/>
              </w:rPr>
              <w:t>-</w:t>
            </w:r>
            <w:r>
              <w:rPr>
                <w:rFonts w:hint="eastAsia"/>
                <w:kern w:val="0"/>
                <w:sz w:val="20"/>
                <w:szCs w:val="20"/>
              </w:rPr>
              <w:t>年末结余）</w:t>
            </w:r>
            <w:r>
              <w:rPr>
                <w:kern w:val="0"/>
                <w:sz w:val="20"/>
                <w:szCs w:val="20"/>
              </w:rPr>
              <w:t>/</w:t>
            </w:r>
            <w:r>
              <w:rPr>
                <w:rFonts w:hint="eastAsia"/>
                <w:kern w:val="0"/>
                <w:sz w:val="20"/>
                <w:szCs w:val="20"/>
              </w:rPr>
              <w:t>（上年结转</w:t>
            </w:r>
            <w:r>
              <w:rPr>
                <w:kern w:val="0"/>
                <w:sz w:val="20"/>
                <w:szCs w:val="20"/>
              </w:rPr>
              <w:t>+</w:t>
            </w:r>
            <w:r>
              <w:rPr>
                <w:rFonts w:hint="eastAsia"/>
                <w:kern w:val="0"/>
                <w:sz w:val="20"/>
                <w:szCs w:val="20"/>
              </w:rPr>
              <w:t>年初预算</w:t>
            </w:r>
            <w:r>
              <w:rPr>
                <w:kern w:val="0"/>
                <w:sz w:val="20"/>
                <w:szCs w:val="20"/>
              </w:rPr>
              <w:t>+</w:t>
            </w:r>
            <w:r>
              <w:rPr>
                <w:rFonts w:hint="eastAsia"/>
                <w:kern w:val="0"/>
                <w:sz w:val="20"/>
                <w:szCs w:val="20"/>
              </w:rPr>
              <w:t>本年追加预算）</w:t>
            </w:r>
            <w:r>
              <w:rPr>
                <w:kern w:val="0"/>
                <w:sz w:val="20"/>
                <w:szCs w:val="20"/>
              </w:rPr>
              <w:t>×100%</w:t>
            </w:r>
            <w:r>
              <w:rPr>
                <w:rFonts w:hint="eastAsia"/>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预算调整率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预算调整率</w:t>
            </w:r>
            <w:r>
              <w:rPr>
                <w:kern w:val="0"/>
                <w:sz w:val="20"/>
                <w:szCs w:val="20"/>
              </w:rPr>
              <w:t>=0</w:t>
            </w:r>
            <w:r>
              <w:rPr>
                <w:rFonts w:hint="eastAsia"/>
                <w:kern w:val="0"/>
                <w:sz w:val="20"/>
                <w:szCs w:val="20"/>
              </w:rPr>
              <w:t>，计</w:t>
            </w:r>
            <w:r>
              <w:rPr>
                <w:kern w:val="0"/>
                <w:sz w:val="20"/>
                <w:szCs w:val="20"/>
              </w:rPr>
              <w:t>2</w:t>
            </w:r>
            <w:r>
              <w:rPr>
                <w:rFonts w:hint="eastAsia"/>
                <w:kern w:val="0"/>
                <w:sz w:val="20"/>
                <w:szCs w:val="20"/>
              </w:rPr>
              <w:t>分；</w:t>
            </w:r>
            <w:r>
              <w:rPr>
                <w:kern w:val="0"/>
                <w:sz w:val="20"/>
                <w:szCs w:val="20"/>
              </w:rPr>
              <w:t>0-10%</w:t>
            </w:r>
            <w:r>
              <w:rPr>
                <w:rFonts w:hint="eastAsia"/>
                <w:kern w:val="0"/>
                <w:sz w:val="20"/>
                <w:szCs w:val="20"/>
              </w:rPr>
              <w:t>（含），计</w:t>
            </w:r>
            <w:r>
              <w:rPr>
                <w:kern w:val="0"/>
                <w:sz w:val="20"/>
                <w:szCs w:val="20"/>
              </w:rPr>
              <w:t>1.5</w:t>
            </w:r>
            <w:r>
              <w:rPr>
                <w:rFonts w:hint="eastAsia"/>
                <w:kern w:val="0"/>
                <w:sz w:val="20"/>
                <w:szCs w:val="20"/>
              </w:rPr>
              <w:t>分；</w:t>
            </w:r>
            <w:r>
              <w:rPr>
                <w:kern w:val="0"/>
                <w:sz w:val="20"/>
                <w:szCs w:val="20"/>
              </w:rPr>
              <w:t>10-20%</w:t>
            </w:r>
            <w:r>
              <w:rPr>
                <w:rFonts w:hint="eastAsia"/>
                <w:kern w:val="0"/>
                <w:sz w:val="20"/>
                <w:szCs w:val="20"/>
              </w:rPr>
              <w:t>（含），计</w:t>
            </w:r>
            <w:r>
              <w:rPr>
                <w:kern w:val="0"/>
                <w:sz w:val="20"/>
                <w:szCs w:val="20"/>
              </w:rPr>
              <w:t>1</w:t>
            </w:r>
            <w:r>
              <w:rPr>
                <w:rFonts w:hint="eastAsia"/>
                <w:kern w:val="0"/>
                <w:sz w:val="20"/>
                <w:szCs w:val="20"/>
              </w:rPr>
              <w:t>分；</w:t>
            </w:r>
            <w:r>
              <w:rPr>
                <w:kern w:val="0"/>
                <w:sz w:val="20"/>
                <w:szCs w:val="20"/>
              </w:rPr>
              <w:t>20-30%</w:t>
            </w:r>
            <w:r>
              <w:rPr>
                <w:rFonts w:hint="eastAsia"/>
                <w:kern w:val="0"/>
                <w:sz w:val="20"/>
                <w:szCs w:val="20"/>
              </w:rPr>
              <w:t>（含），计</w:t>
            </w:r>
            <w:r>
              <w:rPr>
                <w:kern w:val="0"/>
                <w:sz w:val="20"/>
                <w:szCs w:val="20"/>
              </w:rPr>
              <w:t>0.5</w:t>
            </w:r>
            <w:r>
              <w:rPr>
                <w:rFonts w:hint="eastAsia"/>
                <w:kern w:val="0"/>
                <w:sz w:val="20"/>
                <w:szCs w:val="20"/>
              </w:rPr>
              <w:t>分；大于</w:t>
            </w:r>
            <w:r>
              <w:rPr>
                <w:kern w:val="0"/>
                <w:sz w:val="20"/>
                <w:szCs w:val="20"/>
              </w:rPr>
              <w:t>30%</w:t>
            </w:r>
            <w:r>
              <w:rPr>
                <w:rFonts w:hint="eastAsia"/>
                <w:kern w:val="0"/>
                <w:sz w:val="20"/>
                <w:szCs w:val="20"/>
              </w:rPr>
              <w:t>不得分。</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预算调整率</w:t>
            </w:r>
            <w:r>
              <w:rPr>
                <w:kern w:val="0"/>
                <w:sz w:val="20"/>
                <w:szCs w:val="20"/>
              </w:rPr>
              <w:t>=</w:t>
            </w:r>
            <w:r>
              <w:rPr>
                <w:rFonts w:hint="eastAsia"/>
                <w:kern w:val="0"/>
                <w:sz w:val="20"/>
                <w:szCs w:val="20"/>
              </w:rPr>
              <w:t>（预算调整数</w:t>
            </w:r>
            <w:r>
              <w:rPr>
                <w:kern w:val="0"/>
                <w:sz w:val="20"/>
                <w:szCs w:val="20"/>
              </w:rPr>
              <w:t>/</w:t>
            </w:r>
            <w:r>
              <w:rPr>
                <w:rFonts w:hint="eastAsia"/>
                <w:kern w:val="0"/>
                <w:sz w:val="20"/>
                <w:szCs w:val="20"/>
              </w:rPr>
              <w:t>预算数）</w:t>
            </w:r>
            <w:r>
              <w:rPr>
                <w:kern w:val="0"/>
                <w:sz w:val="20"/>
                <w:szCs w:val="20"/>
              </w:rPr>
              <w:t>×100%</w:t>
            </w:r>
            <w:r>
              <w:rPr>
                <w:rFonts w:hint="eastAsia"/>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4"/>
                <w:lang w:val="en-US" w:eastAsia="zh-CN"/>
              </w:rPr>
            </w:pPr>
            <w:r>
              <w:rPr>
                <w:rFonts w:hint="eastAsia"/>
                <w:kern w:val="0"/>
                <w:sz w:val="24"/>
                <w:lang w:val="en-US" w:eastAsia="zh-CN"/>
              </w:rPr>
              <w:t>0.5</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支付进度率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w:t>
            </w:r>
          </w:p>
        </w:tc>
        <w:tc>
          <w:tcPr>
            <w:tcW w:w="294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符合要求计满分，否则计</w:t>
            </w:r>
            <w:r>
              <w:rPr>
                <w:kern w:val="0"/>
                <w:sz w:val="20"/>
                <w:szCs w:val="20"/>
              </w:rPr>
              <w:t>0</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支付进度率</w:t>
            </w:r>
            <w:r>
              <w:rPr>
                <w:kern w:val="0"/>
                <w:sz w:val="20"/>
                <w:szCs w:val="20"/>
              </w:rPr>
              <w:t>=</w:t>
            </w:r>
            <w:r>
              <w:rPr>
                <w:rFonts w:hint="eastAsia"/>
                <w:kern w:val="0"/>
                <w:sz w:val="20"/>
                <w:szCs w:val="20"/>
              </w:rPr>
              <w:t>（实际支付进度</w:t>
            </w:r>
            <w:r>
              <w:rPr>
                <w:kern w:val="0"/>
                <w:sz w:val="20"/>
                <w:szCs w:val="20"/>
              </w:rPr>
              <w:t>/</w:t>
            </w:r>
            <w:r>
              <w:rPr>
                <w:rFonts w:hint="eastAsia"/>
                <w:kern w:val="0"/>
                <w:sz w:val="20"/>
                <w:szCs w:val="20"/>
              </w:rPr>
              <w:t>既定支付进度）</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实际支付进度：部门在某一时点的支出预算执行总数与年度支出预算数的比率。</w:t>
            </w:r>
            <w:r>
              <w:rPr>
                <w:rFonts w:eastAsia="仿宋_GB2312"/>
                <w:kern w:val="0"/>
                <w:sz w:val="20"/>
                <w:szCs w:val="20"/>
              </w:rPr>
              <w:br w:type="textWrapping"/>
            </w:r>
            <w:r>
              <w:rPr>
                <w:rFonts w:hint="eastAsia"/>
                <w:kern w:val="0"/>
                <w:sz w:val="20"/>
                <w:szCs w:val="20"/>
              </w:rPr>
              <w:t>既定支付进度：由部门在申报部门整体绩效目标时，参照序时支付进度、前三年支付进度、同级部门平均支付进度水平等确定的，在某一时点应达到的支付进度（比率）。</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1</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jc w:val="center"/>
              <w:rPr>
                <w:rFonts w:eastAsia="仿宋_GB2312"/>
                <w:kern w:val="0"/>
                <w:sz w:val="20"/>
                <w:szCs w:val="20"/>
              </w:rPr>
            </w:pPr>
            <w:r>
              <w:rPr>
                <w:rFonts w:hint="eastAsia"/>
                <w:kern w:val="0"/>
                <w:sz w:val="20"/>
                <w:szCs w:val="20"/>
              </w:rPr>
              <w:t>结转结余</w:t>
            </w:r>
          </w:p>
          <w:p>
            <w:pPr>
              <w:widowControl/>
              <w:jc w:val="center"/>
              <w:rPr>
                <w:rFonts w:eastAsia="仿宋_GB2312"/>
                <w:kern w:val="0"/>
                <w:sz w:val="20"/>
                <w:szCs w:val="20"/>
              </w:rPr>
            </w:pPr>
            <w:r>
              <w:rPr>
                <w:rFonts w:hint="eastAsia"/>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w:t>
            </w:r>
            <w:r>
              <w:rPr>
                <w:kern w:val="0"/>
                <w:sz w:val="20"/>
                <w:szCs w:val="20"/>
              </w:rPr>
              <w:t>0</w:t>
            </w:r>
            <w:r>
              <w:rPr>
                <w:rFonts w:hint="eastAsia"/>
                <w:kern w:val="0"/>
                <w:sz w:val="20"/>
                <w:szCs w:val="20"/>
              </w:rPr>
              <w:t>计满分，每超出</w:t>
            </w:r>
            <w:r>
              <w:rPr>
                <w:kern w:val="0"/>
                <w:sz w:val="20"/>
                <w:szCs w:val="20"/>
              </w:rPr>
              <w:t>5%</w:t>
            </w:r>
            <w:r>
              <w:rPr>
                <w:rFonts w:hint="eastAsia"/>
                <w:kern w:val="0"/>
                <w:sz w:val="20"/>
                <w:szCs w:val="20"/>
              </w:rPr>
              <w:t>扣</w:t>
            </w:r>
            <w:r>
              <w:rPr>
                <w:kern w:val="0"/>
                <w:sz w:val="20"/>
                <w:szCs w:val="20"/>
              </w:rPr>
              <w:t>1</w:t>
            </w:r>
            <w:r>
              <w:rPr>
                <w:rFonts w:hint="eastAsia"/>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结转结余变动率</w:t>
            </w:r>
            <w:r>
              <w:rPr>
                <w:kern w:val="0"/>
                <w:sz w:val="20"/>
                <w:szCs w:val="20"/>
              </w:rPr>
              <w:t>=[</w:t>
            </w:r>
            <w:r>
              <w:rPr>
                <w:rFonts w:hint="eastAsia"/>
                <w:kern w:val="0"/>
                <w:sz w:val="20"/>
                <w:szCs w:val="20"/>
              </w:rPr>
              <w:t>（本年度累计结转结余资金总额</w:t>
            </w:r>
            <w:r>
              <w:rPr>
                <w:kern w:val="0"/>
                <w:sz w:val="20"/>
                <w:szCs w:val="20"/>
              </w:rPr>
              <w:t>-</w:t>
            </w:r>
            <w:r>
              <w:rPr>
                <w:rFonts w:hint="eastAsia"/>
                <w:kern w:val="0"/>
                <w:sz w:val="20"/>
                <w:szCs w:val="20"/>
              </w:rPr>
              <w:t>上年度累计结转结余资金总额）</w:t>
            </w:r>
            <w:r>
              <w:rPr>
                <w:kern w:val="0"/>
                <w:sz w:val="20"/>
                <w:szCs w:val="20"/>
              </w:rPr>
              <w:t>/</w:t>
            </w:r>
            <w:r>
              <w:rPr>
                <w:rFonts w:hint="eastAsia"/>
                <w:kern w:val="0"/>
                <w:sz w:val="20"/>
                <w:szCs w:val="20"/>
              </w:rPr>
              <w:t>上年度累计结转结余资金总额</w:t>
            </w:r>
            <w:r>
              <w:rPr>
                <w:kern w:val="0"/>
                <w:sz w:val="20"/>
                <w:szCs w:val="20"/>
              </w:rPr>
              <w:t>]×100%</w:t>
            </w:r>
            <w:r>
              <w:rPr>
                <w:rFonts w:hint="eastAsia"/>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公用经费控制率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3</w:t>
            </w:r>
          </w:p>
        </w:tc>
        <w:tc>
          <w:tcPr>
            <w:tcW w:w="294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100%</w:t>
            </w:r>
            <w:r>
              <w:rPr>
                <w:rFonts w:hint="eastAsia"/>
                <w:kern w:val="0"/>
                <w:sz w:val="20"/>
                <w:szCs w:val="20"/>
              </w:rPr>
              <w:t>以下（含）计满分，每超出</w:t>
            </w:r>
            <w:r>
              <w:rPr>
                <w:kern w:val="0"/>
                <w:sz w:val="20"/>
                <w:szCs w:val="20"/>
              </w:rPr>
              <w:t>1%</w:t>
            </w:r>
            <w:r>
              <w:rPr>
                <w:rFonts w:hint="eastAsia"/>
                <w:kern w:val="0"/>
                <w:sz w:val="20"/>
                <w:szCs w:val="20"/>
              </w:rPr>
              <w:t>扣</w:t>
            </w:r>
            <w:r>
              <w:rPr>
                <w:kern w:val="0"/>
                <w:sz w:val="20"/>
                <w:szCs w:val="20"/>
              </w:rPr>
              <w:t>1</w:t>
            </w:r>
            <w:r>
              <w:rPr>
                <w:rFonts w:hint="eastAsia"/>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公用经费控制率</w:t>
            </w:r>
            <w:r>
              <w:rPr>
                <w:kern w:val="0"/>
                <w:sz w:val="20"/>
                <w:szCs w:val="20"/>
              </w:rPr>
              <w:t>=</w:t>
            </w:r>
            <w:r>
              <w:rPr>
                <w:rFonts w:hint="eastAsia"/>
                <w:kern w:val="0"/>
                <w:sz w:val="20"/>
                <w:szCs w:val="20"/>
              </w:rPr>
              <w:t>（实际支出公用经费总额</w:t>
            </w:r>
            <w:r>
              <w:rPr>
                <w:kern w:val="0"/>
                <w:sz w:val="20"/>
                <w:szCs w:val="20"/>
              </w:rPr>
              <w:t>/</w:t>
            </w:r>
            <w:r>
              <w:rPr>
                <w:rFonts w:hint="eastAsia"/>
                <w:kern w:val="0"/>
                <w:sz w:val="20"/>
                <w:szCs w:val="20"/>
              </w:rPr>
              <w:t>预算安排公用经费总额）</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3</w:t>
            </w:r>
          </w:p>
        </w:tc>
      </w:tr>
      <w:tr>
        <w:tblPrEx>
          <w:tblCellMar>
            <w:top w:w="0" w:type="dxa"/>
            <w:left w:w="108" w:type="dxa"/>
            <w:bottom w:w="0" w:type="dxa"/>
            <w:right w:w="108" w:type="dxa"/>
          </w:tblCellMar>
        </w:tblPrEx>
        <w:trPr>
          <w:trHeight w:val="818" w:hRule="atLeast"/>
          <w:jc w:val="center"/>
        </w:trPr>
        <w:tc>
          <w:tcPr>
            <w:tcW w:w="709"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100%</w:t>
            </w:r>
            <w:r>
              <w:rPr>
                <w:rFonts w:hint="eastAsia"/>
                <w:kern w:val="0"/>
                <w:sz w:val="20"/>
                <w:szCs w:val="20"/>
              </w:rPr>
              <w:t>以下（含）计满分，否则计</w:t>
            </w:r>
            <w:r>
              <w:rPr>
                <w:kern w:val="0"/>
                <w:sz w:val="20"/>
                <w:szCs w:val="20"/>
              </w:rPr>
              <w:t>0</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控制率</w:t>
            </w:r>
            <w:r>
              <w:rPr>
                <w:kern w:val="0"/>
                <w:sz w:val="20"/>
                <w:szCs w:val="20"/>
              </w:rPr>
              <w:t>-</w:t>
            </w:r>
            <w:r>
              <w:rPr>
                <w:rFonts w:hint="eastAsia"/>
                <w:kern w:val="0"/>
                <w:sz w:val="20"/>
                <w:szCs w:val="20"/>
              </w:rPr>
              <w:t>（</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实际支出数</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预算安排数）</w:t>
            </w:r>
            <w:r>
              <w:rPr>
                <w:kern w:val="0"/>
                <w:sz w:val="20"/>
                <w:szCs w:val="20"/>
              </w:rPr>
              <w:t>×100%</w:t>
            </w:r>
            <w:r>
              <w:rPr>
                <w:rFonts w:hint="eastAsia"/>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1758" w:hRule="atLeast"/>
          <w:jc w:val="center"/>
        </w:trPr>
        <w:tc>
          <w:tcPr>
            <w:tcW w:w="709"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jc w:val="center"/>
              <w:rPr>
                <w:rFonts w:ascii="仿宋" w:hAnsi="仿宋" w:eastAsia="仿宋" w:cs="宋体"/>
                <w:sz w:val="20"/>
                <w:szCs w:val="20"/>
              </w:rPr>
            </w:pPr>
            <w:r>
              <w:rPr>
                <w:rFonts w:ascii="仿宋" w:hAnsi="仿宋"/>
                <w:sz w:val="20"/>
                <w:szCs w:val="20"/>
              </w:rPr>
              <w:t>政府采购节资率</w:t>
            </w:r>
          </w:p>
          <w:p>
            <w:pPr>
              <w:widowControl/>
              <w:jc w:val="center"/>
              <w:rPr>
                <w:rFonts w:eastAsia="仿宋_GB2312"/>
                <w:color w:val="FF0000"/>
                <w:kern w:val="0"/>
                <w:sz w:val="20"/>
                <w:szCs w:val="20"/>
              </w:rPr>
            </w:pP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w:t>
            </w:r>
          </w:p>
        </w:tc>
        <w:tc>
          <w:tcPr>
            <w:tcW w:w="294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w:t>
            </w:r>
            <w:r>
              <w:rPr>
                <w:kern w:val="0"/>
                <w:sz w:val="20"/>
                <w:szCs w:val="20"/>
              </w:rPr>
              <w:t>0</w:t>
            </w:r>
            <w:r>
              <w:rPr>
                <w:rFonts w:hint="eastAsia"/>
                <w:kern w:val="0"/>
                <w:sz w:val="20"/>
                <w:szCs w:val="20"/>
              </w:rPr>
              <w:t>计满分，否则计</w:t>
            </w:r>
            <w:r>
              <w:rPr>
                <w:kern w:val="0"/>
                <w:sz w:val="20"/>
                <w:szCs w:val="20"/>
              </w:rPr>
              <w:t>0</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节资率</w:t>
            </w:r>
            <w:r>
              <w:rPr>
                <w:kern w:val="0"/>
                <w:sz w:val="20"/>
                <w:szCs w:val="20"/>
              </w:rPr>
              <w:t>=</w:t>
            </w:r>
            <w:r>
              <w:rPr>
                <w:rFonts w:hint="eastAsia"/>
                <w:kern w:val="0"/>
                <w:sz w:val="20"/>
                <w:szCs w:val="20"/>
              </w:rPr>
              <w:t>（预算资金</w:t>
            </w:r>
            <w:r>
              <w:rPr>
                <w:kern w:val="0"/>
                <w:sz w:val="20"/>
                <w:szCs w:val="20"/>
              </w:rPr>
              <w:t>-</w:t>
            </w:r>
            <w:r>
              <w:rPr>
                <w:rFonts w:hint="eastAsia"/>
                <w:kern w:val="0"/>
                <w:sz w:val="20"/>
                <w:szCs w:val="20"/>
              </w:rPr>
              <w:t>实际采购资金）</w:t>
            </w:r>
            <w:r>
              <w:rPr>
                <w:kern w:val="0"/>
                <w:sz w:val="20"/>
                <w:szCs w:val="20"/>
              </w:rPr>
              <w:t>/</w:t>
            </w:r>
            <w:r>
              <w:rPr>
                <w:rFonts w:hint="eastAsia"/>
                <w:kern w:val="0"/>
                <w:sz w:val="20"/>
                <w:szCs w:val="20"/>
              </w:rPr>
              <w:t>预算资金</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1</w:t>
            </w:r>
          </w:p>
        </w:tc>
      </w:tr>
      <w:tr>
        <w:tblPrEx>
          <w:tblCellMar>
            <w:top w:w="0" w:type="dxa"/>
            <w:left w:w="108" w:type="dxa"/>
            <w:bottom w:w="0" w:type="dxa"/>
            <w:right w:w="108" w:type="dxa"/>
          </w:tblCellMar>
        </w:tblPrEx>
        <w:trPr>
          <w:trHeight w:val="1296" w:hRule="atLeast"/>
          <w:jc w:val="center"/>
        </w:trPr>
        <w:tc>
          <w:tcPr>
            <w:tcW w:w="709"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政府采购执行率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等于</w:t>
            </w:r>
            <w:r>
              <w:rPr>
                <w:rFonts w:ascii="宋体" w:hAnsi="宋体" w:cs="宋体"/>
                <w:kern w:val="0"/>
                <w:sz w:val="20"/>
                <w:szCs w:val="20"/>
              </w:rPr>
              <w:t>100%计满分，每超过（降低）5%</w:t>
            </w:r>
            <w:r>
              <w:rPr>
                <w:rFonts w:hint="eastAsia" w:ascii="宋体" w:hAnsi="宋体" w:cs="宋体"/>
                <w:kern w:val="0"/>
                <w:sz w:val="20"/>
                <w:szCs w:val="20"/>
              </w:rPr>
              <w:t>扣</w:t>
            </w:r>
            <w:r>
              <w:rPr>
                <w:rFonts w:ascii="宋体" w:hAnsi="宋体" w:cs="宋体"/>
                <w:kern w:val="0"/>
                <w:sz w:val="20"/>
                <w:szCs w:val="20"/>
              </w:rPr>
              <w:t>0.5分，扣完为止。</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政府采购执行率</w:t>
            </w:r>
            <w:r>
              <w:rPr>
                <w:kern w:val="0"/>
                <w:sz w:val="20"/>
                <w:szCs w:val="20"/>
              </w:rPr>
              <w:t>%=</w:t>
            </w:r>
            <w:r>
              <w:rPr>
                <w:rFonts w:hint="eastAsia"/>
                <w:kern w:val="0"/>
                <w:sz w:val="20"/>
                <w:szCs w:val="20"/>
              </w:rPr>
              <w:t>（实际履约验收个数</w:t>
            </w:r>
            <w:r>
              <w:rPr>
                <w:kern w:val="0"/>
                <w:sz w:val="20"/>
                <w:szCs w:val="20"/>
              </w:rPr>
              <w:t>/</w:t>
            </w:r>
            <w:r>
              <w:rPr>
                <w:rFonts w:hint="eastAsia"/>
                <w:kern w:val="0"/>
                <w:sz w:val="20"/>
                <w:szCs w:val="20"/>
              </w:rPr>
              <w:t>政府采购个数）×</w:t>
            </w:r>
            <w:r>
              <w:rPr>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2856" w:hRule="atLeast"/>
          <w:jc w:val="center"/>
        </w:trPr>
        <w:tc>
          <w:tcPr>
            <w:tcW w:w="709"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677" w:type="dxa"/>
            <w:tcBorders>
              <w:top w:val="nil"/>
              <w:left w:val="nil"/>
              <w:right w:val="single" w:color="auto" w:sz="4" w:space="0"/>
            </w:tcBorders>
            <w:noWrap w:val="0"/>
            <w:vAlign w:val="center"/>
          </w:tcPr>
          <w:p>
            <w:pPr>
              <w:widowControl/>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kern w:val="0"/>
                <w:sz w:val="20"/>
                <w:szCs w:val="20"/>
              </w:rPr>
            </w:pPr>
            <w:r>
              <w:rPr>
                <w:rFonts w:hint="eastAsia" w:ascii="仿宋_GB2312"/>
                <w:kern w:val="0"/>
                <w:sz w:val="20"/>
                <w:szCs w:val="20"/>
              </w:rPr>
              <w:t>①</w:t>
            </w:r>
            <w:r>
              <w:rPr>
                <w:rFonts w:hint="eastAsia"/>
                <w:kern w:val="0"/>
                <w:sz w:val="20"/>
                <w:szCs w:val="20"/>
              </w:rPr>
              <w:t>有内部财务管理制度、会计核算制度等管理制度；</w:t>
            </w:r>
            <w:r>
              <w:rPr>
                <w:rFonts w:ascii="宋体" w:hAnsi="宋体" w:cs="宋体"/>
                <w:kern w:val="0"/>
                <w:sz w:val="20"/>
                <w:szCs w:val="20"/>
              </w:rPr>
              <w:t>②</w:t>
            </w:r>
            <w:r>
              <w:rPr>
                <w:rFonts w:hint="eastAsia"/>
                <w:kern w:val="0"/>
                <w:sz w:val="20"/>
                <w:szCs w:val="20"/>
              </w:rPr>
              <w:t>有本部门厉行节约制度；</w:t>
            </w:r>
            <w:r>
              <w:rPr>
                <w:rFonts w:eastAsia="仿宋_GB2312"/>
                <w:kern w:val="0"/>
                <w:sz w:val="20"/>
                <w:szCs w:val="20"/>
              </w:rPr>
              <w:br w:type="textWrapping"/>
            </w:r>
            <w:r>
              <w:rPr>
                <w:rFonts w:ascii="宋体" w:hAnsi="宋体" w:cs="宋体"/>
                <w:kern w:val="0"/>
                <w:sz w:val="20"/>
                <w:szCs w:val="20"/>
              </w:rPr>
              <w:t>③</w:t>
            </w:r>
            <w:r>
              <w:rPr>
                <w:rFonts w:hint="eastAsia"/>
                <w:kern w:val="0"/>
                <w:sz w:val="20"/>
                <w:szCs w:val="20"/>
              </w:rPr>
              <w:t>相关管理制度合法、合规、完整；</w:t>
            </w:r>
            <w:r>
              <w:rPr>
                <w:rFonts w:ascii="宋体" w:hAnsi="宋体" w:cs="宋体"/>
                <w:kern w:val="0"/>
                <w:sz w:val="20"/>
                <w:szCs w:val="20"/>
              </w:rPr>
              <w:t>④</w:t>
            </w:r>
            <w:r>
              <w:rPr>
                <w:rFonts w:hint="eastAsia"/>
                <w:kern w:val="0"/>
                <w:sz w:val="20"/>
                <w:szCs w:val="20"/>
              </w:rPr>
              <w:t>相关管理制度得到有效执行。</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2856" w:hRule="atLeast"/>
          <w:jc w:val="center"/>
        </w:trPr>
        <w:tc>
          <w:tcPr>
            <w:tcW w:w="709" w:type="dxa"/>
            <w:vMerge w:val="restart"/>
            <w:tcBorders>
              <w:top w:val="nil"/>
              <w:left w:val="single" w:color="auto" w:sz="4" w:space="0"/>
              <w:right w:val="single" w:color="auto" w:sz="4" w:space="0"/>
            </w:tcBorders>
            <w:noWrap w:val="0"/>
            <w:vAlign w:val="center"/>
          </w:tcPr>
          <w:p>
            <w:pPr>
              <w:jc w:val="center"/>
              <w:rPr>
                <w:rFonts w:eastAsia="仿宋_GB2312"/>
                <w:kern w:val="0"/>
                <w:sz w:val="20"/>
                <w:szCs w:val="20"/>
              </w:rPr>
            </w:pPr>
            <w:r>
              <w:rPr>
                <w:rFonts w:hint="eastAsia"/>
                <w:kern w:val="0"/>
                <w:sz w:val="20"/>
                <w:szCs w:val="20"/>
              </w:rPr>
              <w:t>过</w:t>
            </w:r>
            <w:r>
              <w:rPr>
                <w:kern w:val="0"/>
                <w:sz w:val="20"/>
                <w:szCs w:val="20"/>
              </w:rPr>
              <w:t xml:space="preserve">                                                                                                                                       </w:t>
            </w:r>
            <w:r>
              <w:rPr>
                <w:rFonts w:hint="eastAsia"/>
                <w:kern w:val="0"/>
                <w:sz w:val="20"/>
                <w:szCs w:val="20"/>
              </w:rPr>
              <w:t>程</w:t>
            </w:r>
          </w:p>
          <w:p>
            <w:pPr>
              <w:jc w:val="center"/>
              <w:rPr>
                <w:rFonts w:eastAsia="仿宋_GB2312"/>
                <w:kern w:val="0"/>
                <w:sz w:val="20"/>
                <w:szCs w:val="20"/>
              </w:rPr>
            </w:pPr>
          </w:p>
          <w:p>
            <w:pPr>
              <w:widowControl/>
              <w:jc w:val="center"/>
              <w:rPr>
                <w:rFonts w:eastAsia="仿宋_GB2312"/>
                <w:kern w:val="0"/>
                <w:sz w:val="20"/>
                <w:szCs w:val="20"/>
              </w:rPr>
            </w:pPr>
            <w:r>
              <w:rPr>
                <w:kern w:val="0"/>
                <w:sz w:val="20"/>
                <w:szCs w:val="20"/>
              </w:rPr>
              <w:t>30</w:t>
            </w:r>
            <w:r>
              <w:rPr>
                <w:rFonts w:hint="eastAsia"/>
                <w:kern w:val="0"/>
                <w:sz w:val="20"/>
                <w:szCs w:val="20"/>
              </w:rPr>
              <w:t>分</w:t>
            </w:r>
          </w:p>
        </w:tc>
        <w:tc>
          <w:tcPr>
            <w:tcW w:w="677" w:type="dxa"/>
            <w:vMerge w:val="restart"/>
            <w:tcBorders>
              <w:top w:val="nil"/>
              <w:left w:val="nil"/>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预算管理</w:t>
            </w:r>
          </w:p>
          <w:p>
            <w:pPr>
              <w:widowControl/>
              <w:jc w:val="center"/>
              <w:rPr>
                <w:rFonts w:eastAsia="仿宋_GB2312"/>
                <w:kern w:val="0"/>
                <w:sz w:val="20"/>
                <w:szCs w:val="20"/>
              </w:rPr>
            </w:pPr>
          </w:p>
          <w:p>
            <w:pPr>
              <w:widowControl/>
              <w:jc w:val="center"/>
              <w:rPr>
                <w:rFonts w:eastAsia="仿宋_GB2312"/>
                <w:kern w:val="0"/>
                <w:sz w:val="20"/>
                <w:szCs w:val="20"/>
              </w:rPr>
            </w:pPr>
            <w:r>
              <w:rPr>
                <w:kern w:val="0"/>
                <w:sz w:val="20"/>
                <w:szCs w:val="20"/>
              </w:rPr>
              <w:t>10</w:t>
            </w:r>
            <w:r>
              <w:rPr>
                <w:rFonts w:hint="eastAsia"/>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资金使用合规性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4</w:t>
            </w:r>
          </w:p>
        </w:tc>
        <w:tc>
          <w:tcPr>
            <w:tcW w:w="294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ascii="宋体" w:hAnsi="宋体" w:cs="宋体"/>
                <w:kern w:val="0"/>
                <w:sz w:val="20"/>
                <w:szCs w:val="20"/>
              </w:rPr>
              <w:t>①</w:t>
            </w:r>
            <w:r>
              <w:rPr>
                <w:rFonts w:hint="eastAsia"/>
                <w:kern w:val="0"/>
                <w:sz w:val="20"/>
                <w:szCs w:val="20"/>
              </w:rPr>
              <w:t>支出符合国家财经法规和财务管理制度规定以及有关专项资金管理办法的规定；</w:t>
            </w:r>
            <w:r>
              <w:rPr>
                <w:rFonts w:ascii="宋体" w:hAnsi="宋体" w:cs="宋体"/>
                <w:kern w:val="0"/>
                <w:sz w:val="20"/>
                <w:szCs w:val="20"/>
              </w:rPr>
              <w:t>②</w:t>
            </w:r>
            <w:r>
              <w:rPr>
                <w:rFonts w:hint="eastAsia"/>
                <w:kern w:val="0"/>
                <w:sz w:val="20"/>
                <w:szCs w:val="20"/>
              </w:rPr>
              <w:t>资金拨付有完整的审批程序和手续；</w:t>
            </w:r>
            <w:r>
              <w:rPr>
                <w:rFonts w:ascii="宋体" w:hAnsi="宋体" w:cs="宋体"/>
                <w:kern w:val="0"/>
                <w:sz w:val="20"/>
                <w:szCs w:val="20"/>
              </w:rPr>
              <w:t>③</w:t>
            </w:r>
            <w:r>
              <w:rPr>
                <w:rFonts w:hint="eastAsia"/>
                <w:kern w:val="0"/>
                <w:sz w:val="20"/>
                <w:szCs w:val="20"/>
              </w:rPr>
              <w:t>项目支出按规定经过评估论证；</w:t>
            </w:r>
            <w:r>
              <w:rPr>
                <w:rFonts w:ascii="宋体" w:hAnsi="宋体" w:cs="宋体"/>
                <w:kern w:val="0"/>
                <w:sz w:val="20"/>
                <w:szCs w:val="20"/>
              </w:rPr>
              <w:t>④</w:t>
            </w:r>
            <w:r>
              <w:rPr>
                <w:rFonts w:hint="eastAsia"/>
                <w:kern w:val="0"/>
                <w:sz w:val="20"/>
                <w:szCs w:val="20"/>
              </w:rPr>
              <w:t>支出符合部门预算批复的用途；</w:t>
            </w:r>
            <w:r>
              <w:rPr>
                <w:rFonts w:ascii="宋体" w:hAnsi="宋体" w:cs="宋体"/>
                <w:kern w:val="0"/>
                <w:sz w:val="20"/>
                <w:szCs w:val="20"/>
              </w:rPr>
              <w:t>⑤</w:t>
            </w:r>
            <w:r>
              <w:rPr>
                <w:rFonts w:hint="eastAsia"/>
                <w:kern w:val="0"/>
                <w:sz w:val="20"/>
                <w:szCs w:val="20"/>
              </w:rPr>
              <w:t>资金使用无截留、挤占、挪用、虚列支出等情况。</w:t>
            </w:r>
            <w:r>
              <w:rPr>
                <w:rFonts w:eastAsia="仿宋_GB2312"/>
                <w:kern w:val="0"/>
                <w:sz w:val="20"/>
                <w:szCs w:val="20"/>
              </w:rPr>
              <w:br w:type="textWrapping"/>
            </w:r>
            <w:r>
              <w:rPr>
                <w:rFonts w:hint="eastAsia"/>
                <w:kern w:val="0"/>
                <w:sz w:val="20"/>
                <w:szCs w:val="20"/>
              </w:rPr>
              <w:t>以上情况每出现一例不符合要求的扣</w:t>
            </w:r>
            <w:r>
              <w:rPr>
                <w:kern w:val="0"/>
                <w:sz w:val="20"/>
                <w:szCs w:val="20"/>
              </w:rPr>
              <w:t>1</w:t>
            </w:r>
            <w:r>
              <w:rPr>
                <w:rFonts w:hint="eastAsia"/>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4</w:t>
            </w:r>
          </w:p>
        </w:tc>
      </w:tr>
      <w:tr>
        <w:tblPrEx>
          <w:tblCellMar>
            <w:top w:w="0" w:type="dxa"/>
            <w:left w:w="108" w:type="dxa"/>
            <w:bottom w:w="0" w:type="dxa"/>
            <w:right w:w="108" w:type="dxa"/>
          </w:tblCellMar>
        </w:tblPrEx>
        <w:trPr>
          <w:trHeight w:val="1974"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预决算信息公开性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kern w:val="0"/>
                <w:sz w:val="20"/>
                <w:szCs w:val="20"/>
              </w:rPr>
              <w:t>①</w:t>
            </w:r>
            <w:r>
              <w:rPr>
                <w:rFonts w:hint="eastAsia"/>
                <w:kern w:val="0"/>
                <w:sz w:val="20"/>
                <w:szCs w:val="20"/>
              </w:rPr>
              <w:t>按规定内容公开预决算信息，</w:t>
            </w:r>
            <w:r>
              <w:rPr>
                <w:kern w:val="0"/>
                <w:sz w:val="20"/>
                <w:szCs w:val="20"/>
              </w:rPr>
              <w:t>1</w:t>
            </w:r>
            <w:r>
              <w:rPr>
                <w:rFonts w:hint="eastAsia"/>
                <w:kern w:val="0"/>
                <w:sz w:val="20"/>
                <w:szCs w:val="20"/>
              </w:rPr>
              <w:t>分；</w:t>
            </w:r>
            <w:r>
              <w:rPr>
                <w:rFonts w:ascii="宋体" w:hAnsi="宋体" w:cs="宋体"/>
                <w:kern w:val="0"/>
                <w:sz w:val="20"/>
                <w:szCs w:val="20"/>
              </w:rPr>
              <w:t>②</w:t>
            </w:r>
            <w:r>
              <w:rPr>
                <w:rFonts w:hint="eastAsia"/>
                <w:kern w:val="0"/>
                <w:sz w:val="20"/>
                <w:szCs w:val="20"/>
              </w:rPr>
              <w:t>按规定时限公开预决算信息，</w:t>
            </w:r>
            <w:r>
              <w:rPr>
                <w:kern w:val="0"/>
                <w:sz w:val="20"/>
                <w:szCs w:val="20"/>
              </w:rPr>
              <w:t>1</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1974"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基础信息完善性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top"/>
          </w:tcPr>
          <w:p>
            <w:pPr>
              <w:widowControl/>
              <w:jc w:val="center"/>
              <w:rPr>
                <w:rFonts w:eastAsia="仿宋_GB2312"/>
                <w:kern w:val="0"/>
                <w:sz w:val="20"/>
                <w:szCs w:val="20"/>
              </w:rPr>
            </w:pPr>
            <w:r>
              <w:rPr>
                <w:rFonts w:hint="eastAsia" w:ascii="仿宋_GB2312"/>
                <w:kern w:val="0"/>
                <w:sz w:val="20"/>
                <w:szCs w:val="20"/>
              </w:rPr>
              <w:t>①</w:t>
            </w:r>
            <w:r>
              <w:rPr>
                <w:rFonts w:hint="eastAsia"/>
                <w:kern w:val="0"/>
                <w:sz w:val="20"/>
                <w:szCs w:val="20"/>
              </w:rPr>
              <w:t>基础数据信息和会计信息数据真实计，计</w:t>
            </w:r>
            <w:r>
              <w:rPr>
                <w:kern w:val="0"/>
                <w:sz w:val="20"/>
                <w:szCs w:val="20"/>
              </w:rPr>
              <w:t>1</w:t>
            </w:r>
            <w:r>
              <w:rPr>
                <w:rFonts w:hint="eastAsia"/>
                <w:kern w:val="0"/>
                <w:sz w:val="20"/>
                <w:szCs w:val="20"/>
              </w:rPr>
              <w:t>分；</w:t>
            </w:r>
            <w:r>
              <w:rPr>
                <w:rFonts w:ascii="宋体" w:hAnsi="宋体" w:cs="宋体"/>
                <w:kern w:val="0"/>
                <w:sz w:val="20"/>
                <w:szCs w:val="20"/>
              </w:rPr>
              <w:t>②</w:t>
            </w:r>
            <w:r>
              <w:rPr>
                <w:rFonts w:hint="eastAsia"/>
                <w:kern w:val="0"/>
                <w:sz w:val="20"/>
                <w:szCs w:val="20"/>
              </w:rPr>
              <w:t>基础数据信息和会计信息数据完整，计</w:t>
            </w:r>
            <w:r>
              <w:rPr>
                <w:kern w:val="0"/>
                <w:sz w:val="20"/>
                <w:szCs w:val="20"/>
              </w:rPr>
              <w:t>0.5</w:t>
            </w:r>
            <w:r>
              <w:rPr>
                <w:rFonts w:hint="eastAsia"/>
                <w:kern w:val="0"/>
                <w:sz w:val="20"/>
                <w:szCs w:val="20"/>
              </w:rPr>
              <w:t>分；</w:t>
            </w:r>
            <w:r>
              <w:rPr>
                <w:rFonts w:ascii="宋体" w:hAnsi="宋体" w:cs="宋体"/>
                <w:kern w:val="0"/>
                <w:sz w:val="20"/>
                <w:szCs w:val="20"/>
              </w:rPr>
              <w:t>③</w:t>
            </w:r>
            <w:r>
              <w:rPr>
                <w:rFonts w:hint="eastAsia"/>
                <w:kern w:val="0"/>
                <w:sz w:val="20"/>
                <w:szCs w:val="20"/>
              </w:rPr>
              <w:t>基础数据信息和会计信息数据准确，计</w:t>
            </w:r>
            <w:r>
              <w:rPr>
                <w:kern w:val="0"/>
                <w:sz w:val="20"/>
                <w:szCs w:val="20"/>
              </w:rPr>
              <w:t>0.5</w:t>
            </w:r>
            <w:r>
              <w:rPr>
                <w:rFonts w:hint="eastAsia"/>
                <w:kern w:val="0"/>
                <w:sz w:val="20"/>
                <w:szCs w:val="20"/>
              </w:rPr>
              <w:t>。</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660"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restart"/>
            <w:tcBorders>
              <w:left w:val="nil"/>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资产管理</w:t>
            </w:r>
          </w:p>
          <w:p>
            <w:pPr>
              <w:widowControl/>
              <w:jc w:val="center"/>
              <w:rPr>
                <w:rFonts w:hint="eastAsia" w:eastAsia="仿宋_GB2312"/>
                <w:kern w:val="0"/>
                <w:sz w:val="20"/>
                <w:szCs w:val="20"/>
              </w:rPr>
            </w:pPr>
          </w:p>
          <w:p>
            <w:pPr>
              <w:widowControl/>
              <w:jc w:val="center"/>
              <w:rPr>
                <w:rFonts w:eastAsia="仿宋_GB2312"/>
                <w:kern w:val="0"/>
                <w:sz w:val="20"/>
                <w:szCs w:val="20"/>
              </w:rPr>
            </w:pPr>
            <w:r>
              <w:rPr>
                <w:kern w:val="0"/>
                <w:sz w:val="20"/>
                <w:szCs w:val="20"/>
              </w:rPr>
              <w:t>5</w:t>
            </w:r>
            <w:r>
              <w:rPr>
                <w:rFonts w:hint="eastAsia"/>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w:t>
            </w:r>
          </w:p>
        </w:tc>
        <w:tc>
          <w:tcPr>
            <w:tcW w:w="2948" w:type="dxa"/>
            <w:tcBorders>
              <w:top w:val="nil"/>
              <w:left w:val="nil"/>
              <w:bottom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ascii="仿宋_GB2312"/>
                <w:kern w:val="0"/>
                <w:sz w:val="20"/>
                <w:szCs w:val="20"/>
              </w:rPr>
              <w:t>①</w:t>
            </w:r>
            <w:r>
              <w:rPr>
                <w:rFonts w:hint="eastAsia"/>
                <w:kern w:val="0"/>
                <w:sz w:val="20"/>
                <w:szCs w:val="20"/>
              </w:rPr>
              <w:t>已制定或具有资产管理制度，计</w:t>
            </w:r>
            <w:r>
              <w:rPr>
                <w:kern w:val="0"/>
                <w:sz w:val="20"/>
                <w:szCs w:val="20"/>
              </w:rPr>
              <w:t>0.3</w:t>
            </w:r>
            <w:r>
              <w:rPr>
                <w:rFonts w:hint="eastAsia"/>
                <w:kern w:val="0"/>
                <w:sz w:val="20"/>
                <w:szCs w:val="20"/>
              </w:rPr>
              <w:t>分；</w:t>
            </w:r>
            <w:r>
              <w:rPr>
                <w:kern w:val="0"/>
                <w:sz w:val="20"/>
                <w:szCs w:val="20"/>
              </w:rPr>
              <w:t xml:space="preserve">  </w:t>
            </w:r>
            <w:r>
              <w:rPr>
                <w:rFonts w:hint="eastAsia"/>
                <w:kern w:val="0"/>
                <w:sz w:val="20"/>
                <w:szCs w:val="20"/>
              </w:rPr>
              <w:t>②相关资产管理制度是否合法、合规、完整，计</w:t>
            </w:r>
            <w:r>
              <w:rPr>
                <w:kern w:val="0"/>
                <w:sz w:val="20"/>
                <w:szCs w:val="20"/>
              </w:rPr>
              <w:t>0.2</w:t>
            </w:r>
            <w:r>
              <w:rPr>
                <w:rFonts w:hint="eastAsia"/>
                <w:kern w:val="0"/>
                <w:sz w:val="20"/>
                <w:szCs w:val="20"/>
              </w:rPr>
              <w:t>分；</w:t>
            </w:r>
            <w:r>
              <w:rPr>
                <w:rFonts w:eastAsia="仿宋_GB2312"/>
                <w:kern w:val="0"/>
                <w:sz w:val="20"/>
                <w:szCs w:val="20"/>
              </w:rPr>
              <w:br w:type="textWrapping"/>
            </w:r>
            <w:r>
              <w:rPr>
                <w:rFonts w:hint="eastAsia"/>
                <w:kern w:val="0"/>
                <w:sz w:val="20"/>
                <w:szCs w:val="20"/>
              </w:rPr>
              <w:t>③相关资产管理制度是否得到有效执行，</w:t>
            </w:r>
            <w:r>
              <w:rPr>
                <w:kern w:val="0"/>
                <w:sz w:val="20"/>
                <w:szCs w:val="20"/>
              </w:rPr>
              <w:t>0.5</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1</w:t>
            </w:r>
          </w:p>
        </w:tc>
      </w:tr>
      <w:tr>
        <w:tblPrEx>
          <w:tblCellMar>
            <w:top w:w="0" w:type="dxa"/>
            <w:left w:w="108" w:type="dxa"/>
            <w:bottom w:w="0" w:type="dxa"/>
            <w:right w:w="108" w:type="dxa"/>
          </w:tblCellMar>
        </w:tblPrEx>
        <w:trPr>
          <w:trHeight w:val="660"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continue"/>
            <w:tcBorders>
              <w:left w:val="nil"/>
              <w:right w:val="single" w:color="auto" w:sz="4" w:space="0"/>
            </w:tcBorders>
            <w:noWrap w:val="0"/>
            <w:vAlign w:val="center"/>
          </w:tcPr>
          <w:p>
            <w:pPr>
              <w:widowControl/>
              <w:jc w:val="center"/>
              <w:rPr>
                <w:rFonts w:hint="eastAsia"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资产管理</w:t>
            </w:r>
          </w:p>
          <w:p>
            <w:pPr>
              <w:widowControl/>
              <w:jc w:val="center"/>
              <w:rPr>
                <w:rFonts w:hint="eastAsia" w:eastAsia="仿宋_GB2312"/>
                <w:kern w:val="0"/>
                <w:sz w:val="20"/>
                <w:szCs w:val="20"/>
              </w:rPr>
            </w:pPr>
            <w:r>
              <w:rPr>
                <w:rFonts w:hint="eastAsia"/>
                <w:kern w:val="0"/>
                <w:sz w:val="20"/>
                <w:szCs w:val="20"/>
              </w:rPr>
              <w:t>安全性</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3</w:t>
            </w:r>
          </w:p>
        </w:tc>
        <w:tc>
          <w:tcPr>
            <w:tcW w:w="2948"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ascii="仿宋_GB2312"/>
                <w:kern w:val="0"/>
                <w:sz w:val="20"/>
                <w:szCs w:val="20"/>
              </w:rPr>
              <w:t>①</w:t>
            </w:r>
            <w:r>
              <w:rPr>
                <w:rFonts w:hint="eastAsia"/>
                <w:kern w:val="0"/>
                <w:sz w:val="20"/>
                <w:szCs w:val="20"/>
              </w:rPr>
              <w:t>资产保存完整，计</w:t>
            </w:r>
            <w:r>
              <w:rPr>
                <w:kern w:val="0"/>
                <w:sz w:val="20"/>
                <w:szCs w:val="20"/>
              </w:rPr>
              <w:t>1</w:t>
            </w:r>
            <w:r>
              <w:rPr>
                <w:rFonts w:hint="eastAsia"/>
                <w:kern w:val="0"/>
                <w:sz w:val="20"/>
                <w:szCs w:val="20"/>
              </w:rPr>
              <w:t>分；</w:t>
            </w:r>
            <w:r>
              <w:rPr>
                <w:rFonts w:eastAsia="仿宋_GB2312"/>
                <w:kern w:val="0"/>
                <w:sz w:val="20"/>
                <w:szCs w:val="20"/>
              </w:rPr>
              <w:br w:type="textWrapping"/>
            </w:r>
            <w:r>
              <w:rPr>
                <w:rFonts w:hint="eastAsia"/>
                <w:kern w:val="0"/>
                <w:sz w:val="20"/>
                <w:szCs w:val="20"/>
              </w:rPr>
              <w:t>②资产配置合理，符合省定标准，计</w:t>
            </w:r>
            <w:r>
              <w:rPr>
                <w:kern w:val="0"/>
                <w:sz w:val="20"/>
                <w:szCs w:val="20"/>
              </w:rPr>
              <w:t>0.5</w:t>
            </w:r>
            <w:r>
              <w:rPr>
                <w:rFonts w:hint="eastAsia"/>
                <w:kern w:val="0"/>
                <w:sz w:val="20"/>
                <w:szCs w:val="20"/>
              </w:rPr>
              <w:t>分；</w:t>
            </w:r>
            <w:r>
              <w:rPr>
                <w:rFonts w:eastAsia="仿宋_GB2312"/>
                <w:kern w:val="0"/>
                <w:sz w:val="20"/>
                <w:szCs w:val="20"/>
              </w:rPr>
              <w:br w:type="textWrapping"/>
            </w:r>
            <w:r>
              <w:rPr>
                <w:rFonts w:hint="eastAsia"/>
                <w:kern w:val="0"/>
                <w:sz w:val="20"/>
                <w:szCs w:val="20"/>
              </w:rPr>
              <w:t>③资产处置规范，计</w:t>
            </w:r>
            <w:r>
              <w:rPr>
                <w:kern w:val="0"/>
                <w:sz w:val="20"/>
                <w:szCs w:val="20"/>
              </w:rPr>
              <w:t>0.5</w:t>
            </w:r>
            <w:r>
              <w:rPr>
                <w:rFonts w:hint="eastAsia"/>
                <w:kern w:val="0"/>
                <w:sz w:val="20"/>
                <w:szCs w:val="20"/>
              </w:rPr>
              <w:t>分；</w:t>
            </w:r>
            <w:r>
              <w:rPr>
                <w:rFonts w:eastAsia="仿宋_GB2312"/>
                <w:kern w:val="0"/>
                <w:sz w:val="20"/>
                <w:szCs w:val="20"/>
              </w:rPr>
              <w:br w:type="textWrapping"/>
            </w:r>
            <w:r>
              <w:rPr>
                <w:rFonts w:hint="eastAsia"/>
                <w:kern w:val="0"/>
                <w:sz w:val="20"/>
                <w:szCs w:val="20"/>
              </w:rPr>
              <w:t>④资产账务管理合规，帐实相符，计</w:t>
            </w:r>
            <w:r>
              <w:rPr>
                <w:kern w:val="0"/>
                <w:sz w:val="20"/>
                <w:szCs w:val="20"/>
              </w:rPr>
              <w:t>0.5</w:t>
            </w:r>
            <w:r>
              <w:rPr>
                <w:rFonts w:hint="eastAsia"/>
                <w:kern w:val="0"/>
                <w:sz w:val="20"/>
                <w:szCs w:val="20"/>
              </w:rPr>
              <w:t>分；</w:t>
            </w:r>
            <w:r>
              <w:rPr>
                <w:rFonts w:eastAsia="仿宋_GB2312"/>
                <w:kern w:val="0"/>
                <w:sz w:val="20"/>
                <w:szCs w:val="20"/>
              </w:rPr>
              <w:br w:type="textWrapping"/>
            </w:r>
            <w:r>
              <w:rPr>
                <w:rFonts w:hint="eastAsia"/>
                <w:kern w:val="0"/>
                <w:sz w:val="20"/>
                <w:szCs w:val="20"/>
              </w:rPr>
              <w:t>⑤资产有偿使用及处置收入及时足额上缴，计</w:t>
            </w:r>
            <w:r>
              <w:rPr>
                <w:kern w:val="0"/>
                <w:sz w:val="20"/>
                <w:szCs w:val="20"/>
              </w:rPr>
              <w:t>0.5</w:t>
            </w:r>
            <w:r>
              <w:rPr>
                <w:rFonts w:hint="eastAsia"/>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3</w:t>
            </w:r>
          </w:p>
        </w:tc>
      </w:tr>
      <w:tr>
        <w:tblPrEx>
          <w:tblCellMar>
            <w:top w:w="0" w:type="dxa"/>
            <w:left w:w="108" w:type="dxa"/>
            <w:bottom w:w="0" w:type="dxa"/>
            <w:right w:w="108" w:type="dxa"/>
          </w:tblCellMar>
        </w:tblPrEx>
        <w:trPr>
          <w:trHeight w:val="660"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hint="eastAsia"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固定资产</w:t>
            </w:r>
          </w:p>
          <w:p>
            <w:pPr>
              <w:widowControl/>
              <w:jc w:val="center"/>
              <w:rPr>
                <w:rFonts w:hint="eastAsia" w:eastAsia="仿宋_GB2312"/>
                <w:kern w:val="0"/>
                <w:sz w:val="20"/>
                <w:szCs w:val="20"/>
              </w:rPr>
            </w:pPr>
            <w:r>
              <w:rPr>
                <w:rFonts w:hint="eastAsia"/>
                <w:kern w:val="0"/>
                <w:sz w:val="20"/>
                <w:szCs w:val="20"/>
              </w:rPr>
              <w:t>利用率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w:t>
            </w:r>
          </w:p>
        </w:tc>
        <w:tc>
          <w:tcPr>
            <w:tcW w:w="2948"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利用率为</w:t>
            </w:r>
            <w:r>
              <w:rPr>
                <w:kern w:val="0"/>
                <w:sz w:val="20"/>
                <w:szCs w:val="20"/>
              </w:rPr>
              <w:t>100%</w:t>
            </w:r>
            <w:r>
              <w:rPr>
                <w:rFonts w:hint="eastAsia"/>
                <w:kern w:val="0"/>
                <w:sz w:val="20"/>
                <w:szCs w:val="20"/>
              </w:rPr>
              <w:t>，计</w:t>
            </w:r>
            <w:r>
              <w:rPr>
                <w:kern w:val="0"/>
                <w:sz w:val="20"/>
                <w:szCs w:val="20"/>
              </w:rPr>
              <w:t>1</w:t>
            </w:r>
            <w:r>
              <w:rPr>
                <w:rFonts w:hint="eastAsia"/>
                <w:kern w:val="0"/>
                <w:sz w:val="20"/>
                <w:szCs w:val="20"/>
              </w:rPr>
              <w:t>分，每减少</w:t>
            </w:r>
            <w:r>
              <w:rPr>
                <w:kern w:val="0"/>
                <w:sz w:val="20"/>
                <w:szCs w:val="20"/>
              </w:rPr>
              <w:t>1%</w:t>
            </w:r>
            <w:r>
              <w:rPr>
                <w:rFonts w:hint="eastAsia"/>
                <w:kern w:val="0"/>
                <w:sz w:val="20"/>
                <w:szCs w:val="20"/>
              </w:rPr>
              <w:t>扣</w:t>
            </w:r>
            <w:r>
              <w:rPr>
                <w:kern w:val="0"/>
                <w:sz w:val="20"/>
                <w:szCs w:val="20"/>
              </w:rPr>
              <w:t>0.2</w:t>
            </w:r>
            <w:r>
              <w:rPr>
                <w:rFonts w:hint="eastAsia"/>
                <w:kern w:val="0"/>
                <w:sz w:val="20"/>
                <w:szCs w:val="20"/>
              </w:rPr>
              <w:t>分，扣完为止。</w:t>
            </w:r>
          </w:p>
        </w:tc>
        <w:tc>
          <w:tcPr>
            <w:tcW w:w="349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固定资产利用率</w:t>
            </w:r>
            <w:r>
              <w:rPr>
                <w:kern w:val="0"/>
                <w:sz w:val="20"/>
                <w:szCs w:val="20"/>
              </w:rPr>
              <w:t>=</w:t>
            </w:r>
            <w:r>
              <w:rPr>
                <w:rFonts w:hint="eastAsia"/>
                <w:kern w:val="0"/>
                <w:sz w:val="20"/>
                <w:szCs w:val="20"/>
              </w:rPr>
              <w:t>（实际在用固定资产总额</w:t>
            </w:r>
            <w:r>
              <w:rPr>
                <w:kern w:val="0"/>
                <w:sz w:val="20"/>
                <w:szCs w:val="20"/>
              </w:rPr>
              <w:t>/</w:t>
            </w:r>
            <w:r>
              <w:rPr>
                <w:rFonts w:hint="eastAsia"/>
                <w:kern w:val="0"/>
                <w:sz w:val="20"/>
                <w:szCs w:val="20"/>
              </w:rPr>
              <w:t>所有固定资产总额）</w:t>
            </w:r>
            <w:r>
              <w:rPr>
                <w:kern w:val="0"/>
                <w:sz w:val="20"/>
                <w:szCs w:val="20"/>
              </w:rPr>
              <w:t>×100%</w:t>
            </w:r>
            <w:r>
              <w:rPr>
                <w:rFonts w:hint="eastAsia"/>
                <w:kern w:val="0"/>
                <w:sz w:val="20"/>
                <w:szCs w:val="20"/>
              </w:rPr>
              <w:t>。</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kern w:val="0"/>
                <w:sz w:val="24"/>
                <w:lang w:val="en-US" w:eastAsia="zh-CN"/>
              </w:rPr>
            </w:pPr>
            <w:r>
              <w:rPr>
                <w:rFonts w:hint="eastAsia"/>
                <w:kern w:val="0"/>
                <w:sz w:val="24"/>
                <w:lang w:val="en-US" w:eastAsia="zh-CN"/>
              </w:rPr>
              <w:t>1</w:t>
            </w:r>
          </w:p>
        </w:tc>
      </w:tr>
      <w:tr>
        <w:tblPrEx>
          <w:tblCellMar>
            <w:top w:w="0" w:type="dxa"/>
            <w:left w:w="108" w:type="dxa"/>
            <w:bottom w:w="0" w:type="dxa"/>
            <w:right w:w="108" w:type="dxa"/>
          </w:tblCellMar>
        </w:tblPrEx>
        <w:trPr>
          <w:trHeight w:val="520" w:hRule="atLeast"/>
          <w:jc w:val="center"/>
        </w:trPr>
        <w:tc>
          <w:tcPr>
            <w:tcW w:w="709" w:type="dxa"/>
            <w:vMerge w:val="restart"/>
            <w:tcBorders>
              <w:top w:val="single" w:color="auto" w:sz="4" w:space="0"/>
              <w:left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产</w:t>
            </w:r>
          </w:p>
          <w:p>
            <w:pPr>
              <w:widowControl/>
              <w:jc w:val="center"/>
              <w:rPr>
                <w:rFonts w:hint="eastAsia" w:eastAsia="仿宋_GB2312"/>
                <w:kern w:val="0"/>
                <w:sz w:val="20"/>
                <w:szCs w:val="20"/>
              </w:rPr>
            </w:pPr>
            <w:r>
              <w:rPr>
                <w:rFonts w:hint="eastAsia"/>
                <w:kern w:val="0"/>
                <w:sz w:val="20"/>
                <w:szCs w:val="20"/>
              </w:rPr>
              <w:t>出</w:t>
            </w:r>
          </w:p>
          <w:p>
            <w:pPr>
              <w:widowControl/>
              <w:jc w:val="center"/>
              <w:rPr>
                <w:rFonts w:hint="eastAsia" w:eastAsia="仿宋_GB2312"/>
                <w:kern w:val="0"/>
                <w:sz w:val="20"/>
                <w:szCs w:val="20"/>
              </w:rPr>
            </w:pPr>
          </w:p>
          <w:p>
            <w:pPr>
              <w:widowControl/>
              <w:jc w:val="center"/>
              <w:rPr>
                <w:rFonts w:eastAsia="仿宋_GB2312"/>
                <w:kern w:val="0"/>
                <w:sz w:val="20"/>
                <w:szCs w:val="20"/>
              </w:rPr>
            </w:pPr>
            <w:r>
              <w:rPr>
                <w:kern w:val="0"/>
                <w:sz w:val="20"/>
                <w:szCs w:val="20"/>
              </w:rPr>
              <w:t>30</w:t>
            </w:r>
            <w:r>
              <w:rPr>
                <w:rFonts w:hint="eastAsia"/>
                <w:kern w:val="0"/>
                <w:sz w:val="20"/>
                <w:szCs w:val="20"/>
              </w:rPr>
              <w:t>分</w:t>
            </w:r>
          </w:p>
        </w:tc>
        <w:tc>
          <w:tcPr>
            <w:tcW w:w="677" w:type="dxa"/>
            <w:vMerge w:val="restart"/>
            <w:tcBorders>
              <w:top w:val="single" w:color="auto" w:sz="4" w:space="0"/>
              <w:left w:val="nil"/>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kern w:val="0"/>
                <w:sz w:val="20"/>
                <w:szCs w:val="20"/>
              </w:rPr>
              <w:t>30</w:t>
            </w:r>
            <w:r>
              <w:rPr>
                <w:rFonts w:hint="eastAsia"/>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实际完成率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10</w:t>
            </w:r>
          </w:p>
        </w:tc>
        <w:tc>
          <w:tcPr>
            <w:tcW w:w="294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100%</w:t>
            </w:r>
            <w:r>
              <w:rPr>
                <w:rFonts w:hint="eastAsia"/>
                <w:kern w:val="0"/>
                <w:sz w:val="20"/>
                <w:szCs w:val="20"/>
              </w:rPr>
              <w:t>以上（含）计</w:t>
            </w:r>
            <w:r>
              <w:rPr>
                <w:kern w:val="0"/>
                <w:sz w:val="20"/>
                <w:szCs w:val="20"/>
              </w:rPr>
              <w:t>10</w:t>
            </w:r>
            <w:r>
              <w:rPr>
                <w:rFonts w:hint="eastAsia"/>
                <w:kern w:val="0"/>
                <w:sz w:val="20"/>
                <w:szCs w:val="20"/>
              </w:rPr>
              <w:t>分；</w:t>
            </w:r>
            <w:r>
              <w:rPr>
                <w:kern w:val="0"/>
                <w:sz w:val="20"/>
                <w:szCs w:val="20"/>
              </w:rPr>
              <w:t>95%</w:t>
            </w:r>
            <w:r>
              <w:rPr>
                <w:rFonts w:hint="eastAsia"/>
                <w:kern w:val="0"/>
                <w:sz w:val="20"/>
                <w:szCs w:val="20"/>
              </w:rPr>
              <w:t>（含）</w:t>
            </w:r>
            <w:r>
              <w:rPr>
                <w:kern w:val="0"/>
                <w:sz w:val="20"/>
                <w:szCs w:val="20"/>
              </w:rPr>
              <w:t>-99%</w:t>
            </w:r>
            <w:r>
              <w:rPr>
                <w:rFonts w:hint="eastAsia"/>
                <w:kern w:val="0"/>
                <w:sz w:val="20"/>
                <w:szCs w:val="20"/>
              </w:rPr>
              <w:t>，计</w:t>
            </w:r>
            <w:r>
              <w:rPr>
                <w:kern w:val="0"/>
                <w:sz w:val="20"/>
                <w:szCs w:val="20"/>
              </w:rPr>
              <w:t>8</w:t>
            </w:r>
            <w:r>
              <w:rPr>
                <w:rFonts w:hint="eastAsia"/>
                <w:kern w:val="0"/>
                <w:sz w:val="20"/>
                <w:szCs w:val="20"/>
              </w:rPr>
              <w:t>分；</w:t>
            </w:r>
            <w:r>
              <w:rPr>
                <w:rFonts w:eastAsia="仿宋_GB2312"/>
                <w:kern w:val="0"/>
                <w:sz w:val="20"/>
                <w:szCs w:val="20"/>
              </w:rPr>
              <w:br w:type="textWrapping"/>
            </w:r>
            <w:r>
              <w:rPr>
                <w:kern w:val="0"/>
                <w:sz w:val="20"/>
                <w:szCs w:val="20"/>
              </w:rPr>
              <w:t>85%</w:t>
            </w:r>
            <w:r>
              <w:rPr>
                <w:rFonts w:hint="eastAsia"/>
                <w:kern w:val="0"/>
                <w:sz w:val="20"/>
                <w:szCs w:val="20"/>
              </w:rPr>
              <w:t>（含）</w:t>
            </w:r>
            <w:r>
              <w:rPr>
                <w:kern w:val="0"/>
                <w:sz w:val="20"/>
                <w:szCs w:val="20"/>
              </w:rPr>
              <w:t>-95%</w:t>
            </w:r>
            <w:r>
              <w:rPr>
                <w:rFonts w:hint="eastAsia"/>
                <w:kern w:val="0"/>
                <w:sz w:val="20"/>
                <w:szCs w:val="20"/>
              </w:rPr>
              <w:t>，计</w:t>
            </w:r>
            <w:r>
              <w:rPr>
                <w:kern w:val="0"/>
                <w:sz w:val="20"/>
                <w:szCs w:val="20"/>
              </w:rPr>
              <w:t>6</w:t>
            </w:r>
            <w:r>
              <w:rPr>
                <w:rFonts w:hint="eastAsia"/>
                <w:kern w:val="0"/>
                <w:sz w:val="20"/>
                <w:szCs w:val="20"/>
              </w:rPr>
              <w:t>分；</w:t>
            </w:r>
            <w:r>
              <w:rPr>
                <w:rFonts w:eastAsia="仿宋_GB2312"/>
                <w:kern w:val="0"/>
                <w:sz w:val="20"/>
                <w:szCs w:val="20"/>
              </w:rPr>
              <w:br w:type="textWrapping"/>
            </w:r>
            <w:r>
              <w:rPr>
                <w:kern w:val="0"/>
                <w:sz w:val="20"/>
                <w:szCs w:val="20"/>
              </w:rPr>
              <w:t>70%-85%</w:t>
            </w:r>
            <w:r>
              <w:rPr>
                <w:rFonts w:hint="eastAsia"/>
                <w:kern w:val="0"/>
                <w:sz w:val="20"/>
                <w:szCs w:val="20"/>
              </w:rPr>
              <w:t>，计</w:t>
            </w:r>
            <w:r>
              <w:rPr>
                <w:kern w:val="0"/>
                <w:sz w:val="20"/>
                <w:szCs w:val="20"/>
              </w:rPr>
              <w:t>5</w:t>
            </w:r>
            <w:r>
              <w:rPr>
                <w:rFonts w:hint="eastAsia"/>
                <w:kern w:val="0"/>
                <w:sz w:val="20"/>
                <w:szCs w:val="20"/>
              </w:rPr>
              <w:t>分；低于</w:t>
            </w:r>
            <w:r>
              <w:rPr>
                <w:kern w:val="0"/>
                <w:sz w:val="20"/>
                <w:szCs w:val="20"/>
              </w:rPr>
              <w:t>70%</w:t>
            </w:r>
            <w:r>
              <w:rPr>
                <w:rFonts w:hint="eastAsia"/>
                <w:kern w:val="0"/>
                <w:sz w:val="20"/>
                <w:szCs w:val="20"/>
              </w:rPr>
              <w:t>计</w:t>
            </w:r>
            <w:r>
              <w:rPr>
                <w:kern w:val="0"/>
                <w:sz w:val="20"/>
                <w:szCs w:val="20"/>
              </w:rPr>
              <w:t>0</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实际完成率</w:t>
            </w:r>
            <w:r>
              <w:rPr>
                <w:kern w:val="0"/>
                <w:sz w:val="20"/>
                <w:szCs w:val="20"/>
              </w:rPr>
              <w:t>=</w:t>
            </w:r>
            <w:r>
              <w:rPr>
                <w:rFonts w:hint="eastAsia"/>
                <w:kern w:val="0"/>
                <w:sz w:val="20"/>
                <w:szCs w:val="20"/>
              </w:rPr>
              <w:t>（实际完成工作数</w:t>
            </w:r>
            <w:r>
              <w:rPr>
                <w:kern w:val="0"/>
                <w:sz w:val="20"/>
                <w:szCs w:val="20"/>
              </w:rPr>
              <w:t>/</w:t>
            </w:r>
            <w:r>
              <w:rPr>
                <w:rFonts w:hint="eastAsia"/>
                <w:kern w:val="0"/>
                <w:sz w:val="20"/>
                <w:szCs w:val="20"/>
              </w:rPr>
              <w:t>计划工作数）</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实际完成工作数：一定时期（年度或规划期）内部门实际完成工作任务的数量。</w:t>
            </w:r>
            <w:r>
              <w:rPr>
                <w:rFonts w:eastAsia="仿宋_GB2312"/>
                <w:kern w:val="0"/>
                <w:sz w:val="20"/>
                <w:szCs w:val="20"/>
              </w:rPr>
              <w:br w:type="textWrapping"/>
            </w:r>
            <w:r>
              <w:rPr>
                <w:rFonts w:hint="eastAsia"/>
                <w:kern w:val="0"/>
                <w:sz w:val="20"/>
                <w:szCs w:val="20"/>
              </w:rPr>
              <w:t>计划工作数：部门整体绩效目标确定的一定时期（年度或规划期）内预计完成工作任务的数量。</w:t>
            </w:r>
          </w:p>
        </w:tc>
        <w:tc>
          <w:tcPr>
            <w:tcW w:w="637"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4"/>
                <w:lang w:val="en-US" w:eastAsia="zh-CN"/>
              </w:rPr>
            </w:pPr>
            <w:r>
              <w:rPr>
                <w:rFonts w:hint="eastAsia"/>
                <w:kern w:val="0"/>
                <w:sz w:val="24"/>
                <w:lang w:val="en-US" w:eastAsia="zh-CN"/>
              </w:rPr>
              <w:t>10</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0"/>
                <w:szCs w:val="20"/>
              </w:rPr>
            </w:pPr>
          </w:p>
        </w:tc>
        <w:tc>
          <w:tcPr>
            <w:tcW w:w="677" w:type="dxa"/>
            <w:vMerge w:val="continue"/>
            <w:tcBorders>
              <w:left w:val="nil"/>
              <w:right w:val="single" w:color="auto" w:sz="4" w:space="0"/>
            </w:tcBorders>
            <w:noWrap w:val="0"/>
            <w:vAlign w:val="center"/>
          </w:tcPr>
          <w:p>
            <w:pPr>
              <w:widowControl/>
              <w:jc w:val="center"/>
              <w:rPr>
                <w:rFonts w:eastAsia="仿宋_GB2312"/>
                <w:kern w:val="0"/>
                <w:sz w:val="20"/>
                <w:szCs w:val="20"/>
              </w:rPr>
            </w:pP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完成及时率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6</w:t>
            </w:r>
          </w:p>
        </w:tc>
        <w:tc>
          <w:tcPr>
            <w:tcW w:w="294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100%</w:t>
            </w:r>
            <w:r>
              <w:rPr>
                <w:rFonts w:hint="eastAsia"/>
                <w:kern w:val="0"/>
                <w:sz w:val="20"/>
                <w:szCs w:val="20"/>
              </w:rPr>
              <w:t>以上（含）计</w:t>
            </w:r>
            <w:r>
              <w:rPr>
                <w:kern w:val="0"/>
                <w:sz w:val="20"/>
                <w:szCs w:val="20"/>
              </w:rPr>
              <w:t>6</w:t>
            </w:r>
            <w:r>
              <w:rPr>
                <w:rFonts w:hint="eastAsia"/>
                <w:kern w:val="0"/>
                <w:sz w:val="20"/>
                <w:szCs w:val="20"/>
              </w:rPr>
              <w:t>分；</w:t>
            </w:r>
            <w:r>
              <w:rPr>
                <w:kern w:val="0"/>
                <w:sz w:val="20"/>
                <w:szCs w:val="20"/>
              </w:rPr>
              <w:t xml:space="preserve"> 80%</w:t>
            </w:r>
            <w:r>
              <w:rPr>
                <w:rFonts w:hint="eastAsia"/>
                <w:kern w:val="0"/>
                <w:sz w:val="20"/>
                <w:szCs w:val="20"/>
              </w:rPr>
              <w:t>（含）</w:t>
            </w:r>
            <w:r>
              <w:rPr>
                <w:kern w:val="0"/>
                <w:sz w:val="20"/>
                <w:szCs w:val="20"/>
              </w:rPr>
              <w:t>-99%</w:t>
            </w:r>
            <w:r>
              <w:rPr>
                <w:rFonts w:hint="eastAsia"/>
                <w:kern w:val="0"/>
                <w:sz w:val="20"/>
                <w:szCs w:val="20"/>
              </w:rPr>
              <w:t>，计</w:t>
            </w:r>
            <w:r>
              <w:rPr>
                <w:kern w:val="0"/>
                <w:sz w:val="20"/>
                <w:szCs w:val="20"/>
              </w:rPr>
              <w:t>4</w:t>
            </w:r>
            <w:r>
              <w:rPr>
                <w:rFonts w:hint="eastAsia"/>
                <w:kern w:val="0"/>
                <w:sz w:val="20"/>
                <w:szCs w:val="20"/>
              </w:rPr>
              <w:t>分；</w:t>
            </w:r>
            <w:r>
              <w:rPr>
                <w:rFonts w:eastAsia="仿宋_GB2312"/>
                <w:kern w:val="0"/>
                <w:sz w:val="20"/>
                <w:szCs w:val="20"/>
              </w:rPr>
              <w:br w:type="textWrapping"/>
            </w:r>
            <w:r>
              <w:rPr>
                <w:kern w:val="0"/>
                <w:sz w:val="20"/>
                <w:szCs w:val="20"/>
              </w:rPr>
              <w:t>70%</w:t>
            </w:r>
            <w:r>
              <w:rPr>
                <w:rFonts w:hint="eastAsia"/>
                <w:kern w:val="0"/>
                <w:sz w:val="20"/>
                <w:szCs w:val="20"/>
              </w:rPr>
              <w:t>（含）</w:t>
            </w:r>
            <w:r>
              <w:rPr>
                <w:kern w:val="0"/>
                <w:sz w:val="20"/>
                <w:szCs w:val="20"/>
              </w:rPr>
              <w:t>-80%</w:t>
            </w:r>
            <w:r>
              <w:rPr>
                <w:rFonts w:hint="eastAsia"/>
                <w:kern w:val="0"/>
                <w:sz w:val="20"/>
                <w:szCs w:val="20"/>
              </w:rPr>
              <w:t>，计</w:t>
            </w:r>
            <w:r>
              <w:rPr>
                <w:kern w:val="0"/>
                <w:sz w:val="20"/>
                <w:szCs w:val="20"/>
              </w:rPr>
              <w:t>2</w:t>
            </w:r>
            <w:r>
              <w:rPr>
                <w:rFonts w:hint="eastAsia"/>
                <w:kern w:val="0"/>
                <w:sz w:val="20"/>
                <w:szCs w:val="20"/>
              </w:rPr>
              <w:t>分；</w:t>
            </w:r>
            <w:r>
              <w:rPr>
                <w:rFonts w:eastAsia="仿宋_GB2312"/>
                <w:kern w:val="0"/>
                <w:sz w:val="20"/>
                <w:szCs w:val="20"/>
              </w:rPr>
              <w:br w:type="textWrapping"/>
            </w:r>
            <w:r>
              <w:rPr>
                <w:rFonts w:hint="eastAsia"/>
                <w:kern w:val="0"/>
                <w:sz w:val="20"/>
                <w:szCs w:val="20"/>
              </w:rPr>
              <w:t>低于</w:t>
            </w:r>
            <w:r>
              <w:rPr>
                <w:kern w:val="0"/>
                <w:sz w:val="20"/>
                <w:szCs w:val="20"/>
              </w:rPr>
              <w:t>70%</w:t>
            </w:r>
            <w:r>
              <w:rPr>
                <w:rFonts w:hint="eastAsia"/>
                <w:kern w:val="0"/>
                <w:sz w:val="20"/>
                <w:szCs w:val="20"/>
              </w:rPr>
              <w:t>计</w:t>
            </w:r>
            <w:r>
              <w:rPr>
                <w:kern w:val="0"/>
                <w:sz w:val="20"/>
                <w:szCs w:val="20"/>
              </w:rPr>
              <w:t>0</w:t>
            </w:r>
            <w:r>
              <w:rPr>
                <w:rFonts w:hint="eastAsia"/>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完成及时率</w:t>
            </w:r>
            <w:r>
              <w:rPr>
                <w:kern w:val="0"/>
                <w:sz w:val="20"/>
                <w:szCs w:val="20"/>
              </w:rPr>
              <w:t>=</w:t>
            </w:r>
            <w:r>
              <w:rPr>
                <w:rFonts w:hint="eastAsia"/>
                <w:kern w:val="0"/>
                <w:sz w:val="20"/>
                <w:szCs w:val="20"/>
              </w:rPr>
              <w:t>（及时完成实际工作数</w:t>
            </w:r>
            <w:r>
              <w:rPr>
                <w:kern w:val="0"/>
                <w:sz w:val="20"/>
                <w:szCs w:val="20"/>
              </w:rPr>
              <w:t>/</w:t>
            </w:r>
            <w:r>
              <w:rPr>
                <w:rFonts w:hint="eastAsia"/>
                <w:kern w:val="0"/>
                <w:sz w:val="20"/>
                <w:szCs w:val="20"/>
              </w:rPr>
              <w:t>计划工作数）</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及时完成实际工作数：部门按照整体绩效目标确定的时限实际完成的工作任务数量。</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6</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品质达标率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6</w:t>
            </w:r>
          </w:p>
        </w:tc>
        <w:tc>
          <w:tcPr>
            <w:tcW w:w="294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100%</w:t>
            </w:r>
            <w:r>
              <w:rPr>
                <w:rFonts w:hint="eastAsia"/>
                <w:kern w:val="0"/>
                <w:sz w:val="20"/>
                <w:szCs w:val="20"/>
              </w:rPr>
              <w:t>以上（含）计</w:t>
            </w:r>
            <w:r>
              <w:rPr>
                <w:kern w:val="0"/>
                <w:sz w:val="20"/>
                <w:szCs w:val="20"/>
              </w:rPr>
              <w:t>6</w:t>
            </w:r>
            <w:r>
              <w:rPr>
                <w:rFonts w:hint="eastAsia"/>
                <w:kern w:val="0"/>
                <w:sz w:val="20"/>
                <w:szCs w:val="20"/>
              </w:rPr>
              <w:t>分；</w:t>
            </w:r>
            <w:r>
              <w:rPr>
                <w:kern w:val="0"/>
                <w:sz w:val="20"/>
                <w:szCs w:val="20"/>
              </w:rPr>
              <w:t xml:space="preserve"> 80%</w:t>
            </w:r>
            <w:r>
              <w:rPr>
                <w:rFonts w:hint="eastAsia"/>
                <w:kern w:val="0"/>
                <w:sz w:val="20"/>
                <w:szCs w:val="20"/>
              </w:rPr>
              <w:t>（含）</w:t>
            </w:r>
            <w:r>
              <w:rPr>
                <w:kern w:val="0"/>
                <w:sz w:val="20"/>
                <w:szCs w:val="20"/>
              </w:rPr>
              <w:t>-99%</w:t>
            </w:r>
            <w:r>
              <w:rPr>
                <w:rFonts w:hint="eastAsia"/>
                <w:kern w:val="0"/>
                <w:sz w:val="20"/>
                <w:szCs w:val="20"/>
              </w:rPr>
              <w:t>，计</w:t>
            </w:r>
            <w:r>
              <w:rPr>
                <w:kern w:val="0"/>
                <w:sz w:val="20"/>
                <w:szCs w:val="20"/>
              </w:rPr>
              <w:t>4</w:t>
            </w:r>
            <w:r>
              <w:rPr>
                <w:rFonts w:hint="eastAsia"/>
                <w:kern w:val="0"/>
                <w:sz w:val="20"/>
                <w:szCs w:val="20"/>
              </w:rPr>
              <w:t>分；</w:t>
            </w:r>
            <w:r>
              <w:rPr>
                <w:rFonts w:eastAsia="仿宋_GB2312"/>
                <w:kern w:val="0"/>
                <w:sz w:val="20"/>
                <w:szCs w:val="20"/>
              </w:rPr>
              <w:br w:type="textWrapping"/>
            </w:r>
            <w:r>
              <w:rPr>
                <w:kern w:val="0"/>
                <w:sz w:val="20"/>
                <w:szCs w:val="20"/>
              </w:rPr>
              <w:t>70%</w:t>
            </w:r>
            <w:r>
              <w:rPr>
                <w:rFonts w:hint="eastAsia"/>
                <w:kern w:val="0"/>
                <w:sz w:val="20"/>
                <w:szCs w:val="20"/>
              </w:rPr>
              <w:t>（含）</w:t>
            </w:r>
            <w:r>
              <w:rPr>
                <w:kern w:val="0"/>
                <w:sz w:val="20"/>
                <w:szCs w:val="20"/>
              </w:rPr>
              <w:t>-80%</w:t>
            </w:r>
            <w:r>
              <w:rPr>
                <w:rFonts w:hint="eastAsia"/>
                <w:kern w:val="0"/>
                <w:sz w:val="20"/>
                <w:szCs w:val="20"/>
              </w:rPr>
              <w:t>，计</w:t>
            </w:r>
            <w:r>
              <w:rPr>
                <w:kern w:val="0"/>
                <w:sz w:val="20"/>
                <w:szCs w:val="20"/>
              </w:rPr>
              <w:t>2</w:t>
            </w:r>
            <w:r>
              <w:rPr>
                <w:rFonts w:hint="eastAsia"/>
                <w:kern w:val="0"/>
                <w:sz w:val="20"/>
                <w:szCs w:val="20"/>
              </w:rPr>
              <w:t>分；</w:t>
            </w:r>
            <w:r>
              <w:rPr>
                <w:rFonts w:eastAsia="仿宋_GB2312"/>
                <w:kern w:val="0"/>
                <w:sz w:val="20"/>
                <w:szCs w:val="20"/>
              </w:rPr>
              <w:br w:type="textWrapping"/>
            </w:r>
            <w:r>
              <w:rPr>
                <w:rFonts w:hint="eastAsia"/>
                <w:kern w:val="0"/>
                <w:sz w:val="20"/>
                <w:szCs w:val="20"/>
              </w:rPr>
              <w:t>低于</w:t>
            </w:r>
            <w:r>
              <w:rPr>
                <w:kern w:val="0"/>
                <w:sz w:val="20"/>
                <w:szCs w:val="20"/>
              </w:rPr>
              <w:t>70%</w:t>
            </w:r>
            <w:r>
              <w:rPr>
                <w:rFonts w:hint="eastAsia"/>
                <w:kern w:val="0"/>
                <w:sz w:val="20"/>
                <w:szCs w:val="20"/>
              </w:rPr>
              <w:t>计</w:t>
            </w:r>
            <w:r>
              <w:rPr>
                <w:kern w:val="0"/>
                <w:sz w:val="20"/>
                <w:szCs w:val="20"/>
              </w:rPr>
              <w:t>0</w:t>
            </w:r>
            <w:r>
              <w:rPr>
                <w:rFonts w:hint="eastAsia"/>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质量达标率</w:t>
            </w:r>
            <w:r>
              <w:rPr>
                <w:kern w:val="0"/>
                <w:sz w:val="20"/>
                <w:szCs w:val="20"/>
              </w:rPr>
              <w:t>=</w:t>
            </w:r>
            <w:r>
              <w:rPr>
                <w:rFonts w:hint="eastAsia"/>
                <w:kern w:val="0"/>
                <w:sz w:val="20"/>
                <w:szCs w:val="20"/>
              </w:rPr>
              <w:t>（质量达标实际工作数</w:t>
            </w:r>
            <w:r>
              <w:rPr>
                <w:kern w:val="0"/>
                <w:sz w:val="20"/>
                <w:szCs w:val="20"/>
              </w:rPr>
              <w:t>/</w:t>
            </w:r>
            <w:r>
              <w:rPr>
                <w:rFonts w:hint="eastAsia"/>
                <w:kern w:val="0"/>
                <w:sz w:val="20"/>
                <w:szCs w:val="20"/>
              </w:rPr>
              <w:t>计划工作数）</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质量达标实际工作数：一定时期（年度或规划期）内部门实际完成工作数中达到部门绩效目标要求（绩效标准值）的工作任务数量。</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6</w:t>
            </w:r>
          </w:p>
        </w:tc>
      </w:tr>
      <w:tr>
        <w:tblPrEx>
          <w:tblCellMar>
            <w:top w:w="0" w:type="dxa"/>
            <w:left w:w="108" w:type="dxa"/>
            <w:bottom w:w="0" w:type="dxa"/>
            <w:right w:w="108" w:type="dxa"/>
          </w:tblCellMar>
        </w:tblPrEx>
        <w:trPr>
          <w:trHeight w:val="2494"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重点工作办结率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8</w:t>
            </w:r>
          </w:p>
        </w:tc>
        <w:tc>
          <w:tcPr>
            <w:tcW w:w="294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根据市绩效办</w:t>
            </w:r>
            <w:r>
              <w:rPr>
                <w:kern w:val="0"/>
                <w:sz w:val="20"/>
                <w:szCs w:val="20"/>
              </w:rPr>
              <w:t>2019</w:t>
            </w:r>
            <w:r>
              <w:rPr>
                <w:rFonts w:hint="eastAsia"/>
                <w:kern w:val="0"/>
                <w:sz w:val="20"/>
                <w:szCs w:val="20"/>
              </w:rPr>
              <w:t>年对各部门为民办实事和部门重点工程与重点工作考核分数折算。</w:t>
            </w:r>
            <w:r>
              <w:rPr>
                <w:rFonts w:eastAsia="仿宋_GB2312"/>
                <w:kern w:val="0"/>
                <w:sz w:val="20"/>
                <w:szCs w:val="20"/>
              </w:rPr>
              <w:br w:type="textWrapping"/>
            </w:r>
            <w:r>
              <w:rPr>
                <w:rFonts w:hint="eastAsia"/>
                <w:kern w:val="0"/>
                <w:sz w:val="20"/>
                <w:szCs w:val="20"/>
              </w:rPr>
              <w:t>该项得分</w:t>
            </w:r>
            <w:r>
              <w:rPr>
                <w:kern w:val="0"/>
                <w:sz w:val="20"/>
                <w:szCs w:val="20"/>
              </w:rPr>
              <w:t>=</w:t>
            </w:r>
            <w:r>
              <w:rPr>
                <w:rFonts w:hint="eastAsia"/>
                <w:kern w:val="0"/>
                <w:sz w:val="20"/>
                <w:szCs w:val="20"/>
              </w:rPr>
              <w:t>（绩效办对应部分考核得分</w:t>
            </w:r>
            <w:r>
              <w:rPr>
                <w:kern w:val="0"/>
                <w:sz w:val="20"/>
                <w:szCs w:val="20"/>
              </w:rPr>
              <w:t>/</w:t>
            </w:r>
            <w:r>
              <w:rPr>
                <w:rFonts w:hint="eastAsia"/>
                <w:kern w:val="0"/>
                <w:sz w:val="20"/>
                <w:szCs w:val="20"/>
              </w:rPr>
              <w:t>该部分总分）</w:t>
            </w:r>
            <w:r>
              <w:rPr>
                <w:rFonts w:hint="eastAsia" w:ascii="仿宋_GB2312"/>
                <w:kern w:val="0"/>
                <w:sz w:val="20"/>
                <w:szCs w:val="20"/>
              </w:rPr>
              <w:t>×</w:t>
            </w:r>
            <w:r>
              <w:rPr>
                <w:kern w:val="0"/>
                <w:sz w:val="20"/>
                <w:szCs w:val="20"/>
              </w:rPr>
              <w:t>8</w:t>
            </w:r>
            <w:r>
              <w:rPr>
                <w:rFonts w:hint="eastAsia"/>
                <w:kern w:val="0"/>
                <w:sz w:val="20"/>
                <w:szCs w:val="20"/>
              </w:rPr>
              <w:t>。</w:t>
            </w:r>
          </w:p>
        </w:tc>
        <w:tc>
          <w:tcPr>
            <w:tcW w:w="349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重点工作办结率</w:t>
            </w:r>
            <w:r>
              <w:rPr>
                <w:kern w:val="0"/>
                <w:sz w:val="20"/>
                <w:szCs w:val="20"/>
              </w:rPr>
              <w:t>=</w:t>
            </w:r>
            <w:r>
              <w:rPr>
                <w:rFonts w:hint="eastAsia"/>
                <w:kern w:val="0"/>
                <w:sz w:val="20"/>
                <w:szCs w:val="20"/>
              </w:rPr>
              <w:t>（重点工作实际完成数</w:t>
            </w:r>
            <w:r>
              <w:rPr>
                <w:kern w:val="0"/>
                <w:sz w:val="20"/>
                <w:szCs w:val="20"/>
              </w:rPr>
              <w:t>/</w:t>
            </w:r>
            <w:r>
              <w:rPr>
                <w:rFonts w:hint="eastAsia"/>
                <w:kern w:val="0"/>
                <w:sz w:val="20"/>
                <w:szCs w:val="20"/>
              </w:rPr>
              <w:t>交办或下达数）</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重点工作是指党委、政府、人大、相关部门交办或下达的工作任务。</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8</w:t>
            </w:r>
          </w:p>
        </w:tc>
      </w:tr>
      <w:tr>
        <w:tblPrEx>
          <w:tblCellMar>
            <w:top w:w="0" w:type="dxa"/>
            <w:left w:w="108" w:type="dxa"/>
            <w:bottom w:w="0" w:type="dxa"/>
            <w:right w:w="108" w:type="dxa"/>
          </w:tblCellMar>
        </w:tblPrEx>
        <w:trPr>
          <w:trHeight w:val="479" w:hRule="atLeast"/>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效</w:t>
            </w:r>
          </w:p>
          <w:p>
            <w:pPr>
              <w:widowControl/>
              <w:jc w:val="center"/>
              <w:rPr>
                <w:rFonts w:eastAsia="仿宋_GB2312"/>
                <w:kern w:val="0"/>
                <w:sz w:val="20"/>
                <w:szCs w:val="20"/>
              </w:rPr>
            </w:pPr>
            <w:r>
              <w:rPr>
                <w:rFonts w:hint="eastAsia"/>
                <w:kern w:val="0"/>
                <w:sz w:val="20"/>
                <w:szCs w:val="20"/>
              </w:rPr>
              <w:t>果</w:t>
            </w:r>
          </w:p>
          <w:p>
            <w:pPr>
              <w:widowControl/>
              <w:jc w:val="center"/>
              <w:rPr>
                <w:rFonts w:eastAsia="仿宋_GB2312"/>
                <w:kern w:val="0"/>
                <w:sz w:val="20"/>
                <w:szCs w:val="20"/>
              </w:rPr>
            </w:pPr>
          </w:p>
          <w:p>
            <w:pPr>
              <w:widowControl/>
              <w:jc w:val="center"/>
              <w:rPr>
                <w:rFonts w:eastAsia="仿宋_GB2312"/>
                <w:kern w:val="0"/>
                <w:sz w:val="20"/>
                <w:szCs w:val="20"/>
              </w:rPr>
            </w:pPr>
            <w:r>
              <w:rPr>
                <w:kern w:val="0"/>
                <w:sz w:val="20"/>
                <w:szCs w:val="20"/>
              </w:rPr>
              <w:t>30</w:t>
            </w:r>
            <w:r>
              <w:rPr>
                <w:rFonts w:hint="eastAsia"/>
                <w:kern w:val="0"/>
                <w:sz w:val="20"/>
                <w:szCs w:val="20"/>
              </w:rPr>
              <w:t>分</w:t>
            </w:r>
          </w:p>
        </w:tc>
        <w:tc>
          <w:tcPr>
            <w:tcW w:w="677" w:type="dxa"/>
            <w:vMerge w:val="restart"/>
            <w:tcBorders>
              <w:top w:val="nil"/>
              <w:left w:val="nil"/>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履职</w:t>
            </w:r>
            <w:r>
              <w:rPr>
                <w:kern w:val="0"/>
                <w:sz w:val="20"/>
                <w:szCs w:val="20"/>
              </w:rPr>
              <w:t xml:space="preserve"> </w:t>
            </w:r>
            <w:r>
              <w:rPr>
                <w:rFonts w:hint="eastAsia"/>
                <w:kern w:val="0"/>
                <w:sz w:val="20"/>
                <w:szCs w:val="20"/>
              </w:rPr>
              <w:t>效益</w:t>
            </w:r>
          </w:p>
          <w:p>
            <w:pPr>
              <w:widowControl/>
              <w:jc w:val="center"/>
              <w:rPr>
                <w:rFonts w:eastAsia="仿宋_GB2312"/>
                <w:kern w:val="0"/>
                <w:sz w:val="20"/>
                <w:szCs w:val="20"/>
              </w:rPr>
            </w:pPr>
          </w:p>
          <w:p>
            <w:pPr>
              <w:jc w:val="center"/>
              <w:rPr>
                <w:rFonts w:eastAsia="仿宋_GB2312"/>
                <w:kern w:val="0"/>
                <w:sz w:val="20"/>
                <w:szCs w:val="20"/>
              </w:rPr>
            </w:pPr>
            <w:r>
              <w:rPr>
                <w:kern w:val="0"/>
                <w:sz w:val="20"/>
                <w:szCs w:val="20"/>
              </w:rPr>
              <w:t>30</w:t>
            </w:r>
            <w:r>
              <w:rPr>
                <w:rFonts w:hint="eastAsia"/>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center"/>
              <w:rPr>
                <w:rFonts w:hint="eastAsia"/>
                <w:kern w:val="0"/>
                <w:sz w:val="20"/>
                <w:szCs w:val="20"/>
              </w:rPr>
            </w:pPr>
            <w:r>
              <w:rPr>
                <w:rFonts w:hint="eastAsia"/>
                <w:kern w:val="0"/>
                <w:sz w:val="20"/>
                <w:szCs w:val="20"/>
              </w:rPr>
              <w:t>经济效益</w:t>
            </w:r>
          </w:p>
          <w:p>
            <w:pPr>
              <w:widowControl/>
              <w:jc w:val="center"/>
              <w:rPr>
                <w:rFonts w:eastAsia="仿宋_GB2312"/>
                <w:kern w:val="0"/>
                <w:sz w:val="20"/>
                <w:szCs w:val="20"/>
              </w:rPr>
            </w:pP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0"/>
                <w:szCs w:val="20"/>
                <w:lang w:eastAsia="zh-CN"/>
              </w:rPr>
            </w:pPr>
            <w:r>
              <w:rPr>
                <w:rFonts w:hint="eastAsia" w:eastAsia="仿宋_GB2312"/>
                <w:kern w:val="0"/>
                <w:sz w:val="20"/>
                <w:szCs w:val="20"/>
                <w:lang w:val="en-US" w:eastAsia="zh-CN"/>
              </w:rPr>
              <w:t>9</w:t>
            </w:r>
          </w:p>
        </w:tc>
        <w:tc>
          <w:tcPr>
            <w:tcW w:w="6438" w:type="dxa"/>
            <w:gridSpan w:val="2"/>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00" w:firstLineChars="200"/>
              <w:jc w:val="both"/>
              <w:textAlignment w:val="auto"/>
              <w:rPr>
                <w:rFonts w:eastAsia="仿宋_GB2312"/>
                <w:kern w:val="0"/>
                <w:sz w:val="20"/>
                <w:szCs w:val="20"/>
              </w:rPr>
            </w:pP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银行机构存、贷款金额同比是否增加；保费收入同比是否增加；非法集资涉案金额同比是否减少。每项3分，计9分。</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kern w:val="0"/>
                <w:sz w:val="24"/>
                <w:lang w:val="en-US" w:eastAsia="zh-CN"/>
              </w:rPr>
            </w:pPr>
            <w:r>
              <w:rPr>
                <w:rFonts w:hint="eastAsia"/>
                <w:kern w:val="0"/>
                <w:sz w:val="24"/>
                <w:lang w:val="en-US" w:eastAsia="zh-CN"/>
              </w:rPr>
              <w:t>9</w:t>
            </w:r>
          </w:p>
        </w:tc>
      </w:tr>
      <w:tr>
        <w:tblPrEx>
          <w:tblCellMar>
            <w:top w:w="0" w:type="dxa"/>
            <w:left w:w="108" w:type="dxa"/>
            <w:bottom w:w="0" w:type="dxa"/>
            <w:right w:w="108" w:type="dxa"/>
          </w:tblCellMar>
        </w:tblPrEx>
        <w:trPr>
          <w:trHeight w:val="479" w:hRule="atLeast"/>
          <w:jc w:val="center"/>
        </w:trPr>
        <w:tc>
          <w:tcPr>
            <w:tcW w:w="709" w:type="dxa"/>
            <w:vMerge w:val="continue"/>
            <w:tcBorders>
              <w:left w:val="single" w:color="auto" w:sz="4" w:space="0"/>
              <w:right w:val="single" w:color="auto" w:sz="4" w:space="0"/>
            </w:tcBorders>
            <w:noWrap w:val="0"/>
            <w:vAlign w:val="center"/>
          </w:tcPr>
          <w:p>
            <w:pPr>
              <w:widowControl/>
              <w:jc w:val="center"/>
            </w:pPr>
          </w:p>
        </w:tc>
        <w:tc>
          <w:tcPr>
            <w:tcW w:w="677" w:type="dxa"/>
            <w:vMerge w:val="continue"/>
            <w:tcBorders>
              <w:left w:val="nil"/>
              <w:right w:val="single" w:color="auto" w:sz="4" w:space="0"/>
            </w:tcBorders>
            <w:noWrap w:val="0"/>
            <w:vAlign w:val="center"/>
          </w:tcPr>
          <w:p>
            <w:pPr>
              <w:widowControl/>
              <w:jc w:val="center"/>
            </w:pPr>
          </w:p>
        </w:tc>
        <w:tc>
          <w:tcPr>
            <w:tcW w:w="1014" w:type="dxa"/>
            <w:tcBorders>
              <w:top w:val="nil"/>
              <w:left w:val="nil"/>
              <w:bottom w:val="single" w:color="auto" w:sz="4" w:space="0"/>
              <w:right w:val="single" w:color="auto" w:sz="4" w:space="0"/>
            </w:tcBorders>
            <w:noWrap w:val="0"/>
            <w:vAlign w:val="center"/>
          </w:tcPr>
          <w:p>
            <w:pPr>
              <w:widowControl/>
              <w:jc w:val="center"/>
              <w:rPr>
                <w:rFonts w:hint="eastAsia"/>
                <w:kern w:val="0"/>
                <w:sz w:val="20"/>
                <w:szCs w:val="20"/>
              </w:rPr>
            </w:pPr>
            <w:r>
              <w:rPr>
                <w:rFonts w:hint="eastAsia"/>
                <w:kern w:val="0"/>
                <w:sz w:val="20"/>
                <w:szCs w:val="20"/>
              </w:rPr>
              <w:t>社会效益</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0"/>
                <w:szCs w:val="20"/>
                <w:lang w:val="en-US" w:eastAsia="zh-CN"/>
              </w:rPr>
            </w:pPr>
            <w:r>
              <w:rPr>
                <w:rFonts w:hint="eastAsia"/>
                <w:kern w:val="0"/>
                <w:sz w:val="20"/>
                <w:szCs w:val="20"/>
                <w:lang w:val="en-US" w:eastAsia="zh-CN"/>
              </w:rPr>
              <w:t>6</w:t>
            </w:r>
          </w:p>
        </w:tc>
        <w:tc>
          <w:tcPr>
            <w:tcW w:w="64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firstLine="400" w:firstLineChars="200"/>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引导金融机构优化信贷结构，加大信贷投放</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kern w:val="0"/>
                <w:sz w:val="20"/>
                <w:szCs w:val="20"/>
              </w:rPr>
              <w:t>扶持优质企业上市，提高本地经济活跃度</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kern w:val="0"/>
                <w:sz w:val="20"/>
                <w:szCs w:val="20"/>
              </w:rPr>
              <w:t>引进金融机构来衡，完善金融服务体系</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kern w:val="0"/>
                <w:sz w:val="20"/>
                <w:szCs w:val="20"/>
              </w:rPr>
              <w:t>有效化解各类涉嫌非法集资风险事件，尽量为老百姓挽回损失</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kern w:val="0"/>
                <w:sz w:val="20"/>
                <w:szCs w:val="20"/>
                <w:lang w:val="en-US" w:eastAsia="zh-CN"/>
              </w:rPr>
              <w:t>每项1.5分，计6分。</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4"/>
                <w:szCs w:val="24"/>
                <w:lang w:val="en-US" w:eastAsia="zh-CN"/>
              </w:rPr>
              <w:t>6</w:t>
            </w:r>
          </w:p>
        </w:tc>
      </w:tr>
      <w:tr>
        <w:tblPrEx>
          <w:tblCellMar>
            <w:top w:w="0" w:type="dxa"/>
            <w:left w:w="108" w:type="dxa"/>
            <w:bottom w:w="0" w:type="dxa"/>
            <w:right w:w="108" w:type="dxa"/>
          </w:tblCellMar>
        </w:tblPrEx>
        <w:trPr>
          <w:trHeight w:val="1629"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行政效能</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6</w:t>
            </w:r>
          </w:p>
        </w:tc>
        <w:tc>
          <w:tcPr>
            <w:tcW w:w="294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促进部门改进工作作风，加强资金及资产管理，推动提质增效，降低运行成本，效果较好的计</w:t>
            </w:r>
            <w:r>
              <w:rPr>
                <w:kern w:val="0"/>
                <w:sz w:val="20"/>
                <w:szCs w:val="20"/>
              </w:rPr>
              <w:t>6</w:t>
            </w:r>
            <w:r>
              <w:rPr>
                <w:rFonts w:hint="eastAsia"/>
                <w:kern w:val="0"/>
                <w:sz w:val="20"/>
                <w:szCs w:val="20"/>
              </w:rPr>
              <w:t>分；一般</w:t>
            </w:r>
            <w:r>
              <w:rPr>
                <w:kern w:val="0"/>
                <w:sz w:val="20"/>
                <w:szCs w:val="20"/>
              </w:rPr>
              <w:t>3</w:t>
            </w:r>
            <w:r>
              <w:rPr>
                <w:rFonts w:hint="eastAsia"/>
                <w:kern w:val="0"/>
                <w:sz w:val="20"/>
                <w:szCs w:val="20"/>
              </w:rPr>
              <w:t>分；无效果或者效果不明显计</w:t>
            </w:r>
            <w:r>
              <w:rPr>
                <w:kern w:val="0"/>
                <w:sz w:val="20"/>
                <w:szCs w:val="20"/>
              </w:rPr>
              <w:t>0</w:t>
            </w:r>
            <w:r>
              <w:rPr>
                <w:rFonts w:hint="eastAsia"/>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6</w:t>
            </w:r>
          </w:p>
        </w:tc>
      </w:tr>
      <w:tr>
        <w:tblPrEx>
          <w:tblCellMar>
            <w:top w:w="0" w:type="dxa"/>
            <w:left w:w="108" w:type="dxa"/>
            <w:bottom w:w="0" w:type="dxa"/>
            <w:right w:w="108" w:type="dxa"/>
          </w:tblCellMar>
        </w:tblPrEx>
        <w:trPr>
          <w:trHeight w:val="1255"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p>
        </w:tc>
        <w:tc>
          <w:tcPr>
            <w:tcW w:w="677" w:type="dxa"/>
            <w:vMerge w:val="continue"/>
            <w:tcBorders>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社会公众或服务对象满意度</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9</w:t>
            </w:r>
          </w:p>
        </w:tc>
        <w:tc>
          <w:tcPr>
            <w:tcW w:w="294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90%</w:t>
            </w:r>
            <w:r>
              <w:rPr>
                <w:rFonts w:hint="eastAsia"/>
                <w:kern w:val="0"/>
                <w:sz w:val="20"/>
                <w:szCs w:val="20"/>
              </w:rPr>
              <w:t>（含）以上计</w:t>
            </w:r>
            <w:r>
              <w:rPr>
                <w:kern w:val="0"/>
                <w:sz w:val="20"/>
                <w:szCs w:val="20"/>
              </w:rPr>
              <w:t>6</w:t>
            </w:r>
            <w:r>
              <w:rPr>
                <w:rFonts w:hint="eastAsia"/>
                <w:kern w:val="0"/>
                <w:sz w:val="20"/>
                <w:szCs w:val="20"/>
              </w:rPr>
              <w:t>分；</w:t>
            </w:r>
            <w:r>
              <w:rPr>
                <w:rFonts w:eastAsia="仿宋_GB2312"/>
                <w:kern w:val="0"/>
                <w:sz w:val="20"/>
                <w:szCs w:val="20"/>
              </w:rPr>
              <w:br w:type="textWrapping"/>
            </w:r>
            <w:r>
              <w:rPr>
                <w:kern w:val="0"/>
                <w:sz w:val="20"/>
                <w:szCs w:val="20"/>
              </w:rPr>
              <w:t>80%</w:t>
            </w:r>
            <w:r>
              <w:rPr>
                <w:rFonts w:hint="eastAsia"/>
                <w:kern w:val="0"/>
                <w:sz w:val="20"/>
                <w:szCs w:val="20"/>
              </w:rPr>
              <w:t>（含）</w:t>
            </w:r>
            <w:r>
              <w:rPr>
                <w:kern w:val="0"/>
                <w:sz w:val="20"/>
                <w:szCs w:val="20"/>
              </w:rPr>
              <w:t>-90%</w:t>
            </w:r>
            <w:r>
              <w:rPr>
                <w:rFonts w:hint="eastAsia"/>
                <w:kern w:val="0"/>
                <w:sz w:val="20"/>
                <w:szCs w:val="20"/>
              </w:rPr>
              <w:t>，计</w:t>
            </w:r>
            <w:r>
              <w:rPr>
                <w:kern w:val="0"/>
                <w:sz w:val="20"/>
                <w:szCs w:val="20"/>
              </w:rPr>
              <w:t>4</w:t>
            </w:r>
            <w:r>
              <w:rPr>
                <w:rFonts w:hint="eastAsia"/>
                <w:kern w:val="0"/>
                <w:sz w:val="20"/>
                <w:szCs w:val="20"/>
              </w:rPr>
              <w:t>分；</w:t>
            </w:r>
            <w:r>
              <w:rPr>
                <w:rFonts w:eastAsia="仿宋_GB2312"/>
                <w:kern w:val="0"/>
                <w:sz w:val="20"/>
                <w:szCs w:val="20"/>
              </w:rPr>
              <w:br w:type="textWrapping"/>
            </w:r>
            <w:r>
              <w:rPr>
                <w:kern w:val="0"/>
                <w:sz w:val="20"/>
                <w:szCs w:val="20"/>
              </w:rPr>
              <w:t>70%</w:t>
            </w:r>
            <w:r>
              <w:rPr>
                <w:rFonts w:hint="eastAsia"/>
                <w:kern w:val="0"/>
                <w:sz w:val="20"/>
                <w:szCs w:val="20"/>
              </w:rPr>
              <w:t>（含）</w:t>
            </w:r>
            <w:r>
              <w:rPr>
                <w:kern w:val="0"/>
                <w:sz w:val="20"/>
                <w:szCs w:val="20"/>
              </w:rPr>
              <w:t>-80%</w:t>
            </w:r>
            <w:r>
              <w:rPr>
                <w:rFonts w:hint="eastAsia"/>
                <w:kern w:val="0"/>
                <w:sz w:val="20"/>
                <w:szCs w:val="20"/>
              </w:rPr>
              <w:t>，计</w:t>
            </w:r>
            <w:r>
              <w:rPr>
                <w:kern w:val="0"/>
                <w:sz w:val="20"/>
                <w:szCs w:val="20"/>
              </w:rPr>
              <w:t>2</w:t>
            </w:r>
            <w:r>
              <w:rPr>
                <w:rFonts w:hint="eastAsia"/>
                <w:kern w:val="0"/>
                <w:sz w:val="20"/>
                <w:szCs w:val="20"/>
              </w:rPr>
              <w:t>分；</w:t>
            </w:r>
            <w:r>
              <w:rPr>
                <w:rFonts w:eastAsia="仿宋_GB2312"/>
                <w:kern w:val="0"/>
                <w:sz w:val="20"/>
                <w:szCs w:val="20"/>
              </w:rPr>
              <w:br w:type="textWrapping"/>
            </w:r>
            <w:r>
              <w:rPr>
                <w:rFonts w:hint="eastAsia"/>
                <w:kern w:val="0"/>
                <w:sz w:val="20"/>
                <w:szCs w:val="20"/>
              </w:rPr>
              <w:t>低于</w:t>
            </w:r>
            <w:r>
              <w:rPr>
                <w:kern w:val="0"/>
                <w:sz w:val="20"/>
                <w:szCs w:val="20"/>
              </w:rPr>
              <w:t>70%</w:t>
            </w:r>
            <w:r>
              <w:rPr>
                <w:rFonts w:hint="eastAsia"/>
                <w:kern w:val="0"/>
                <w:sz w:val="20"/>
                <w:szCs w:val="20"/>
              </w:rPr>
              <w:t>计</w:t>
            </w:r>
            <w:r>
              <w:rPr>
                <w:kern w:val="0"/>
                <w:sz w:val="20"/>
                <w:szCs w:val="20"/>
              </w:rPr>
              <w:t>0</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4"/>
                <w:lang w:val="en-US" w:eastAsia="zh-CN"/>
              </w:rPr>
            </w:pPr>
            <w:r>
              <w:rPr>
                <w:rFonts w:hint="eastAsia"/>
                <w:kern w:val="0"/>
                <w:sz w:val="24"/>
                <w:lang w:val="en-US" w:eastAsia="zh-CN"/>
              </w:rPr>
              <w:t>6</w:t>
            </w:r>
          </w:p>
        </w:tc>
      </w:tr>
    </w:tbl>
    <w:p>
      <w:pPr>
        <w:rPr>
          <w:rFonts w:hint="eastAsia"/>
          <w:kern w:val="0"/>
          <w:sz w:val="36"/>
          <w:szCs w:val="36"/>
        </w:rPr>
        <w:sectPr>
          <w:headerReference r:id="rId10" w:type="first"/>
          <w:footerReference r:id="rId13" w:type="first"/>
          <w:headerReference r:id="rId8" w:type="default"/>
          <w:footerReference r:id="rId11" w:type="default"/>
          <w:headerReference r:id="rId9" w:type="even"/>
          <w:footerReference r:id="rId12" w:type="even"/>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eastAsia="黑体"/>
          <w:sz w:val="28"/>
          <w:szCs w:val="28"/>
        </w:rPr>
        <w:br w:type="page"/>
      </w:r>
    </w:p>
    <w:p>
      <w:pPr>
        <w:spacing w:line="560" w:lineRule="exact"/>
        <w:jc w:val="center"/>
        <w:rPr>
          <w:rFonts w:eastAsia="方正小标宋_GBK"/>
          <w:kern w:val="0"/>
          <w:sz w:val="36"/>
          <w:szCs w:val="36"/>
        </w:rPr>
      </w:pPr>
      <w:r>
        <w:rPr>
          <w:rFonts w:hint="eastAsia"/>
          <w:kern w:val="0"/>
          <w:sz w:val="36"/>
          <w:szCs w:val="36"/>
        </w:rPr>
        <w:t>部门整体支出绩效评价基础表</w:t>
      </w:r>
    </w:p>
    <w:p>
      <w:pPr>
        <w:widowControl/>
        <w:tabs>
          <w:tab w:val="left" w:pos="3611"/>
          <w:tab w:val="left" w:pos="4791"/>
          <w:tab w:val="left" w:pos="5951"/>
          <w:tab w:val="left" w:pos="7071"/>
          <w:tab w:val="left" w:pos="8191"/>
          <w:tab w:val="left" w:pos="9311"/>
        </w:tabs>
        <w:ind w:left="91"/>
        <w:jc w:val="right"/>
        <w:rPr>
          <w:rFonts w:hint="default" w:eastAsia="宋体"/>
          <w:kern w:val="0"/>
          <w:sz w:val="24"/>
          <w:lang w:val="en-US" w:eastAsia="zh-CN"/>
        </w:rPr>
      </w:pPr>
      <w:r>
        <w:rPr>
          <w:rFonts w:hint="eastAsia"/>
          <w:kern w:val="0"/>
          <w:sz w:val="24"/>
        </w:rPr>
        <w:t>填报单位：</w:t>
      </w:r>
      <w:r>
        <w:rPr>
          <w:rFonts w:hint="eastAsia"/>
          <w:kern w:val="0"/>
          <w:sz w:val="24"/>
          <w:lang w:val="en-US" w:eastAsia="zh-CN"/>
        </w:rPr>
        <w:t>衡阳市人民政府金融工作办公室</w:t>
      </w:r>
    </w:p>
    <w:tbl>
      <w:tblPr>
        <w:tblStyle w:val="6"/>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kern w:val="0"/>
                <w:szCs w:val="21"/>
              </w:rPr>
              <w:t>财政供养人员情况</w:t>
            </w:r>
          </w:p>
        </w:tc>
        <w:tc>
          <w:tcPr>
            <w:tcW w:w="203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b/>
                <w:bCs/>
                <w:kern w:val="0"/>
                <w:szCs w:val="21"/>
              </w:rPr>
              <w:t>编制数</w:t>
            </w:r>
          </w:p>
        </w:tc>
        <w:tc>
          <w:tcPr>
            <w:tcW w:w="224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b/>
                <w:bCs/>
                <w:kern w:val="0"/>
                <w:szCs w:val="21"/>
              </w:rPr>
              <w:t>2019</w:t>
            </w:r>
            <w:r>
              <w:rPr>
                <w:rFonts w:hint="eastAsia"/>
                <w:b/>
                <w:bCs/>
                <w:kern w:val="0"/>
                <w:szCs w:val="21"/>
              </w:rPr>
              <w:t>年实际在职人数</w:t>
            </w:r>
          </w:p>
        </w:tc>
        <w:tc>
          <w:tcPr>
            <w:tcW w:w="1832"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2038"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21</w:t>
            </w:r>
          </w:p>
        </w:tc>
        <w:tc>
          <w:tcPr>
            <w:tcW w:w="2240"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20</w:t>
            </w:r>
          </w:p>
        </w:tc>
        <w:tc>
          <w:tcPr>
            <w:tcW w:w="1832"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95%</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kern w:val="0"/>
                <w:szCs w:val="21"/>
              </w:rPr>
              <w:t>经费控制情况</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b/>
                <w:bCs/>
                <w:kern w:val="0"/>
                <w:szCs w:val="21"/>
              </w:rPr>
              <w:t>2018</w:t>
            </w:r>
            <w:r>
              <w:rPr>
                <w:rFonts w:hint="eastAsia"/>
                <w:b/>
                <w:bCs/>
                <w:kern w:val="0"/>
                <w:szCs w:val="21"/>
              </w:rPr>
              <w:t>年决算数</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b/>
                <w:bCs/>
                <w:kern w:val="0"/>
                <w:szCs w:val="21"/>
              </w:rPr>
              <w:t>2019</w:t>
            </w:r>
            <w:r>
              <w:rPr>
                <w:rFonts w:hint="eastAsia"/>
                <w:b/>
                <w:bCs/>
                <w:kern w:val="0"/>
                <w:szCs w:val="21"/>
              </w:rPr>
              <w:t>年预算数</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b/>
                <w:bCs/>
                <w:kern w:val="0"/>
                <w:szCs w:val="21"/>
              </w:rPr>
              <w:t>2019</w:t>
            </w:r>
            <w:r>
              <w:rPr>
                <w:rFonts w:hint="eastAsia"/>
                <w:b/>
                <w:bCs/>
                <w:kern w:val="0"/>
                <w:szCs w:val="21"/>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kern w:val="0"/>
                <w:szCs w:val="21"/>
              </w:rPr>
              <w:t>一、部门基本支出</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cs="宋体"/>
                <w:color w:val="000000"/>
                <w:kern w:val="0"/>
                <w:sz w:val="21"/>
                <w:szCs w:val="21"/>
              </w:rPr>
              <w:t>249.68</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231.6</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sz w:val="21"/>
                <w:szCs w:val="21"/>
              </w:rPr>
              <w:t>314.15</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kern w:val="0"/>
                <w:szCs w:val="21"/>
                <w:lang w:val="en-US" w:eastAsia="zh-CN"/>
              </w:rPr>
              <w:t>人员</w:t>
            </w:r>
            <w:r>
              <w:rPr>
                <w:rFonts w:hint="eastAsia"/>
                <w:kern w:val="0"/>
                <w:szCs w:val="21"/>
              </w:rPr>
              <w:t>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cs="宋体"/>
                <w:color w:val="000000"/>
                <w:kern w:val="0"/>
                <w:sz w:val="21"/>
                <w:szCs w:val="21"/>
              </w:rPr>
              <w:t>208.58</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sz w:val="21"/>
                <w:szCs w:val="21"/>
              </w:rPr>
              <w:t>193.54</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sz w:val="21"/>
                <w:szCs w:val="21"/>
              </w:rPr>
              <w:t>280.96</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公用经费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cs="宋体"/>
                <w:color w:val="000000"/>
                <w:kern w:val="0"/>
                <w:sz w:val="21"/>
                <w:szCs w:val="21"/>
              </w:rPr>
              <w:t>41.10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sz w:val="21"/>
                <w:szCs w:val="21"/>
              </w:rPr>
              <w:t>38.06</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sz w:val="21"/>
                <w:szCs w:val="21"/>
              </w:rPr>
              <w:t>33.19</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其中</w:t>
            </w:r>
            <w:r>
              <w:rPr>
                <w:rFonts w:hint="eastAsia" w:asciiTheme="minorEastAsia" w:hAnsiTheme="minorEastAsia" w:eastAsiaTheme="minorEastAsia" w:cstheme="minorEastAsia"/>
                <w:kern w:val="0"/>
                <w:szCs w:val="21"/>
              </w:rPr>
              <w:t>：办公费、印刷费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1.80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0.5</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 xml:space="preserve">  </w:t>
            </w:r>
            <w:r>
              <w:rPr>
                <w:rFonts w:hint="eastAsia" w:asciiTheme="minorEastAsia" w:hAnsiTheme="minorEastAsia" w:eastAsiaTheme="minorEastAsia" w:cstheme="minorEastAsia"/>
                <w:kern w:val="0"/>
                <w:szCs w:val="21"/>
              </w:rPr>
              <w:t>水费、电费、差旅费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eastAsia="宋体" w:cs="Arial"/>
                <w:color w:val="000000"/>
                <w:kern w:val="0"/>
                <w:sz w:val="21"/>
                <w:szCs w:val="21"/>
                <w:lang w:val="en-US" w:eastAsia="zh-CN"/>
              </w:rPr>
            </w:pPr>
            <w:r>
              <w:rPr>
                <w:rFonts w:hint="eastAsia" w:cs="Arial"/>
                <w:color w:val="000000"/>
                <w:kern w:val="0"/>
                <w:sz w:val="21"/>
                <w:szCs w:val="21"/>
                <w:lang w:val="en-US" w:eastAsia="zh-CN"/>
              </w:rPr>
              <w:t>0</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会议费、培训费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eastAsia="宋体" w:cs="Arial"/>
                <w:color w:val="000000"/>
                <w:kern w:val="0"/>
                <w:sz w:val="21"/>
                <w:szCs w:val="21"/>
                <w:lang w:eastAsia="zh-CN"/>
              </w:rPr>
            </w:pPr>
            <w:r>
              <w:rPr>
                <w:rFonts w:hint="eastAsia" w:cs="Arial"/>
                <w:color w:val="000000"/>
                <w:sz w:val="22"/>
                <w:szCs w:val="22"/>
                <w:lang w:val="en-US" w:eastAsia="zh-CN"/>
              </w:rPr>
              <w:t>0</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“三公”经费</w:t>
            </w:r>
            <w:r>
              <w:rPr>
                <w:rFonts w:hint="eastAsia" w:asciiTheme="minorEastAsia" w:hAnsiTheme="minorEastAsia" w:eastAsiaTheme="minorEastAsia" w:cstheme="minorEastAsia"/>
                <w:kern w:val="0"/>
                <w:szCs w:val="21"/>
                <w:lang w:eastAsia="zh-CN"/>
              </w:rPr>
              <w:t>：</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Cs w:val="21"/>
              </w:rPr>
              <w:t>4.70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7.5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cs="Arial"/>
                <w:color w:val="000000"/>
                <w:kern w:val="0"/>
                <w:sz w:val="21"/>
                <w:szCs w:val="21"/>
              </w:rPr>
              <w:t>4.97</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w:t>
            </w:r>
            <w:r>
              <w:rPr>
                <w:rFonts w:hint="eastAsia" w:asciiTheme="minorEastAsia" w:hAnsiTheme="minorEastAsia" w:eastAsiaTheme="minorEastAsia" w:cstheme="minorEastAsia"/>
                <w:kern w:val="0"/>
                <w:szCs w:val="21"/>
              </w:rPr>
              <w:t>公务用车购置和维护经费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rPr>
            </w:pPr>
            <w:r>
              <w:rPr>
                <w:rFonts w:hint="eastAsia" w:eastAsia="仿宋_GB2312"/>
                <w:kern w:val="0"/>
                <w:szCs w:val="21"/>
              </w:rPr>
              <w:t>3.90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eastAsia="仿宋_GB2312"/>
                <w:kern w:val="0"/>
                <w:szCs w:val="21"/>
                <w:lang w:val="en-US" w:eastAsia="zh-CN"/>
              </w:rPr>
              <w:t>4</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cs="Arial"/>
                <w:color w:val="000000"/>
                <w:kern w:val="0"/>
                <w:sz w:val="21"/>
                <w:szCs w:val="21"/>
              </w:rPr>
            </w:pPr>
            <w:r>
              <w:rPr>
                <w:rFonts w:hint="eastAsia" w:cs="Arial"/>
                <w:color w:val="000000"/>
                <w:kern w:val="0"/>
                <w:sz w:val="21"/>
                <w:szCs w:val="21"/>
              </w:rPr>
              <w:t>3.71</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其中：</w:t>
            </w:r>
            <w:r>
              <w:rPr>
                <w:rFonts w:hint="eastAsia" w:asciiTheme="minorEastAsia" w:hAnsiTheme="minorEastAsia" w:eastAsiaTheme="minorEastAsia" w:cstheme="minorEastAsia"/>
                <w:kern w:val="0"/>
                <w:szCs w:val="21"/>
                <w:lang w:val="en-US" w:eastAsia="zh-CN"/>
              </w:rPr>
              <w:t>公务用</w:t>
            </w:r>
            <w:r>
              <w:rPr>
                <w:rFonts w:hint="eastAsia" w:asciiTheme="minorEastAsia" w:hAnsiTheme="minorEastAsia" w:eastAsiaTheme="minorEastAsia" w:cstheme="minorEastAsia"/>
                <w:kern w:val="0"/>
                <w:szCs w:val="21"/>
              </w:rPr>
              <w:t>车购置</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rPr>
            </w:pPr>
            <w:r>
              <w:rPr>
                <w:rFonts w:hint="eastAsia" w:eastAsia="仿宋_GB2312"/>
                <w:kern w:val="0"/>
                <w:szCs w:val="21"/>
              </w:rPr>
              <w:t>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eastAsia="仿宋_GB2312"/>
                <w:kern w:val="0"/>
                <w:szCs w:val="21"/>
                <w:lang w:val="en-US" w:eastAsia="zh-CN"/>
              </w:rPr>
              <w:t>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cs="Arial"/>
                <w:color w:val="000000"/>
                <w:kern w:val="0"/>
                <w:sz w:val="21"/>
                <w:szCs w:val="21"/>
              </w:rPr>
            </w:pPr>
            <w:r>
              <w:rPr>
                <w:rFonts w:hint="eastAsia" w:eastAsia="仿宋_GB2312"/>
                <w:kern w:val="0"/>
                <w:sz w:val="21"/>
                <w:szCs w:val="21"/>
                <w:lang w:val="en-US" w:eastAsia="zh-CN"/>
              </w:rPr>
              <w:t>0</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公务用</w:t>
            </w:r>
            <w:r>
              <w:rPr>
                <w:rFonts w:hint="eastAsia" w:asciiTheme="minorEastAsia" w:hAnsiTheme="minorEastAsia" w:eastAsiaTheme="minorEastAsia" w:cstheme="minorEastAsia"/>
                <w:kern w:val="0"/>
                <w:szCs w:val="21"/>
              </w:rPr>
              <w:t>车运行维护</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rPr>
            </w:pPr>
            <w:r>
              <w:rPr>
                <w:rFonts w:hint="eastAsia" w:eastAsia="仿宋_GB2312"/>
                <w:kern w:val="0"/>
                <w:szCs w:val="21"/>
              </w:rPr>
              <w:t>3.90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eastAsia="仿宋_GB2312"/>
                <w:kern w:val="0"/>
                <w:szCs w:val="21"/>
                <w:lang w:val="en-US" w:eastAsia="zh-CN"/>
              </w:rPr>
              <w:t>4</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cs="Arial"/>
                <w:color w:val="000000"/>
                <w:kern w:val="0"/>
                <w:sz w:val="21"/>
                <w:szCs w:val="21"/>
              </w:rPr>
            </w:pPr>
            <w:r>
              <w:rPr>
                <w:rFonts w:hint="eastAsia" w:cs="Arial"/>
                <w:color w:val="000000"/>
                <w:kern w:val="0"/>
                <w:sz w:val="21"/>
                <w:szCs w:val="21"/>
              </w:rPr>
              <w:t>3.71</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lang w:val="en-US" w:eastAsia="zh-CN"/>
              </w:rPr>
              <w:t>公务接待</w:t>
            </w:r>
            <w:r>
              <w:rPr>
                <w:rFonts w:hint="eastAsia" w:asciiTheme="minorEastAsia" w:hAnsiTheme="minorEastAsia" w:eastAsiaTheme="minorEastAsia" w:cstheme="minorEastAsia"/>
                <w:kern w:val="0"/>
                <w:szCs w:val="21"/>
              </w:rPr>
              <w:t>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0.8</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3.5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cs="Arial"/>
                <w:color w:val="000000"/>
                <w:kern w:val="0"/>
                <w:sz w:val="21"/>
                <w:szCs w:val="21"/>
                <w:lang w:val="en-US" w:eastAsia="zh-CN"/>
              </w:rPr>
            </w:pPr>
            <w:r>
              <w:rPr>
                <w:rFonts w:hint="eastAsia" w:cs="Arial"/>
                <w:color w:val="000000"/>
                <w:kern w:val="0"/>
                <w:sz w:val="21"/>
                <w:szCs w:val="21"/>
                <w:lang w:val="en-US" w:eastAsia="zh-CN"/>
              </w:rPr>
              <w:t>1.26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kern w:val="0"/>
                <w:szCs w:val="21"/>
              </w:rPr>
              <w:t>二、部门项目支出</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73.06</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70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153.70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1、业务工作专项(一个项目一行)</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73.06</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70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153.70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rPr>
              <w:t>其中：金融办工作经费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42.71</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50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111.82</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630" w:firstLineChars="300"/>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rPr>
              <w:t>打击和处置非法集资工作经费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30.35</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20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41.88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kern w:val="0"/>
                <w:szCs w:val="21"/>
              </w:rPr>
              <w:t>2</w:t>
            </w:r>
            <w:r>
              <w:rPr>
                <w:rFonts w:hint="eastAsia"/>
                <w:kern w:val="0"/>
                <w:szCs w:val="21"/>
              </w:rPr>
              <w:t>、运行维护专项</w:t>
            </w:r>
            <w:r>
              <w:rPr>
                <w:kern w:val="0"/>
                <w:szCs w:val="21"/>
              </w:rPr>
              <w:t>(</w:t>
            </w:r>
            <w:r>
              <w:rPr>
                <w:rFonts w:hint="eastAsia"/>
                <w:kern w:val="0"/>
                <w:szCs w:val="21"/>
              </w:rPr>
              <w:t>一个项目一行</w:t>
            </w:r>
            <w:r>
              <w:rPr>
                <w:kern w:val="0"/>
                <w:szCs w:val="21"/>
              </w:rPr>
              <w:t>)</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无</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无</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无</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kern w:val="0"/>
                <w:szCs w:val="21"/>
              </w:rPr>
              <w:t>3</w:t>
            </w:r>
            <w:r>
              <w:rPr>
                <w:rFonts w:hint="eastAsia"/>
                <w:kern w:val="0"/>
                <w:szCs w:val="21"/>
              </w:rPr>
              <w:t>、市级专项资金（一个专项一行）</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无</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无</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无</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kern w:val="0"/>
                <w:szCs w:val="21"/>
              </w:rPr>
              <w:t>政府采购金额</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41.5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214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noWrap w:val="0"/>
            <w:vAlign w:val="center"/>
          </w:tcPr>
          <w:p>
            <w:pPr>
              <w:widowControl/>
              <w:jc w:val="left"/>
              <w:rPr>
                <w:rFonts w:eastAsia="仿宋_GB2312"/>
                <w:kern w:val="0"/>
                <w:szCs w:val="21"/>
              </w:rPr>
            </w:pPr>
            <w:r>
              <w:rPr>
                <w:rFonts w:hint="eastAsia" w:eastAsia="仿宋_GB2312"/>
                <w:kern w:val="0"/>
                <w:szCs w:val="21"/>
              </w:rPr>
              <w:t>一是严格执行中央八项规定，落实厉行节约保障措施；</w:t>
            </w:r>
          </w:p>
          <w:p>
            <w:pPr>
              <w:widowControl/>
              <w:jc w:val="left"/>
              <w:rPr>
                <w:rFonts w:eastAsia="仿宋_GB2312"/>
                <w:kern w:val="0"/>
                <w:szCs w:val="21"/>
              </w:rPr>
            </w:pPr>
            <w:r>
              <w:rPr>
                <w:rFonts w:hint="eastAsia" w:eastAsia="仿宋_GB2312"/>
                <w:kern w:val="0"/>
                <w:szCs w:val="21"/>
              </w:rPr>
              <w:t>二是进一步提高机关效能，</w:t>
            </w:r>
            <w:r>
              <w:rPr>
                <w:rFonts w:hint="eastAsia" w:eastAsia="仿宋_GB2312"/>
                <w:kern w:val="0"/>
                <w:szCs w:val="21"/>
                <w:lang w:val="en-US" w:eastAsia="zh-CN"/>
              </w:rPr>
              <w:t>降低行政成本</w:t>
            </w:r>
            <w:r>
              <w:rPr>
                <w:rFonts w:hint="eastAsia" w:eastAsia="仿宋_GB2312"/>
                <w:kern w:val="0"/>
                <w:szCs w:val="21"/>
              </w:rPr>
              <w:t>；</w:t>
            </w:r>
          </w:p>
          <w:p>
            <w:pPr>
              <w:widowControl/>
              <w:jc w:val="left"/>
              <w:rPr>
                <w:rFonts w:eastAsia="仿宋_GB2312"/>
                <w:kern w:val="0"/>
                <w:szCs w:val="21"/>
              </w:rPr>
            </w:pPr>
            <w:r>
              <w:rPr>
                <w:rFonts w:hint="eastAsia" w:eastAsia="仿宋_GB2312"/>
                <w:kern w:val="0"/>
                <w:szCs w:val="21"/>
              </w:rPr>
              <w:t>三是加强财务管理，严控“三公”经费支出；</w:t>
            </w:r>
          </w:p>
          <w:p>
            <w:pPr>
              <w:widowControl/>
              <w:jc w:val="both"/>
              <w:rPr>
                <w:rFonts w:ascii="Times New Roman" w:hAnsi="Times New Roman" w:eastAsia="仿宋_GB2312" w:cs="Times New Roman"/>
                <w:kern w:val="0"/>
                <w:sz w:val="21"/>
                <w:szCs w:val="21"/>
                <w:lang w:val="en-US" w:eastAsia="zh-CN" w:bidi="ar-SA"/>
              </w:rPr>
            </w:pPr>
            <w:r>
              <w:rPr>
                <w:rFonts w:hint="eastAsia" w:eastAsia="仿宋_GB2312"/>
                <w:kern w:val="0"/>
                <w:szCs w:val="21"/>
              </w:rPr>
              <w:t>四是加强全办人员节约意识教育，</w:t>
            </w:r>
            <w:r>
              <w:rPr>
                <w:rFonts w:hint="eastAsia" w:eastAsia="仿宋_GB2312"/>
                <w:kern w:val="0"/>
                <w:szCs w:val="21"/>
                <w:lang w:val="en-US" w:eastAsia="zh-CN"/>
              </w:rPr>
              <w:t>树立过“紧日子”意识，</w:t>
            </w:r>
            <w:r>
              <w:rPr>
                <w:rFonts w:hint="eastAsia" w:eastAsia="仿宋_GB2312"/>
                <w:kern w:val="0"/>
                <w:szCs w:val="21"/>
              </w:rPr>
              <w:t>减少办公耗材等支出。</w:t>
            </w:r>
          </w:p>
        </w:tc>
      </w:tr>
    </w:tbl>
    <w:p>
      <w:pPr>
        <w:widowControl/>
        <w:jc w:val="center"/>
      </w:pPr>
      <w:r>
        <w:rPr>
          <w:rFonts w:hint="eastAsia"/>
          <w:kern w:val="0"/>
          <w:sz w:val="22"/>
          <w:szCs w:val="22"/>
        </w:rPr>
        <w:t>说明：</w:t>
      </w:r>
      <w:r>
        <w:rPr>
          <w:kern w:val="0"/>
          <w:sz w:val="22"/>
          <w:szCs w:val="22"/>
        </w:rPr>
        <w:t>“</w:t>
      </w:r>
      <w:r>
        <w:rPr>
          <w:rFonts w:hint="eastAsia"/>
          <w:kern w:val="0"/>
          <w:sz w:val="22"/>
          <w:szCs w:val="22"/>
        </w:rPr>
        <w:t>项目支出</w:t>
      </w:r>
      <w:r>
        <w:rPr>
          <w:kern w:val="0"/>
          <w:sz w:val="22"/>
          <w:szCs w:val="22"/>
        </w:rPr>
        <w:t>”</w:t>
      </w:r>
      <w:r>
        <w:rPr>
          <w:rFonts w:hint="eastAsia"/>
          <w:kern w:val="0"/>
          <w:sz w:val="22"/>
          <w:szCs w:val="22"/>
        </w:rPr>
        <w:t>需要填报基本支出以外的所有项目支出情况，包括业务工作项目、运行维护项目和市级专项资金等；</w:t>
      </w:r>
      <w:r>
        <w:rPr>
          <w:kern w:val="0"/>
          <w:sz w:val="22"/>
          <w:szCs w:val="22"/>
        </w:rPr>
        <w:t>“</w:t>
      </w:r>
      <w:r>
        <w:rPr>
          <w:rFonts w:hint="eastAsia"/>
          <w:kern w:val="0"/>
          <w:sz w:val="22"/>
          <w:szCs w:val="22"/>
        </w:rPr>
        <w:t>公用经费</w:t>
      </w:r>
      <w:r>
        <w:rPr>
          <w:kern w:val="0"/>
          <w:sz w:val="22"/>
          <w:szCs w:val="22"/>
        </w:rPr>
        <w:t>”</w:t>
      </w:r>
      <w:r>
        <w:rPr>
          <w:rFonts w:hint="eastAsia"/>
          <w:kern w:val="0"/>
          <w:sz w:val="22"/>
          <w:szCs w:val="22"/>
        </w:rPr>
        <w:t>填报基本支出中的一般商品和服务支出。</w:t>
      </w:r>
    </w:p>
    <w:sectPr>
      <w:headerReference r:id="rId14" w:type="firs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 w:hAnsi="仿宋" w:eastAsia="仿宋" w:cs="仿宋"/>
        <w:sz w:val="32"/>
        <w:szCs w:val="32"/>
        <w:lang w:val="en-US" w:eastAsia="zh-CN"/>
      </w:rPr>
    </w:pPr>
  </w:p>
  <w:p>
    <w:pPr>
      <w:pStyle w:val="4"/>
      <w:rPr>
        <w:rFonts w:hint="eastAsia" w:ascii="仿宋" w:hAnsi="仿宋" w:eastAsia="仿宋" w:cs="仿宋"/>
        <w:sz w:val="32"/>
        <w:szCs w:val="3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eastAsia" w:ascii="仿宋" w:hAnsi="仿宋" w:eastAsia="仿宋" w:cs="仿宋"/>
        <w:sz w:val="32"/>
        <w:szCs w:val="32"/>
        <w:lang w:val="en-US" w:eastAsia="zh-CN"/>
      </w:rPr>
    </w:pPr>
  </w:p>
  <w:p>
    <w:pPr>
      <w:pStyle w:val="4"/>
      <w:pBdr>
        <w:bottom w:val="none" w:color="auto" w:sz="0" w:space="1"/>
      </w:pBdr>
      <w:rPr>
        <w:rFonts w:hint="eastAsia" w:ascii="仿宋" w:hAnsi="仿宋" w:eastAsia="仿宋" w:cs="仿宋"/>
        <w:sz w:val="32"/>
        <w:szCs w:val="32"/>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eastAsia" w:ascii="仿宋" w:hAnsi="仿宋" w:eastAsia="仿宋" w:cs="仿宋"/>
        <w:sz w:val="32"/>
        <w:szCs w:val="32"/>
        <w:lang w:val="en-US" w:eastAsia="zh-CN"/>
      </w:rPr>
    </w:pPr>
  </w:p>
  <w:p>
    <w:pPr>
      <w:pStyle w:val="4"/>
      <w:pBdr>
        <w:bottom w:val="none" w:color="auto" w:sz="0" w:space="1"/>
      </w:pBdr>
      <w:rPr>
        <w:rFonts w:hint="eastAsia" w:ascii="仿宋" w:hAnsi="仿宋" w:eastAsia="仿宋" w:cs="仿宋"/>
        <w:sz w:val="32"/>
        <w:szCs w:val="32"/>
        <w:lang w:val="en-US" w:eastAsia="zh-CN"/>
      </w:rPr>
    </w:pPr>
  </w:p>
  <w:p>
    <w:pPr>
      <w:pStyle w:val="4"/>
      <w:pBdr>
        <w:bottom w:val="none" w:color="auto" w:sz="0" w:space="1"/>
      </w:pBd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eastAsia" w:ascii="仿宋" w:hAnsi="仿宋" w:eastAsia="仿宋" w:cs="仿宋"/>
        <w:sz w:val="32"/>
        <w:szCs w:val="32"/>
        <w:lang w:val="en-US" w:eastAsia="zh-CN"/>
      </w:rPr>
    </w:pPr>
  </w:p>
  <w:p>
    <w:pPr>
      <w:pStyle w:val="4"/>
      <w:pBdr>
        <w:bottom w:val="none" w:color="auto" w:sz="0" w:space="1"/>
      </w:pBdr>
      <w:rPr>
        <w:rFonts w:hint="eastAsia" w:ascii="仿宋" w:hAnsi="仿宋" w:eastAsia="仿宋" w:cs="仿宋"/>
        <w:sz w:val="32"/>
        <w:szCs w:val="32"/>
        <w:lang w:val="en-US" w:eastAsia="zh-CN"/>
      </w:rPr>
    </w:pPr>
  </w:p>
  <w:p>
    <w:pPr>
      <w:pStyle w:val="4"/>
      <w:pBdr>
        <w:bottom w:val="none" w:color="auto" w:sz="0" w:space="1"/>
      </w:pBd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41F9E8"/>
    <w:multiLevelType w:val="singleLevel"/>
    <w:tmpl w:val="E841F9E8"/>
    <w:lvl w:ilvl="0" w:tentative="0">
      <w:start w:val="2"/>
      <w:numFmt w:val="decimal"/>
      <w:suff w:val="space"/>
      <w:lvlText w:val="%1."/>
      <w:lvlJc w:val="left"/>
    </w:lvl>
  </w:abstractNum>
  <w:abstractNum w:abstractNumId="1">
    <w:nsid w:val="749EAF85"/>
    <w:multiLevelType w:val="singleLevel"/>
    <w:tmpl w:val="749EAF85"/>
    <w:lvl w:ilvl="0" w:tentative="0">
      <w:start w:val="1"/>
      <w:numFmt w:val="chineseCounting"/>
      <w:suff w:val="nothing"/>
      <w:lvlText w:val="%1、"/>
      <w:lvlJc w:val="left"/>
      <w:rPr>
        <w:rFonts w:hint="eastAsia"/>
      </w:rPr>
    </w:lvl>
  </w:abstractNum>
  <w:abstractNum w:abstractNumId="2">
    <w:nsid w:val="7D7CB9C7"/>
    <w:multiLevelType w:val="singleLevel"/>
    <w:tmpl w:val="7D7CB9C7"/>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25C66"/>
    <w:rsid w:val="017D69B6"/>
    <w:rsid w:val="019767E6"/>
    <w:rsid w:val="03063C15"/>
    <w:rsid w:val="03652B31"/>
    <w:rsid w:val="039118E9"/>
    <w:rsid w:val="04852D5F"/>
    <w:rsid w:val="051F0F71"/>
    <w:rsid w:val="0634030B"/>
    <w:rsid w:val="06436771"/>
    <w:rsid w:val="06A324A5"/>
    <w:rsid w:val="06B95BFB"/>
    <w:rsid w:val="07E92C02"/>
    <w:rsid w:val="08504B21"/>
    <w:rsid w:val="08D95BD8"/>
    <w:rsid w:val="08F66DFA"/>
    <w:rsid w:val="0946156F"/>
    <w:rsid w:val="09EE562B"/>
    <w:rsid w:val="0A0213C6"/>
    <w:rsid w:val="0A37399E"/>
    <w:rsid w:val="0A517B04"/>
    <w:rsid w:val="0A836192"/>
    <w:rsid w:val="0AD67381"/>
    <w:rsid w:val="0C6265D7"/>
    <w:rsid w:val="0DD8117F"/>
    <w:rsid w:val="0E3067F3"/>
    <w:rsid w:val="0E512DA8"/>
    <w:rsid w:val="0E5B1409"/>
    <w:rsid w:val="0E70664A"/>
    <w:rsid w:val="0F527F50"/>
    <w:rsid w:val="0F5D4C94"/>
    <w:rsid w:val="0F6D25C8"/>
    <w:rsid w:val="108B1605"/>
    <w:rsid w:val="10B95E39"/>
    <w:rsid w:val="12225C5F"/>
    <w:rsid w:val="134429B4"/>
    <w:rsid w:val="13F238FA"/>
    <w:rsid w:val="1451715D"/>
    <w:rsid w:val="16326EA5"/>
    <w:rsid w:val="16B670B9"/>
    <w:rsid w:val="16D87D47"/>
    <w:rsid w:val="184D3D33"/>
    <w:rsid w:val="18E06000"/>
    <w:rsid w:val="199F2D6F"/>
    <w:rsid w:val="1A086CCA"/>
    <w:rsid w:val="1A325C66"/>
    <w:rsid w:val="1A3A1860"/>
    <w:rsid w:val="1B692E5A"/>
    <w:rsid w:val="1B955647"/>
    <w:rsid w:val="1CFB6F92"/>
    <w:rsid w:val="1E2156EA"/>
    <w:rsid w:val="1E25372F"/>
    <w:rsid w:val="1EB40132"/>
    <w:rsid w:val="222A065D"/>
    <w:rsid w:val="225861D3"/>
    <w:rsid w:val="24552511"/>
    <w:rsid w:val="246F1D54"/>
    <w:rsid w:val="25C949B1"/>
    <w:rsid w:val="26973FA9"/>
    <w:rsid w:val="26A416F0"/>
    <w:rsid w:val="286547ED"/>
    <w:rsid w:val="2896269C"/>
    <w:rsid w:val="2A7A34B0"/>
    <w:rsid w:val="2C5F583E"/>
    <w:rsid w:val="2DCA4995"/>
    <w:rsid w:val="2DD11145"/>
    <w:rsid w:val="2E2A7128"/>
    <w:rsid w:val="2F7D3833"/>
    <w:rsid w:val="313B6FE8"/>
    <w:rsid w:val="31E00DD7"/>
    <w:rsid w:val="322F2234"/>
    <w:rsid w:val="323F051F"/>
    <w:rsid w:val="32665702"/>
    <w:rsid w:val="32702CA2"/>
    <w:rsid w:val="32CB78E0"/>
    <w:rsid w:val="339D1992"/>
    <w:rsid w:val="34513C9A"/>
    <w:rsid w:val="34AC131D"/>
    <w:rsid w:val="34BE3003"/>
    <w:rsid w:val="34E679F0"/>
    <w:rsid w:val="35502194"/>
    <w:rsid w:val="355E1BE4"/>
    <w:rsid w:val="35C63388"/>
    <w:rsid w:val="368673FD"/>
    <w:rsid w:val="36944D57"/>
    <w:rsid w:val="37DA2386"/>
    <w:rsid w:val="38386223"/>
    <w:rsid w:val="393F11A9"/>
    <w:rsid w:val="3A1C07E1"/>
    <w:rsid w:val="3A2A7510"/>
    <w:rsid w:val="3A3D0CF1"/>
    <w:rsid w:val="3A4B06E4"/>
    <w:rsid w:val="3A564AD4"/>
    <w:rsid w:val="3A76395A"/>
    <w:rsid w:val="3B1A6D54"/>
    <w:rsid w:val="3D092BC4"/>
    <w:rsid w:val="3D560E93"/>
    <w:rsid w:val="3DD219C7"/>
    <w:rsid w:val="3E6A051E"/>
    <w:rsid w:val="406C57AA"/>
    <w:rsid w:val="408C111E"/>
    <w:rsid w:val="41636393"/>
    <w:rsid w:val="41CD6BE6"/>
    <w:rsid w:val="41DA6513"/>
    <w:rsid w:val="41F7604C"/>
    <w:rsid w:val="429D0CE0"/>
    <w:rsid w:val="42EF6B3E"/>
    <w:rsid w:val="436123F8"/>
    <w:rsid w:val="43A556B9"/>
    <w:rsid w:val="43BC7D42"/>
    <w:rsid w:val="45182404"/>
    <w:rsid w:val="46DD193E"/>
    <w:rsid w:val="487A6C1F"/>
    <w:rsid w:val="488062DA"/>
    <w:rsid w:val="4A1326E6"/>
    <w:rsid w:val="4A710C81"/>
    <w:rsid w:val="4AB56C64"/>
    <w:rsid w:val="4B5531BD"/>
    <w:rsid w:val="4DDA0A52"/>
    <w:rsid w:val="4E5C3C0A"/>
    <w:rsid w:val="4F2E258C"/>
    <w:rsid w:val="4FBC5861"/>
    <w:rsid w:val="51137E40"/>
    <w:rsid w:val="516073F0"/>
    <w:rsid w:val="52A05ABD"/>
    <w:rsid w:val="52A432D8"/>
    <w:rsid w:val="52DC426E"/>
    <w:rsid w:val="52DD1BCA"/>
    <w:rsid w:val="5342050E"/>
    <w:rsid w:val="53D33DDB"/>
    <w:rsid w:val="54120FB4"/>
    <w:rsid w:val="5490781C"/>
    <w:rsid w:val="5559324E"/>
    <w:rsid w:val="561E1D6C"/>
    <w:rsid w:val="566C1534"/>
    <w:rsid w:val="56EF7748"/>
    <w:rsid w:val="595D3D67"/>
    <w:rsid w:val="5964399C"/>
    <w:rsid w:val="598063D7"/>
    <w:rsid w:val="5A597848"/>
    <w:rsid w:val="5C1A2469"/>
    <w:rsid w:val="5C8E7637"/>
    <w:rsid w:val="5D8C3376"/>
    <w:rsid w:val="5EB15F92"/>
    <w:rsid w:val="5F040F3F"/>
    <w:rsid w:val="5F391745"/>
    <w:rsid w:val="5F6E4D54"/>
    <w:rsid w:val="5FAD5856"/>
    <w:rsid w:val="5FAE0FFC"/>
    <w:rsid w:val="605038BF"/>
    <w:rsid w:val="6074124B"/>
    <w:rsid w:val="609130CD"/>
    <w:rsid w:val="625A1BB7"/>
    <w:rsid w:val="62C71A4E"/>
    <w:rsid w:val="62F567A0"/>
    <w:rsid w:val="63FE6A4F"/>
    <w:rsid w:val="64330B7E"/>
    <w:rsid w:val="651B38E0"/>
    <w:rsid w:val="67D67E60"/>
    <w:rsid w:val="68130E98"/>
    <w:rsid w:val="68510A6C"/>
    <w:rsid w:val="68DE16AF"/>
    <w:rsid w:val="6AF75718"/>
    <w:rsid w:val="6B140D87"/>
    <w:rsid w:val="6B371981"/>
    <w:rsid w:val="6B4B203A"/>
    <w:rsid w:val="6BE50DDC"/>
    <w:rsid w:val="6C7D3593"/>
    <w:rsid w:val="6D503AAB"/>
    <w:rsid w:val="6DAB1791"/>
    <w:rsid w:val="6DF3619C"/>
    <w:rsid w:val="70380DB9"/>
    <w:rsid w:val="71D300A1"/>
    <w:rsid w:val="7263342A"/>
    <w:rsid w:val="72AB2A96"/>
    <w:rsid w:val="73A7351A"/>
    <w:rsid w:val="740B56E0"/>
    <w:rsid w:val="747F116A"/>
    <w:rsid w:val="749F2D29"/>
    <w:rsid w:val="74E23570"/>
    <w:rsid w:val="75F62E30"/>
    <w:rsid w:val="762B5DCA"/>
    <w:rsid w:val="766A32AD"/>
    <w:rsid w:val="77A7389D"/>
    <w:rsid w:val="78F93930"/>
    <w:rsid w:val="79141D68"/>
    <w:rsid w:val="7933739F"/>
    <w:rsid w:val="79F45581"/>
    <w:rsid w:val="7A5D545D"/>
    <w:rsid w:val="7A6F54E5"/>
    <w:rsid w:val="7AD11447"/>
    <w:rsid w:val="7AEF4019"/>
    <w:rsid w:val="7C4B1A1C"/>
    <w:rsid w:val="7C6221C8"/>
    <w:rsid w:val="7F021DF5"/>
    <w:rsid w:val="7F404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jc w:val="left"/>
    </w:pPr>
    <w:rPr>
      <w:rFonts w:ascii="微软雅黑" w:hAnsi="微软雅黑" w:cs="宋体"/>
      <w:kern w:val="0"/>
      <w:sz w:val="24"/>
    </w:rPr>
  </w:style>
  <w:style w:type="character" w:styleId="8">
    <w:name w:val="annotation reference"/>
    <w:basedOn w:val="7"/>
    <w:qFormat/>
    <w:uiPriority w:val="0"/>
    <w:rPr>
      <w:sz w:val="21"/>
      <w:szCs w:val="21"/>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2020-05-07T07:35:00Z</dcterms:created>
  <dc:creator>lenovo</dc:creator>
  <cp:lastModifiedBy>lenovo</cp:lastModifiedBy>
  <dcterms:modified xsi:type="dcterms:W3CDTF">2020-06-02T03:38:30Z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