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附件1</w:t>
      </w:r>
    </w:p>
    <w:p>
      <w:pPr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部门整体支出绩效自评表</w:t>
      </w:r>
    </w:p>
    <w:p>
      <w:pPr>
        <w:jc w:val="center"/>
        <w:rPr>
          <w:rFonts w:eastAsia="仿宋_GB2312"/>
          <w:szCs w:val="21"/>
        </w:rPr>
      </w:pPr>
      <w:r>
        <w:rPr>
          <w:rFonts w:eastAsia="仿宋_GB2312"/>
          <w:szCs w:val="21"/>
        </w:rPr>
        <w:t>（</w:t>
      </w:r>
      <w:r>
        <w:rPr>
          <w:rFonts w:hint="eastAsia" w:eastAsia="仿宋_GB2312"/>
          <w:szCs w:val="21"/>
        </w:rPr>
        <w:t>2019</w:t>
      </w:r>
      <w:r>
        <w:rPr>
          <w:rFonts w:eastAsia="仿宋_GB2312"/>
          <w:szCs w:val="21"/>
        </w:rPr>
        <w:t xml:space="preserve"> 年度）</w:t>
      </w:r>
      <w:bookmarkStart w:id="0" w:name="_GoBack"/>
      <w:bookmarkEnd w:id="0"/>
    </w:p>
    <w:tbl>
      <w:tblPr>
        <w:tblStyle w:val="2"/>
        <w:tblW w:w="94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355"/>
        <w:gridCol w:w="1194"/>
        <w:gridCol w:w="1079"/>
        <w:gridCol w:w="91"/>
        <w:gridCol w:w="1146"/>
        <w:gridCol w:w="1084"/>
        <w:gridCol w:w="697"/>
        <w:gridCol w:w="865"/>
        <w:gridCol w:w="12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预算部门名称</w:t>
            </w:r>
          </w:p>
        </w:tc>
        <w:tc>
          <w:tcPr>
            <w:tcW w:w="8785" w:type="dxa"/>
            <w:gridSpan w:val="9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  <w:lang w:eastAsia="zh-CN"/>
              </w:rPr>
              <w:t>衡阳市园林绿化服务中心</w:t>
            </w: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年度预算申请</w:t>
            </w:r>
            <w:r>
              <w:rPr>
                <w:rFonts w:eastAsia="仿宋"/>
                <w:szCs w:val="21"/>
              </w:rPr>
              <w:br w:type="textWrapping"/>
            </w:r>
            <w:r>
              <w:rPr>
                <w:rFonts w:eastAsia="仿宋"/>
                <w:szCs w:val="21"/>
              </w:rPr>
              <w:t>（万元）</w:t>
            </w:r>
          </w:p>
        </w:tc>
        <w:tc>
          <w:tcPr>
            <w:tcW w:w="2549" w:type="dxa"/>
            <w:gridSpan w:val="2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年初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预算数</w:t>
            </w:r>
          </w:p>
        </w:tc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全年预算数</w:t>
            </w: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全年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执行数</w:t>
            </w: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分值</w:t>
            </w:r>
          </w:p>
        </w:tc>
        <w:tc>
          <w:tcPr>
            <w:tcW w:w="865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执行率</w:t>
            </w: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2549" w:type="dxa"/>
            <w:gridSpan w:val="2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年度资金总额</w:t>
            </w:r>
          </w:p>
        </w:tc>
        <w:tc>
          <w:tcPr>
            <w:tcW w:w="1079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37" w:type="dxa"/>
            <w:gridSpan w:val="2"/>
            <w:vAlign w:val="center"/>
          </w:tcPr>
          <w:p>
            <w:pPr>
              <w:jc w:val="center"/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hint="eastAsia" w:eastAsia="仿宋"/>
                <w:szCs w:val="21"/>
                <w:lang w:val="en-US" w:eastAsia="zh-CN"/>
              </w:rPr>
              <w:t>3742.74</w:t>
            </w:r>
          </w:p>
        </w:tc>
        <w:tc>
          <w:tcPr>
            <w:tcW w:w="1084" w:type="dxa"/>
            <w:vAlign w:val="center"/>
          </w:tcPr>
          <w:p>
            <w:pPr>
              <w:jc w:val="center"/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hint="eastAsia" w:eastAsia="仿宋"/>
                <w:szCs w:val="21"/>
                <w:lang w:val="en-US" w:eastAsia="zh-CN"/>
              </w:rPr>
              <w:t>6064.62</w:t>
            </w: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10</w:t>
            </w:r>
          </w:p>
        </w:tc>
        <w:tc>
          <w:tcPr>
            <w:tcW w:w="865" w:type="dxa"/>
            <w:vAlign w:val="center"/>
          </w:tcPr>
          <w:p>
            <w:pPr>
              <w:jc w:val="center"/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hint="eastAsia" w:eastAsia="仿宋"/>
                <w:szCs w:val="21"/>
                <w:lang w:val="en-US" w:eastAsia="zh-CN"/>
              </w:rPr>
              <w:t>100%</w:t>
            </w:r>
          </w:p>
        </w:tc>
        <w:tc>
          <w:tcPr>
            <w:tcW w:w="1274" w:type="dxa"/>
            <w:vAlign w:val="center"/>
          </w:tcPr>
          <w:p>
            <w:pPr>
              <w:jc w:val="center"/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hint="eastAsia" w:eastAsia="仿宋"/>
                <w:szCs w:val="21"/>
                <w:lang w:val="en-US" w:eastAsia="zh-CN"/>
              </w:rPr>
              <w:t>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按收入性质分：</w:t>
            </w:r>
          </w:p>
        </w:tc>
        <w:tc>
          <w:tcPr>
            <w:tcW w:w="3920" w:type="dxa"/>
            <w:gridSpan w:val="4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按支出性质分：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>
            <w:pPr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</w:rPr>
              <w:t xml:space="preserve">  其中：  一般公共预算：</w:t>
            </w:r>
            <w:r>
              <w:rPr>
                <w:rFonts w:hint="eastAsia" w:eastAsia="仿宋"/>
                <w:szCs w:val="21"/>
                <w:lang w:val="en-US" w:eastAsia="zh-CN"/>
              </w:rPr>
              <w:t>6596.70</w:t>
            </w:r>
          </w:p>
        </w:tc>
        <w:tc>
          <w:tcPr>
            <w:tcW w:w="3920" w:type="dxa"/>
            <w:gridSpan w:val="4"/>
            <w:vAlign w:val="center"/>
          </w:tcPr>
          <w:p>
            <w:pPr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</w:rPr>
              <w:t>其中：基本支出：</w:t>
            </w:r>
            <w:r>
              <w:rPr>
                <w:rFonts w:hint="eastAsia" w:eastAsia="仿宋"/>
                <w:szCs w:val="21"/>
                <w:lang w:val="en-US" w:eastAsia="zh-CN"/>
              </w:rPr>
              <w:t>3952.55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>
            <w:pPr>
              <w:ind w:firstLine="880" w:firstLineChars="40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政府性基金拨款：</w:t>
            </w:r>
          </w:p>
        </w:tc>
        <w:tc>
          <w:tcPr>
            <w:tcW w:w="3920" w:type="dxa"/>
            <w:gridSpan w:val="4"/>
            <w:vAlign w:val="center"/>
          </w:tcPr>
          <w:p>
            <w:pPr>
              <w:ind w:firstLine="660" w:firstLineChars="300"/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</w:rPr>
              <w:t>项目支出</w:t>
            </w:r>
            <w:r>
              <w:rPr>
                <w:rFonts w:hint="eastAsia" w:eastAsia="仿宋"/>
                <w:szCs w:val="21"/>
                <w:lang w:eastAsia="zh-CN"/>
              </w:rPr>
              <w:t>：</w:t>
            </w:r>
            <w:r>
              <w:rPr>
                <w:rFonts w:hint="eastAsia" w:eastAsia="仿宋"/>
                <w:szCs w:val="21"/>
                <w:lang w:val="en-US" w:eastAsia="zh-CN"/>
              </w:rPr>
              <w:t>2112.07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>
            <w:pPr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</w:rPr>
              <w:t>纳入专户管理的非税收入拨款：</w:t>
            </w:r>
            <w:r>
              <w:rPr>
                <w:rFonts w:hint="eastAsia" w:eastAsia="仿宋"/>
                <w:szCs w:val="21"/>
                <w:lang w:val="en-US" w:eastAsia="zh-CN"/>
              </w:rPr>
              <w:t>453.78</w:t>
            </w:r>
          </w:p>
        </w:tc>
        <w:tc>
          <w:tcPr>
            <w:tcW w:w="3920" w:type="dxa"/>
            <w:gridSpan w:val="4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>
            <w:pPr>
              <w:ind w:firstLine="1540" w:firstLineChars="70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其他资金：</w:t>
            </w:r>
          </w:p>
        </w:tc>
        <w:tc>
          <w:tcPr>
            <w:tcW w:w="3920" w:type="dxa"/>
            <w:gridSpan w:val="4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年度总体目标</w:t>
            </w:r>
          </w:p>
        </w:tc>
        <w:tc>
          <w:tcPr>
            <w:tcW w:w="4865" w:type="dxa"/>
            <w:gridSpan w:val="5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预期目标</w:t>
            </w:r>
          </w:p>
        </w:tc>
        <w:tc>
          <w:tcPr>
            <w:tcW w:w="3920" w:type="dxa"/>
            <w:gridSpan w:val="4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4865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hint="eastAsia" w:eastAsia="仿宋"/>
                <w:szCs w:val="21"/>
                <w:lang w:val="en-US" w:eastAsia="zh-CN"/>
              </w:rPr>
            </w:pPr>
            <w:r>
              <w:rPr>
                <w:rFonts w:hint="eastAsia" w:eastAsia="仿宋"/>
                <w:szCs w:val="21"/>
                <w:lang w:val="en-US" w:eastAsia="zh-CN"/>
              </w:rPr>
              <w:t>保证全园林系统职工工资的正常发放</w:t>
            </w:r>
          </w:p>
          <w:p>
            <w:pPr>
              <w:numPr>
                <w:ilvl w:val="0"/>
                <w:numId w:val="1"/>
              </w:numPr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  <w:lang w:eastAsia="zh-CN"/>
              </w:rPr>
              <w:t>保证全园林系统正常的生产、生活</w:t>
            </w:r>
          </w:p>
          <w:p>
            <w:pPr>
              <w:numPr>
                <w:ilvl w:val="0"/>
                <w:numId w:val="1"/>
              </w:numPr>
              <w:jc w:val="center"/>
              <w:rPr>
                <w:rFonts w:eastAsia="仿宋"/>
                <w:szCs w:val="21"/>
              </w:rPr>
            </w:pPr>
            <w:r>
              <w:rPr>
                <w:rFonts w:hint="eastAsia" w:eastAsia="仿宋"/>
                <w:szCs w:val="21"/>
                <w:lang w:eastAsia="zh-CN"/>
              </w:rPr>
              <w:t>做好城市公共绿地、公园、广场的维护工作</w:t>
            </w:r>
            <w:r>
              <w:rPr>
                <w:rFonts w:eastAsia="仿宋"/>
                <w:szCs w:val="21"/>
              </w:rPr>
              <w:t>　　</w:t>
            </w:r>
          </w:p>
        </w:tc>
        <w:tc>
          <w:tcPr>
            <w:tcW w:w="3920" w:type="dxa"/>
            <w:gridSpan w:val="4"/>
            <w:vAlign w:val="center"/>
          </w:tcPr>
          <w:p>
            <w:pPr>
              <w:rPr>
                <w:rFonts w:hint="eastAsia"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eastAsia="仿宋"/>
                <w:szCs w:val="21"/>
                <w:lang w:eastAsia="zh-CN"/>
              </w:rPr>
              <w:t>全面完成全年计划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636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绩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效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标</w:t>
            </w:r>
          </w:p>
        </w:tc>
        <w:tc>
          <w:tcPr>
            <w:tcW w:w="1355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一级指标</w:t>
            </w:r>
          </w:p>
        </w:tc>
        <w:tc>
          <w:tcPr>
            <w:tcW w:w="1194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二级指标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三级指标</w:t>
            </w:r>
          </w:p>
        </w:tc>
        <w:tc>
          <w:tcPr>
            <w:tcW w:w="1146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年度</w:t>
            </w:r>
          </w:p>
          <w:p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指标值</w:t>
            </w:r>
          </w:p>
        </w:tc>
        <w:tc>
          <w:tcPr>
            <w:tcW w:w="1084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实际</w:t>
            </w:r>
          </w:p>
          <w:p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完成值</w:t>
            </w:r>
          </w:p>
        </w:tc>
        <w:tc>
          <w:tcPr>
            <w:tcW w:w="697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分值</w:t>
            </w:r>
          </w:p>
        </w:tc>
        <w:tc>
          <w:tcPr>
            <w:tcW w:w="865" w:type="dxa"/>
            <w:vAlign w:val="center"/>
          </w:tcPr>
          <w:p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得分</w:t>
            </w:r>
          </w:p>
        </w:tc>
        <w:tc>
          <w:tcPr>
            <w:tcW w:w="1274" w:type="dxa"/>
          </w:tcPr>
          <w:p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偏差原因</w:t>
            </w:r>
          </w:p>
          <w:p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分析及</w:t>
            </w:r>
          </w:p>
          <w:p>
            <w:pPr>
              <w:spacing w:line="240" w:lineRule="exact"/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产出指标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(50分)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数量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>
            <w:pPr>
              <w:widowControl w:val="0"/>
              <w:spacing w:line="360" w:lineRule="exact"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"/>
                <w:szCs w:val="21"/>
                <w:lang w:eastAsia="zh-CN"/>
              </w:rPr>
              <w:t>主次干道公共绿地、公园、广场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eastAsia="仿宋"/>
                <w:szCs w:val="21"/>
                <w:lang w:eastAsia="zh-CN"/>
              </w:rPr>
              <w:t>主次干道公共绿地、公园、广场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bottom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质量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bottom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/>
                <w:sz w:val="21"/>
                <w:szCs w:val="21"/>
                <w:lang w:eastAsia="zh-CN"/>
              </w:rPr>
              <w:t>考评合格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ascii="仿宋_GB2312" w:hAnsi="仿宋_GB2312" w:eastAsia="仿宋_GB2312"/>
                <w:sz w:val="21"/>
                <w:szCs w:val="21"/>
                <w:lang w:eastAsia="zh-CN"/>
              </w:rPr>
              <w:t>考评合格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时效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完成全年维护计划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完成全年维护计划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成本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存在较大资金缺口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效益指标</w:t>
            </w:r>
          </w:p>
          <w:p>
            <w:pPr>
              <w:ind w:firstLine="220" w:firstLineChars="100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（30分）　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经济效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益指标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eastAsia="仿宋"/>
                <w:szCs w:val="21"/>
                <w:lang w:eastAsia="zh-CN"/>
              </w:rPr>
              <w:t>无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hint="eastAsia"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eastAsia="仿宋"/>
                <w:szCs w:val="21"/>
                <w:lang w:eastAsia="zh-CN"/>
              </w:rPr>
              <w:t>无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社会效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益指标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提升城市形象，维护城市公园绿地，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美化环境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提升城市形象，维护城市公园绿地，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美化环境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生态效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益指标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提升城市形象，维护城市公园绿地，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美化环境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lang w:eastAsia="zh-CN"/>
              </w:rPr>
              <w:t>提升城市形象，维护城市公园绿地，</w:t>
            </w:r>
            <w:r>
              <w:rPr>
                <w:rFonts w:hint="eastAsia" w:ascii="仿宋" w:hAnsi="仿宋" w:eastAsia="仿宋" w:cs="仿宋"/>
                <w:kern w:val="0"/>
                <w:sz w:val="21"/>
                <w:szCs w:val="21"/>
              </w:rPr>
              <w:t>美化环境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可持续影响指标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eastAsia="仿宋"/>
                <w:szCs w:val="21"/>
                <w:lang w:eastAsia="zh-CN"/>
              </w:rPr>
              <w:t>可持续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hint="eastAsia"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eastAsia="仿宋"/>
                <w:szCs w:val="21"/>
                <w:lang w:eastAsia="zh-CN"/>
              </w:rPr>
              <w:t>可持续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满意度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指标</w:t>
            </w:r>
          </w:p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（10分）</w:t>
            </w:r>
          </w:p>
        </w:tc>
        <w:tc>
          <w:tcPr>
            <w:tcW w:w="1194" w:type="dxa"/>
            <w:vMerge w:val="restart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服务对象满意度指标</w:t>
            </w: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46" w:type="dxa"/>
            <w:vAlign w:val="center"/>
          </w:tcPr>
          <w:p>
            <w:pPr>
              <w:rPr>
                <w:rFonts w:hint="eastAsia"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eastAsia="仿宋"/>
                <w:szCs w:val="21"/>
                <w:lang w:eastAsia="zh-CN"/>
              </w:rPr>
              <w:t>满意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hint="eastAsia"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eastAsia="仿宋"/>
                <w:szCs w:val="21"/>
                <w:lang w:eastAsia="zh-CN"/>
              </w:rPr>
              <w:t>满意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36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355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94" w:type="dxa"/>
            <w:vMerge w:val="continue"/>
            <w:vAlign w:val="center"/>
          </w:tcPr>
          <w:p>
            <w:pPr>
              <w:rPr>
                <w:rFonts w:eastAsia="仿宋"/>
                <w:szCs w:val="21"/>
              </w:rPr>
            </w:pPr>
          </w:p>
        </w:tc>
        <w:tc>
          <w:tcPr>
            <w:tcW w:w="1170" w:type="dxa"/>
            <w:gridSpan w:val="2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……</w:t>
            </w:r>
          </w:p>
        </w:tc>
        <w:tc>
          <w:tcPr>
            <w:tcW w:w="1146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08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697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585" w:type="dxa"/>
            <w:gridSpan w:val="7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总分</w:t>
            </w:r>
          </w:p>
        </w:tc>
        <w:tc>
          <w:tcPr>
            <w:tcW w:w="697" w:type="dxa"/>
            <w:vAlign w:val="center"/>
          </w:tcPr>
          <w:p>
            <w:pPr>
              <w:jc w:val="center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100</w:t>
            </w:r>
          </w:p>
        </w:tc>
        <w:tc>
          <w:tcPr>
            <w:tcW w:w="865" w:type="dxa"/>
            <w:vAlign w:val="center"/>
          </w:tcPr>
          <w:p>
            <w:pPr>
              <w:rPr>
                <w:rFonts w:hint="default"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</w:rPr>
              <w:t>　</w:t>
            </w:r>
            <w:r>
              <w:rPr>
                <w:rFonts w:hint="eastAsia" w:eastAsia="仿宋"/>
                <w:szCs w:val="21"/>
                <w:lang w:val="en-US" w:eastAsia="zh-CN"/>
              </w:rPr>
              <w:t>93</w:t>
            </w:r>
          </w:p>
        </w:tc>
        <w:tc>
          <w:tcPr>
            <w:tcW w:w="1274" w:type="dxa"/>
            <w:vAlign w:val="center"/>
          </w:tcPr>
          <w:p>
            <w:pPr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</w:rPr>
              <w:t>　</w:t>
            </w:r>
          </w:p>
        </w:tc>
      </w:tr>
    </w:tbl>
    <w:p>
      <w:pPr>
        <w:rPr>
          <w:rFonts w:eastAsia="黑体"/>
          <w:sz w:val="32"/>
          <w:szCs w:val="32"/>
        </w:rPr>
      </w:pP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altName w:val="SimSun-ExtB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3EB1B"/>
    <w:multiLevelType w:val="singleLevel"/>
    <w:tmpl w:val="6843EB1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4619E6"/>
    <w:rsid w:val="006D33B8"/>
    <w:rsid w:val="008B7726"/>
    <w:rsid w:val="00D31D50"/>
    <w:rsid w:val="35433066"/>
    <w:rsid w:val="66B8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104</Words>
  <Characters>596</Characters>
  <Lines>4</Lines>
  <Paragraphs>1</Paragraphs>
  <TotalTime>0</TotalTime>
  <ScaleCrop>false</ScaleCrop>
  <LinksUpToDate>false</LinksUpToDate>
  <CharactersWithSpaces>699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2020-09-24T03:19:03Z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