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60" w:rsidRDefault="00A058A7">
      <w:pPr>
        <w:spacing w:line="4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:rsidR="00894660" w:rsidRDefault="00A058A7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部门整体支出绩效自评表</w:t>
      </w:r>
    </w:p>
    <w:p w:rsidR="00894660" w:rsidRDefault="00A058A7">
      <w:pPr>
        <w:jc w:val="center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eastAsia="仿宋_GB2312" w:hint="eastAsia"/>
          <w:szCs w:val="21"/>
        </w:rPr>
        <w:t>2019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年度）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6"/>
        <w:gridCol w:w="646"/>
        <w:gridCol w:w="851"/>
        <w:gridCol w:w="2131"/>
        <w:gridCol w:w="1129"/>
        <w:gridCol w:w="851"/>
        <w:gridCol w:w="850"/>
        <w:gridCol w:w="567"/>
        <w:gridCol w:w="486"/>
        <w:gridCol w:w="454"/>
      </w:tblGrid>
      <w:tr w:rsidR="00894660" w:rsidTr="00912B5B">
        <w:trPr>
          <w:trHeight w:val="340"/>
          <w:jc w:val="center"/>
        </w:trPr>
        <w:tc>
          <w:tcPr>
            <w:tcW w:w="636" w:type="dxa"/>
            <w:vAlign w:val="center"/>
          </w:tcPr>
          <w:p w:rsidR="00894660" w:rsidRDefault="00A058A7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预算部门名称</w:t>
            </w:r>
          </w:p>
        </w:tc>
        <w:tc>
          <w:tcPr>
            <w:tcW w:w="7965" w:type="dxa"/>
            <w:gridSpan w:val="9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衡阳市城市管理和综合执法局</w:t>
            </w: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Tr="00912B5B">
        <w:trPr>
          <w:trHeight w:val="340"/>
          <w:jc w:val="center"/>
        </w:trPr>
        <w:tc>
          <w:tcPr>
            <w:tcW w:w="636" w:type="dxa"/>
            <w:vMerge w:val="restart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年度预算申请</w:t>
            </w:r>
            <w:r>
              <w:rPr>
                <w:rFonts w:eastAsia="仿宋"/>
                <w:szCs w:val="21"/>
              </w:rPr>
              <w:br/>
            </w:r>
            <w:r>
              <w:rPr>
                <w:rFonts w:eastAsia="仿宋"/>
                <w:szCs w:val="21"/>
              </w:rPr>
              <w:t>（万元）</w:t>
            </w:r>
          </w:p>
        </w:tc>
        <w:tc>
          <w:tcPr>
            <w:tcW w:w="1497" w:type="dxa"/>
            <w:gridSpan w:val="2"/>
            <w:vAlign w:val="center"/>
          </w:tcPr>
          <w:p w:rsidR="00894660" w:rsidRDefault="0089466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年初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预算数</w:t>
            </w:r>
          </w:p>
        </w:tc>
        <w:tc>
          <w:tcPr>
            <w:tcW w:w="1980" w:type="dxa"/>
            <w:gridSpan w:val="2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全年预算数</w:t>
            </w:r>
          </w:p>
        </w:tc>
        <w:tc>
          <w:tcPr>
            <w:tcW w:w="850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全年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执行数</w:t>
            </w:r>
          </w:p>
        </w:tc>
        <w:tc>
          <w:tcPr>
            <w:tcW w:w="567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分值</w:t>
            </w:r>
          </w:p>
        </w:tc>
        <w:tc>
          <w:tcPr>
            <w:tcW w:w="486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执行率</w:t>
            </w:r>
          </w:p>
        </w:tc>
        <w:tc>
          <w:tcPr>
            <w:tcW w:w="454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得分</w:t>
            </w:r>
          </w:p>
        </w:tc>
      </w:tr>
      <w:tr w:rsidR="00894660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年度资金总额</w:t>
            </w:r>
          </w:p>
        </w:tc>
        <w:tc>
          <w:tcPr>
            <w:tcW w:w="213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734.23</w:t>
            </w:r>
          </w:p>
        </w:tc>
        <w:tc>
          <w:tcPr>
            <w:tcW w:w="1980" w:type="dxa"/>
            <w:gridSpan w:val="2"/>
            <w:vAlign w:val="center"/>
          </w:tcPr>
          <w:p w:rsidR="00894660" w:rsidRDefault="00A502D1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7258.15</w:t>
            </w:r>
          </w:p>
        </w:tc>
        <w:tc>
          <w:tcPr>
            <w:tcW w:w="850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6469.4</w:t>
            </w:r>
          </w:p>
        </w:tc>
        <w:tc>
          <w:tcPr>
            <w:tcW w:w="567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10</w:t>
            </w:r>
          </w:p>
        </w:tc>
        <w:tc>
          <w:tcPr>
            <w:tcW w:w="486" w:type="dxa"/>
            <w:vAlign w:val="center"/>
          </w:tcPr>
          <w:p w:rsidR="00894660" w:rsidRDefault="00E67598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100%</w:t>
            </w:r>
          </w:p>
        </w:tc>
        <w:tc>
          <w:tcPr>
            <w:tcW w:w="454" w:type="dxa"/>
            <w:vAlign w:val="center"/>
          </w:tcPr>
          <w:p w:rsidR="00894660" w:rsidRDefault="00E67598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10</w:t>
            </w:r>
          </w:p>
        </w:tc>
      </w:tr>
      <w:tr w:rsidR="00894660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rPr>
                <w:rFonts w:eastAsia="仿宋"/>
                <w:szCs w:val="21"/>
              </w:rPr>
            </w:pPr>
          </w:p>
        </w:tc>
        <w:tc>
          <w:tcPr>
            <w:tcW w:w="5608" w:type="dxa"/>
            <w:gridSpan w:val="5"/>
            <w:vAlign w:val="center"/>
          </w:tcPr>
          <w:p w:rsidR="00894660" w:rsidRDefault="00A058A7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按收入性质分：</w:t>
            </w:r>
          </w:p>
        </w:tc>
        <w:tc>
          <w:tcPr>
            <w:tcW w:w="2357" w:type="dxa"/>
            <w:gridSpan w:val="4"/>
            <w:vAlign w:val="center"/>
          </w:tcPr>
          <w:p w:rsidR="00894660" w:rsidRDefault="00A058A7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按支出性质分：</w:t>
            </w:r>
          </w:p>
        </w:tc>
      </w:tr>
      <w:tr w:rsidR="00894660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rPr>
                <w:rFonts w:eastAsia="仿宋"/>
                <w:szCs w:val="21"/>
              </w:rPr>
            </w:pPr>
          </w:p>
        </w:tc>
        <w:tc>
          <w:tcPr>
            <w:tcW w:w="5608" w:type="dxa"/>
            <w:gridSpan w:val="5"/>
            <w:vAlign w:val="center"/>
          </w:tcPr>
          <w:p w:rsidR="00894660" w:rsidRDefault="00A058A7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其中：</w:t>
            </w:r>
            <w:r>
              <w:rPr>
                <w:rFonts w:eastAsia="仿宋"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一般公共预算：</w:t>
            </w:r>
            <w:r>
              <w:rPr>
                <w:rFonts w:eastAsia="仿宋" w:hint="eastAsia"/>
                <w:szCs w:val="21"/>
              </w:rPr>
              <w:t>6146.72</w:t>
            </w:r>
          </w:p>
        </w:tc>
        <w:tc>
          <w:tcPr>
            <w:tcW w:w="2357" w:type="dxa"/>
            <w:gridSpan w:val="4"/>
            <w:vAlign w:val="center"/>
          </w:tcPr>
          <w:p w:rsidR="00894660" w:rsidRDefault="00A058A7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其中：基本支出：</w:t>
            </w:r>
            <w:r>
              <w:rPr>
                <w:rFonts w:eastAsia="仿宋" w:hint="eastAsia"/>
                <w:szCs w:val="21"/>
              </w:rPr>
              <w:t>913.83</w:t>
            </w:r>
          </w:p>
        </w:tc>
      </w:tr>
      <w:tr w:rsidR="00894660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rPr>
                <w:rFonts w:eastAsia="仿宋"/>
                <w:szCs w:val="21"/>
              </w:rPr>
            </w:pPr>
          </w:p>
        </w:tc>
        <w:tc>
          <w:tcPr>
            <w:tcW w:w="5608" w:type="dxa"/>
            <w:gridSpan w:val="5"/>
            <w:vAlign w:val="center"/>
          </w:tcPr>
          <w:p w:rsidR="00894660" w:rsidRDefault="00A058A7">
            <w:pPr>
              <w:ind w:firstLineChars="400" w:firstLine="88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政府性基金拨款：</w:t>
            </w:r>
            <w:r>
              <w:rPr>
                <w:rFonts w:eastAsia="仿宋" w:hint="eastAsia"/>
                <w:szCs w:val="21"/>
              </w:rPr>
              <w:t>1075.23</w:t>
            </w:r>
          </w:p>
        </w:tc>
        <w:tc>
          <w:tcPr>
            <w:tcW w:w="2357" w:type="dxa"/>
            <w:gridSpan w:val="4"/>
            <w:vAlign w:val="center"/>
          </w:tcPr>
          <w:p w:rsidR="00894660" w:rsidRDefault="00A058A7">
            <w:pPr>
              <w:ind w:firstLineChars="300" w:firstLine="66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项目支出：</w:t>
            </w:r>
            <w:r>
              <w:rPr>
                <w:rFonts w:eastAsia="仿宋" w:hint="eastAsia"/>
                <w:szCs w:val="21"/>
              </w:rPr>
              <w:t>5555.58</w:t>
            </w:r>
          </w:p>
        </w:tc>
      </w:tr>
      <w:tr w:rsidR="00894660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rPr>
                <w:rFonts w:eastAsia="仿宋"/>
                <w:szCs w:val="21"/>
              </w:rPr>
            </w:pPr>
          </w:p>
        </w:tc>
        <w:tc>
          <w:tcPr>
            <w:tcW w:w="5608" w:type="dxa"/>
            <w:gridSpan w:val="5"/>
            <w:vAlign w:val="center"/>
          </w:tcPr>
          <w:p w:rsidR="00894660" w:rsidRDefault="00A058A7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纳入专户管理的非税收入拨款：</w:t>
            </w:r>
          </w:p>
        </w:tc>
        <w:tc>
          <w:tcPr>
            <w:tcW w:w="2357" w:type="dxa"/>
            <w:gridSpan w:val="4"/>
            <w:vAlign w:val="center"/>
          </w:tcPr>
          <w:p w:rsidR="00894660" w:rsidRDefault="00894660">
            <w:pPr>
              <w:rPr>
                <w:rFonts w:eastAsia="仿宋"/>
                <w:szCs w:val="21"/>
              </w:rPr>
            </w:pPr>
          </w:p>
        </w:tc>
      </w:tr>
      <w:tr w:rsidR="00894660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rPr>
                <w:rFonts w:eastAsia="仿宋"/>
                <w:szCs w:val="21"/>
              </w:rPr>
            </w:pPr>
          </w:p>
        </w:tc>
        <w:tc>
          <w:tcPr>
            <w:tcW w:w="5608" w:type="dxa"/>
            <w:gridSpan w:val="5"/>
            <w:vAlign w:val="center"/>
          </w:tcPr>
          <w:p w:rsidR="00894660" w:rsidRDefault="00A058A7">
            <w:pPr>
              <w:ind w:firstLineChars="700" w:firstLine="154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其他资金：</w:t>
            </w:r>
            <w:r>
              <w:rPr>
                <w:rFonts w:eastAsia="仿宋" w:hint="eastAsia"/>
                <w:szCs w:val="21"/>
              </w:rPr>
              <w:t>36.2</w:t>
            </w:r>
          </w:p>
        </w:tc>
        <w:tc>
          <w:tcPr>
            <w:tcW w:w="2357" w:type="dxa"/>
            <w:gridSpan w:val="4"/>
            <w:vAlign w:val="center"/>
          </w:tcPr>
          <w:p w:rsidR="00894660" w:rsidRDefault="00894660">
            <w:pPr>
              <w:rPr>
                <w:rFonts w:eastAsia="仿宋"/>
                <w:szCs w:val="21"/>
              </w:rPr>
            </w:pPr>
          </w:p>
        </w:tc>
      </w:tr>
      <w:tr w:rsidR="00894660" w:rsidTr="00912B5B">
        <w:trPr>
          <w:trHeight w:val="340"/>
          <w:jc w:val="center"/>
        </w:trPr>
        <w:tc>
          <w:tcPr>
            <w:tcW w:w="636" w:type="dxa"/>
            <w:vMerge w:val="restart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年度总体目标</w:t>
            </w:r>
          </w:p>
        </w:tc>
        <w:tc>
          <w:tcPr>
            <w:tcW w:w="5608" w:type="dxa"/>
            <w:gridSpan w:val="5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预期目标</w:t>
            </w:r>
          </w:p>
        </w:tc>
        <w:tc>
          <w:tcPr>
            <w:tcW w:w="2357" w:type="dxa"/>
            <w:gridSpan w:val="4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实际完成情况　</w:t>
            </w:r>
          </w:p>
        </w:tc>
      </w:tr>
      <w:tr w:rsidR="00894660" w:rsidTr="002921BA">
        <w:trPr>
          <w:trHeight w:val="1355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rPr>
                <w:rFonts w:eastAsia="仿宋"/>
                <w:szCs w:val="21"/>
              </w:rPr>
            </w:pPr>
          </w:p>
        </w:tc>
        <w:tc>
          <w:tcPr>
            <w:tcW w:w="5608" w:type="dxa"/>
            <w:gridSpan w:val="5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保证人员基本工资，正常工作运行。重点围绕信息采集、垃圾焚烧处理、</w:t>
            </w:r>
            <w:r w:rsidR="00A502D1">
              <w:rPr>
                <w:rFonts w:eastAsia="仿宋" w:hint="eastAsia"/>
                <w:szCs w:val="21"/>
              </w:rPr>
              <w:t>餐厨垃圾处理、</w:t>
            </w:r>
            <w:r>
              <w:rPr>
                <w:rFonts w:eastAsia="仿宋" w:hint="eastAsia"/>
                <w:szCs w:val="21"/>
              </w:rPr>
              <w:t>黑臭水体治理、公共场所安全设施建设等项目，创建全国文明城市和国家卫生城市、开展污水提质三年行动，加强开展城管执法队伍建设，切实提高城市管理公共服务水平和治理能力。</w:t>
            </w:r>
          </w:p>
        </w:tc>
        <w:tc>
          <w:tcPr>
            <w:tcW w:w="2357" w:type="dxa"/>
            <w:gridSpan w:val="4"/>
            <w:vAlign w:val="center"/>
          </w:tcPr>
          <w:p w:rsidR="00894660" w:rsidRDefault="00A058A7"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全面完成全年计划。</w:t>
            </w:r>
          </w:p>
        </w:tc>
      </w:tr>
      <w:tr w:rsidR="00894660" w:rsidTr="002921BA">
        <w:trPr>
          <w:trHeight w:val="3122"/>
          <w:jc w:val="center"/>
        </w:trPr>
        <w:tc>
          <w:tcPr>
            <w:tcW w:w="636" w:type="dxa"/>
            <w:vMerge w:val="restart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>绩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效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标</w:t>
            </w:r>
          </w:p>
        </w:tc>
        <w:tc>
          <w:tcPr>
            <w:tcW w:w="646" w:type="dxa"/>
            <w:vAlign w:val="center"/>
          </w:tcPr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一级指标</w:t>
            </w:r>
          </w:p>
        </w:tc>
        <w:tc>
          <w:tcPr>
            <w:tcW w:w="851" w:type="dxa"/>
            <w:vAlign w:val="center"/>
          </w:tcPr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二级指标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三级指标</w:t>
            </w:r>
          </w:p>
        </w:tc>
        <w:tc>
          <w:tcPr>
            <w:tcW w:w="851" w:type="dxa"/>
            <w:vAlign w:val="center"/>
          </w:tcPr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</w:t>
            </w:r>
          </w:p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指标值</w:t>
            </w:r>
          </w:p>
        </w:tc>
        <w:tc>
          <w:tcPr>
            <w:tcW w:w="850" w:type="dxa"/>
            <w:vAlign w:val="center"/>
          </w:tcPr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实际</w:t>
            </w:r>
          </w:p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完成值</w:t>
            </w:r>
          </w:p>
        </w:tc>
        <w:tc>
          <w:tcPr>
            <w:tcW w:w="567" w:type="dxa"/>
            <w:vAlign w:val="center"/>
          </w:tcPr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分值</w:t>
            </w:r>
          </w:p>
        </w:tc>
        <w:tc>
          <w:tcPr>
            <w:tcW w:w="486" w:type="dxa"/>
            <w:vAlign w:val="center"/>
          </w:tcPr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得分</w:t>
            </w:r>
          </w:p>
        </w:tc>
        <w:tc>
          <w:tcPr>
            <w:tcW w:w="454" w:type="dxa"/>
          </w:tcPr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偏差原因</w:t>
            </w:r>
          </w:p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分析及</w:t>
            </w:r>
          </w:p>
          <w:p w:rsidR="00894660" w:rsidRDefault="00A058A7"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改进措施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Merge w:val="restart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产出指标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(50</w:t>
            </w:r>
            <w:r>
              <w:rPr>
                <w:rFonts w:eastAsia="仿宋"/>
                <w:szCs w:val="21"/>
              </w:rPr>
              <w:t>分</w:t>
            </w:r>
            <w:r>
              <w:rPr>
                <w:rFonts w:eastAsia="仿宋"/>
                <w:szCs w:val="21"/>
              </w:rPr>
              <w:t>)</w:t>
            </w: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数量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 w:rsidRPr="00595EF7">
              <w:rPr>
                <w:rFonts w:eastAsia="仿宋" w:hint="eastAsia"/>
                <w:szCs w:val="21"/>
              </w:rPr>
              <w:t>完成任务数占计划数比例</w:t>
            </w:r>
          </w:p>
        </w:tc>
        <w:tc>
          <w:tcPr>
            <w:tcW w:w="851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Pr="00595EF7">
              <w:rPr>
                <w:rFonts w:eastAsia="仿宋" w:hint="eastAsia"/>
                <w:szCs w:val="21"/>
              </w:rPr>
              <w:t>≥</w:t>
            </w:r>
            <w:r w:rsidRPr="00595EF7">
              <w:rPr>
                <w:rFonts w:eastAsia="仿宋" w:hint="eastAsia"/>
                <w:szCs w:val="21"/>
              </w:rPr>
              <w:t>100%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175%</w:t>
            </w:r>
          </w:p>
        </w:tc>
        <w:tc>
          <w:tcPr>
            <w:tcW w:w="567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15</w:t>
            </w: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15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Merge/>
            <w:vAlign w:val="center"/>
          </w:tcPr>
          <w:p w:rsidR="00894660" w:rsidRDefault="00894660" w:rsidP="00595EF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质量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 w:rsidRPr="00595EF7">
              <w:rPr>
                <w:rFonts w:eastAsia="仿宋" w:hint="eastAsia"/>
                <w:szCs w:val="21"/>
              </w:rPr>
              <w:t>信息采集合格率</w:t>
            </w:r>
          </w:p>
        </w:tc>
        <w:tc>
          <w:tcPr>
            <w:tcW w:w="851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Pr="00595EF7">
              <w:rPr>
                <w:rFonts w:eastAsia="仿宋" w:hint="eastAsia"/>
                <w:szCs w:val="21"/>
              </w:rPr>
              <w:t>≥</w:t>
            </w:r>
            <w:r w:rsidRPr="00595EF7">
              <w:rPr>
                <w:rFonts w:eastAsia="仿宋" w:hint="eastAsia"/>
                <w:szCs w:val="21"/>
              </w:rPr>
              <w:t>97%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99.74%</w:t>
            </w:r>
          </w:p>
        </w:tc>
        <w:tc>
          <w:tcPr>
            <w:tcW w:w="567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15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15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Merge/>
            <w:vAlign w:val="center"/>
          </w:tcPr>
          <w:p w:rsidR="00894660" w:rsidRDefault="00894660" w:rsidP="00595EF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时效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 w:rsidRPr="00595EF7">
              <w:rPr>
                <w:rFonts w:eastAsia="仿宋" w:hint="eastAsia"/>
                <w:szCs w:val="21"/>
              </w:rPr>
              <w:t>项目完成时间节点</w:t>
            </w:r>
          </w:p>
        </w:tc>
        <w:tc>
          <w:tcPr>
            <w:tcW w:w="851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Pr="00595EF7">
              <w:rPr>
                <w:rFonts w:eastAsia="仿宋" w:hint="eastAsia"/>
                <w:szCs w:val="21"/>
              </w:rPr>
              <w:t>方案规定时间内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2019</w:t>
            </w:r>
            <w:r>
              <w:rPr>
                <w:rFonts w:eastAsia="仿宋" w:hint="eastAsia"/>
                <w:szCs w:val="21"/>
              </w:rPr>
              <w:t>年</w:t>
            </w:r>
            <w:r>
              <w:rPr>
                <w:rFonts w:eastAsia="仿宋" w:hint="eastAsia"/>
                <w:szCs w:val="21"/>
              </w:rPr>
              <w:t>1</w:t>
            </w:r>
            <w:r>
              <w:rPr>
                <w:rFonts w:eastAsia="仿宋" w:hint="eastAsia"/>
                <w:szCs w:val="21"/>
              </w:rPr>
              <w:t>月</w:t>
            </w:r>
            <w:r>
              <w:rPr>
                <w:rFonts w:eastAsia="仿宋" w:hint="eastAsia"/>
                <w:szCs w:val="21"/>
              </w:rPr>
              <w:t>1</w:t>
            </w:r>
            <w:r>
              <w:rPr>
                <w:rFonts w:eastAsia="仿宋" w:hint="eastAsia"/>
                <w:szCs w:val="21"/>
              </w:rPr>
              <w:t>日至</w:t>
            </w:r>
            <w:r>
              <w:rPr>
                <w:rFonts w:eastAsia="仿宋" w:hint="eastAsia"/>
                <w:szCs w:val="21"/>
              </w:rPr>
              <w:t>2019</w:t>
            </w:r>
            <w:r>
              <w:rPr>
                <w:rFonts w:eastAsia="仿宋" w:hint="eastAsia"/>
                <w:szCs w:val="21"/>
              </w:rPr>
              <w:t>年</w:t>
            </w:r>
            <w:r>
              <w:rPr>
                <w:rFonts w:eastAsia="仿宋" w:hint="eastAsia"/>
                <w:szCs w:val="21"/>
              </w:rPr>
              <w:t>12</w:t>
            </w:r>
            <w:r>
              <w:rPr>
                <w:rFonts w:eastAsia="仿宋" w:hint="eastAsia"/>
                <w:szCs w:val="21"/>
              </w:rPr>
              <w:t>月</w:t>
            </w:r>
            <w:r>
              <w:rPr>
                <w:rFonts w:eastAsia="仿宋" w:hint="eastAsia"/>
                <w:szCs w:val="21"/>
              </w:rPr>
              <w:t>31</w:t>
            </w:r>
            <w:r>
              <w:rPr>
                <w:rFonts w:eastAsia="仿宋" w:hint="eastAsia"/>
                <w:szCs w:val="21"/>
              </w:rPr>
              <w:t>日</w:t>
            </w:r>
          </w:p>
        </w:tc>
        <w:tc>
          <w:tcPr>
            <w:tcW w:w="567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Merge/>
            <w:vAlign w:val="center"/>
          </w:tcPr>
          <w:p w:rsidR="00894660" w:rsidRDefault="00894660" w:rsidP="00595EF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成本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Default="00A502D1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信息采集、垃圾焚烧处理、餐厨垃圾处理、黑臭水体治理、公共场所安全设施建设等项目，创建全国文明城市和国家卫生城市、开展污水提质三年行动，加强开展城管执法队伍建设</w:t>
            </w:r>
          </w:p>
        </w:tc>
        <w:tc>
          <w:tcPr>
            <w:tcW w:w="851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Pr="00595EF7">
              <w:rPr>
                <w:rFonts w:eastAsia="仿宋"/>
                <w:szCs w:val="21"/>
              </w:rPr>
              <w:t xml:space="preserve">　</w:t>
            </w:r>
            <w:r w:rsidR="00A502D1" w:rsidRPr="00595EF7">
              <w:rPr>
                <w:rFonts w:eastAsia="仿宋" w:hint="eastAsia"/>
                <w:szCs w:val="21"/>
              </w:rPr>
              <w:t>预算范围控制内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A502D1" w:rsidRPr="00595EF7">
              <w:rPr>
                <w:rFonts w:eastAsia="仿宋" w:hint="eastAsia"/>
                <w:szCs w:val="21"/>
              </w:rPr>
              <w:t>预算范围控制内</w:t>
            </w:r>
          </w:p>
        </w:tc>
        <w:tc>
          <w:tcPr>
            <w:tcW w:w="567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Merge w:val="restart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效益指标</w:t>
            </w:r>
          </w:p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（</w:t>
            </w:r>
            <w:r>
              <w:rPr>
                <w:rFonts w:eastAsia="仿宋"/>
                <w:szCs w:val="21"/>
              </w:rPr>
              <w:t>30</w:t>
            </w:r>
            <w:r>
              <w:rPr>
                <w:rFonts w:eastAsia="仿宋"/>
                <w:szCs w:val="21"/>
              </w:rPr>
              <w:t xml:space="preserve">分）　</w:t>
            </w: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经济效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Pr="00595EF7" w:rsidRDefault="00894660" w:rsidP="00595EF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660" w:rsidRPr="00595EF7" w:rsidRDefault="00A058A7" w:rsidP="00595EF7">
            <w:pPr>
              <w:jc w:val="center"/>
              <w:rPr>
                <w:rFonts w:eastAsia="仿宋"/>
                <w:szCs w:val="21"/>
              </w:rPr>
            </w:pPr>
            <w:r w:rsidRPr="00595EF7"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:rsidR="00894660" w:rsidRDefault="00E13E19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3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470962">
              <w:rPr>
                <w:rFonts w:eastAsia="仿宋" w:hint="eastAsia"/>
                <w:szCs w:val="21"/>
              </w:rPr>
              <w:t>3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Merge/>
            <w:vAlign w:val="center"/>
          </w:tcPr>
          <w:p w:rsidR="00894660" w:rsidRDefault="00894660" w:rsidP="00595EF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社会效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Pr="00595EF7" w:rsidRDefault="004D1037" w:rsidP="00595EF7">
            <w:pPr>
              <w:jc w:val="center"/>
              <w:rPr>
                <w:rFonts w:eastAsia="仿宋"/>
                <w:szCs w:val="21"/>
              </w:rPr>
            </w:pPr>
            <w:r w:rsidRPr="00595EF7">
              <w:rPr>
                <w:rFonts w:eastAsia="仿宋" w:hint="eastAsia"/>
                <w:szCs w:val="21"/>
              </w:rPr>
              <w:t>1</w:t>
            </w:r>
            <w:r w:rsidRPr="00595EF7">
              <w:rPr>
                <w:rFonts w:eastAsia="仿宋" w:hint="eastAsia"/>
                <w:szCs w:val="21"/>
              </w:rPr>
              <w:t>、创建全国文明卫生、园林城市。加强臭水处理、污水提质三年行动</w:t>
            </w:r>
            <w:r w:rsidR="00000C83" w:rsidRPr="00595EF7">
              <w:rPr>
                <w:rFonts w:eastAsia="仿宋" w:hint="eastAsia"/>
                <w:szCs w:val="21"/>
              </w:rPr>
              <w:t>，海绵城市建设，以</w:t>
            </w:r>
            <w:r w:rsidRPr="00595EF7">
              <w:rPr>
                <w:rFonts w:eastAsia="仿宋" w:hint="eastAsia"/>
                <w:szCs w:val="21"/>
              </w:rPr>
              <w:t>城市建设和生态保护为核心，</w:t>
            </w:r>
            <w:r w:rsidR="00000C83" w:rsidRPr="00595EF7">
              <w:rPr>
                <w:rFonts w:eastAsia="仿宋" w:hint="eastAsia"/>
                <w:szCs w:val="21"/>
              </w:rPr>
              <w:t>根据衡阳市建设现状和规划意向，对海绵城市建设，臭水生态治理，河湖水系生态修复的</w:t>
            </w:r>
            <w:r w:rsidR="00000C83" w:rsidRPr="00595EF7">
              <w:rPr>
                <w:rFonts w:eastAsia="仿宋" w:hint="eastAsia"/>
                <w:szCs w:val="21"/>
              </w:rPr>
              <w:lastRenderedPageBreak/>
              <w:t>生态自然设计理念，构建符合城市地域特色的城市综合体。使城市各管网中的污水排放达标，加快建设水环境的绿色道路系统，提高道路排水能力，降低径流污染程度，创建人水和谐的新型生态链，为创建全国文明园林城市创造必要的硬件条件。</w:t>
            </w:r>
            <w:r w:rsidRPr="00595EF7">
              <w:rPr>
                <w:rFonts w:eastAsia="仿宋" w:hint="eastAsia"/>
                <w:szCs w:val="21"/>
              </w:rPr>
              <w:t>2</w:t>
            </w:r>
            <w:r w:rsidRPr="00595EF7">
              <w:rPr>
                <w:rFonts w:eastAsia="仿宋" w:hint="eastAsia"/>
                <w:szCs w:val="21"/>
              </w:rPr>
              <w:t>、加强信息采集日常管理，提高信息采集水平。</w:t>
            </w:r>
            <w:r w:rsidR="001A38BD" w:rsidRPr="00595EF7">
              <w:rPr>
                <w:rFonts w:eastAsia="仿宋" w:hint="eastAsia"/>
                <w:szCs w:val="21"/>
              </w:rPr>
              <w:t>推动城市管理向智能化转变，发挥城市管理的职能，紧紧围绕城市功能与品质提升。通过信息采集、智能化管理，以人为本充分保障人民的生命财产安全和数字城管管理网络，以最大限度做到互联互通。</w:t>
            </w:r>
            <w:r w:rsidRPr="00595EF7">
              <w:rPr>
                <w:rFonts w:eastAsia="仿宋" w:hint="eastAsia"/>
                <w:szCs w:val="21"/>
              </w:rPr>
              <w:t>3</w:t>
            </w:r>
            <w:r w:rsidRPr="00595EF7">
              <w:rPr>
                <w:rFonts w:eastAsia="仿宋" w:hint="eastAsia"/>
                <w:szCs w:val="21"/>
              </w:rPr>
              <w:t>、</w:t>
            </w:r>
            <w:r w:rsidR="009309F2" w:rsidRPr="00595EF7">
              <w:rPr>
                <w:rFonts w:eastAsia="仿宋" w:hint="eastAsia"/>
                <w:szCs w:val="21"/>
              </w:rPr>
              <w:t>加强燃气和污水处理设施的建设。推动城区燃气和污水处理行业的规范管理，完善规范化的管理考核标准，启动城区燃气和污水处理信息化平台。在实现社会效益的同时，也大幅增加了经济效益。</w:t>
            </w:r>
            <w:r w:rsidR="009309F2" w:rsidRPr="00595EF7">
              <w:rPr>
                <w:rFonts w:eastAsia="仿宋" w:hint="eastAsia"/>
                <w:szCs w:val="21"/>
              </w:rPr>
              <w:t>4</w:t>
            </w:r>
            <w:r w:rsidR="009309F2" w:rsidRPr="00595EF7">
              <w:rPr>
                <w:rFonts w:eastAsia="仿宋" w:hint="eastAsia"/>
                <w:szCs w:val="21"/>
              </w:rPr>
              <w:t>、</w:t>
            </w:r>
            <w:r w:rsidR="00BE781E" w:rsidRPr="00595EF7">
              <w:rPr>
                <w:rFonts w:eastAsia="仿宋" w:hint="eastAsia"/>
                <w:szCs w:val="21"/>
              </w:rPr>
              <w:t>对于垃圾处理的方式在国内目前最好的就是焚烧，一是节省土地，二是把对环境的污染降到最低，从固体转换为气体，气体必须要全部达标。垃圾焚烧的减量化很明显，一吨垃圾焚烧后，固体重量可以减少</w:t>
            </w:r>
            <w:r w:rsidR="00BE781E" w:rsidRPr="00595EF7">
              <w:rPr>
                <w:rFonts w:eastAsia="仿宋"/>
                <w:szCs w:val="21"/>
              </w:rPr>
              <w:t>75%</w:t>
            </w:r>
            <w:r w:rsidR="00BE781E" w:rsidRPr="00595EF7">
              <w:rPr>
                <w:rFonts w:eastAsia="仿宋" w:hint="eastAsia"/>
                <w:szCs w:val="21"/>
              </w:rPr>
              <w:t>，容积减少</w:t>
            </w:r>
            <w:r w:rsidR="00BE781E" w:rsidRPr="00595EF7">
              <w:rPr>
                <w:rFonts w:eastAsia="仿宋"/>
                <w:szCs w:val="21"/>
              </w:rPr>
              <w:t>90%</w:t>
            </w:r>
            <w:r w:rsidR="00BE781E" w:rsidRPr="00595EF7">
              <w:rPr>
                <w:rFonts w:eastAsia="仿宋" w:hint="eastAsia"/>
                <w:szCs w:val="21"/>
              </w:rPr>
              <w:t>。而且，资源化效率高，一吨垃圾平均发</w:t>
            </w:r>
            <w:r w:rsidR="00BE781E" w:rsidRPr="00595EF7">
              <w:rPr>
                <w:rFonts w:eastAsia="仿宋"/>
                <w:szCs w:val="21"/>
              </w:rPr>
              <w:t>340</w:t>
            </w:r>
            <w:r w:rsidR="00BE781E" w:rsidRPr="00595EF7">
              <w:rPr>
                <w:rFonts w:eastAsia="仿宋" w:hint="eastAsia"/>
                <w:szCs w:val="21"/>
              </w:rPr>
              <w:t>度电，相当于两户家庭一个月的用电量。餐厨垃圾的处理</w:t>
            </w:r>
            <w:r w:rsidR="00BE781E" w:rsidRPr="00595EF7">
              <w:rPr>
                <w:rFonts w:eastAsia="仿宋"/>
                <w:szCs w:val="21"/>
              </w:rPr>
              <w:t>经过内部的冲洗、搅拌、压榨、推送等一系列运作，</w:t>
            </w:r>
            <w:r w:rsidR="00BE781E" w:rsidRPr="00595EF7">
              <w:rPr>
                <w:rFonts w:eastAsia="仿宋" w:hint="eastAsia"/>
                <w:szCs w:val="21"/>
              </w:rPr>
              <w:t>在最短时间内</w:t>
            </w:r>
            <w:r w:rsidR="00BE781E" w:rsidRPr="00595EF7">
              <w:rPr>
                <w:rFonts w:eastAsia="仿宋"/>
                <w:szCs w:val="21"/>
              </w:rPr>
              <w:t>污水、油、残渣就会被分离出来。</w:t>
            </w:r>
            <w:r w:rsidR="00BE781E" w:rsidRPr="00595EF7">
              <w:rPr>
                <w:rFonts w:eastAsia="仿宋" w:hint="eastAsia"/>
                <w:szCs w:val="21"/>
              </w:rPr>
              <w:t>并且</w:t>
            </w:r>
            <w:r w:rsidR="00BE781E" w:rsidRPr="00595EF7">
              <w:rPr>
                <w:rFonts w:eastAsia="仿宋"/>
                <w:szCs w:val="21"/>
              </w:rPr>
              <w:t>污水是达标污水，可直接排放到市政污水管网中；油，可以用于生产洗涤用品与作为工业用油的原料；残渣，在处理后是很好的肥料土，可以种植绿植</w:t>
            </w:r>
            <w:r w:rsidR="00BE781E" w:rsidRPr="00595EF7">
              <w:rPr>
                <w:rFonts w:eastAsia="仿宋" w:hint="eastAsia"/>
                <w:szCs w:val="21"/>
              </w:rPr>
              <w:t>。</w:t>
            </w:r>
            <w:r w:rsidR="00BE781E" w:rsidRPr="00595EF7">
              <w:rPr>
                <w:rFonts w:eastAsia="仿宋"/>
                <w:szCs w:val="21"/>
              </w:rPr>
              <w:t>100</w:t>
            </w:r>
            <w:r w:rsidR="00BE781E" w:rsidRPr="00595EF7">
              <w:rPr>
                <w:rFonts w:eastAsia="仿宋"/>
                <w:szCs w:val="21"/>
              </w:rPr>
              <w:t>公斤的厨余垃圾约能产生</w:t>
            </w:r>
            <w:r w:rsidR="00BE781E" w:rsidRPr="00595EF7">
              <w:rPr>
                <w:rFonts w:eastAsia="仿宋"/>
                <w:szCs w:val="21"/>
              </w:rPr>
              <w:t>10</w:t>
            </w:r>
            <w:r w:rsidR="00BE781E" w:rsidRPr="00595EF7">
              <w:rPr>
                <w:rFonts w:eastAsia="仿宋"/>
                <w:szCs w:val="21"/>
              </w:rPr>
              <w:t>到</w:t>
            </w:r>
            <w:r w:rsidR="00BE781E" w:rsidRPr="00595EF7">
              <w:rPr>
                <w:rFonts w:eastAsia="仿宋"/>
                <w:szCs w:val="21"/>
              </w:rPr>
              <w:t>15</w:t>
            </w:r>
            <w:r w:rsidR="00BE781E" w:rsidRPr="00595EF7">
              <w:rPr>
                <w:rFonts w:eastAsia="仿宋"/>
                <w:szCs w:val="21"/>
              </w:rPr>
              <w:t>公斤的废</w:t>
            </w:r>
            <w:r w:rsidR="007E654A" w:rsidRPr="00595EF7">
              <w:rPr>
                <w:rFonts w:eastAsia="仿宋" w:hint="eastAsia"/>
                <w:szCs w:val="21"/>
              </w:rPr>
              <w:t>渣</w:t>
            </w:r>
            <w:r w:rsidR="00BE781E" w:rsidRPr="00595EF7">
              <w:rPr>
                <w:rFonts w:eastAsia="仿宋" w:hint="eastAsia"/>
                <w:szCs w:val="21"/>
              </w:rPr>
              <w:t>。这种循环利用，使垃圾变废为宝，有效构建了垃圾分类的生态圈。</w:t>
            </w:r>
            <w:r w:rsidR="00B5366D" w:rsidRPr="00595EF7">
              <w:rPr>
                <w:rFonts w:eastAsia="仿宋" w:hint="eastAsia"/>
                <w:szCs w:val="21"/>
              </w:rPr>
              <w:t>5</w:t>
            </w:r>
            <w:r w:rsidR="00B5366D" w:rsidRPr="00595EF7">
              <w:rPr>
                <w:rFonts w:eastAsia="仿宋" w:hint="eastAsia"/>
                <w:szCs w:val="21"/>
              </w:rPr>
              <w:t>、城市亮化</w:t>
            </w:r>
            <w:r w:rsidR="0087791B" w:rsidRPr="00595EF7">
              <w:rPr>
                <w:rFonts w:eastAsia="仿宋" w:hint="eastAsia"/>
                <w:szCs w:val="21"/>
              </w:rPr>
              <w:t>提质</w:t>
            </w:r>
            <w:r w:rsidR="0087791B" w:rsidRPr="00595EF7">
              <w:rPr>
                <w:rFonts w:eastAsia="仿宋" w:hint="eastAsia"/>
                <w:szCs w:val="21"/>
              </w:rPr>
              <w:lastRenderedPageBreak/>
              <w:t>效果</w:t>
            </w:r>
            <w:r w:rsidR="00706DE7" w:rsidRPr="00595EF7">
              <w:rPr>
                <w:rFonts w:eastAsia="仿宋" w:hint="eastAsia"/>
                <w:szCs w:val="21"/>
              </w:rPr>
              <w:t>对城市形象，提升城市夜景品位，优化居住环境具有重要影响。城市亮化设施采用了新材料、新技术、新工艺，符合节能、环保、经济要求。同时在灯光设计上更注重艺术性、时代性。城市管理部门对道路照明建立健全安全作业，动态巡查，检查考评，保养维护等责任制度，实行了规范化管理，标准化作业，确保了照明、亮化提质设施的完好和正常运行。</w:t>
            </w:r>
          </w:p>
        </w:tc>
        <w:tc>
          <w:tcPr>
            <w:tcW w:w="851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lastRenderedPageBreak/>
              <w:t xml:space="preserve">　</w:t>
            </w:r>
            <w:r w:rsidR="001C2EC3" w:rsidRPr="00595EF7">
              <w:rPr>
                <w:rFonts w:eastAsia="仿宋" w:hint="eastAsia"/>
                <w:szCs w:val="21"/>
              </w:rPr>
              <w:t>有很大</w:t>
            </w:r>
            <w:r w:rsidRPr="00595EF7">
              <w:rPr>
                <w:rFonts w:eastAsia="仿宋" w:hint="eastAsia"/>
                <w:szCs w:val="21"/>
              </w:rPr>
              <w:t>提高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　</w:t>
            </w:r>
            <w:r w:rsidR="001C2EC3" w:rsidRPr="00595EF7">
              <w:rPr>
                <w:rFonts w:eastAsia="仿宋" w:hint="eastAsia"/>
                <w:szCs w:val="21"/>
              </w:rPr>
              <w:t>有很大</w:t>
            </w:r>
            <w:r w:rsidRPr="00595EF7">
              <w:rPr>
                <w:rFonts w:eastAsia="仿宋" w:hint="eastAsia"/>
                <w:szCs w:val="21"/>
              </w:rPr>
              <w:t>提高</w:t>
            </w:r>
          </w:p>
        </w:tc>
        <w:tc>
          <w:tcPr>
            <w:tcW w:w="567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E13E19"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E13E19">
              <w:rPr>
                <w:rFonts w:eastAsia="仿宋" w:hint="eastAsia"/>
                <w:szCs w:val="21"/>
              </w:rPr>
              <w:t>9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Merge/>
            <w:vAlign w:val="center"/>
          </w:tcPr>
          <w:p w:rsidR="00894660" w:rsidRDefault="00894660" w:rsidP="00595EF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生态效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Default="00EE73BA" w:rsidP="00595EF7">
            <w:pPr>
              <w:jc w:val="center"/>
              <w:rPr>
                <w:rFonts w:eastAsia="仿宋"/>
                <w:szCs w:val="21"/>
              </w:rPr>
            </w:pPr>
            <w:r w:rsidRPr="00595EF7">
              <w:rPr>
                <w:rFonts w:eastAsia="仿宋" w:hint="eastAsia"/>
                <w:szCs w:val="21"/>
              </w:rPr>
              <w:t>这些资金的投入使城市智能化管理迈上一个新的台阶，改善了市容市貌，与衡阳市建设国家园林城市，全国文明城市、国家卫生城市、国家环境保护模范城市、全国社会管理综合治理优秀城市、国家历史名城要求相结合，建设良好的生存环境和和谐的自然景观。</w:t>
            </w:r>
          </w:p>
        </w:tc>
        <w:tc>
          <w:tcPr>
            <w:tcW w:w="851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1C2EC3" w:rsidRPr="00595EF7">
              <w:rPr>
                <w:rFonts w:eastAsia="仿宋" w:hint="eastAsia"/>
                <w:szCs w:val="21"/>
              </w:rPr>
              <w:t>有很大</w:t>
            </w:r>
            <w:r w:rsidRPr="00595EF7">
              <w:rPr>
                <w:rFonts w:eastAsia="仿宋" w:hint="eastAsia"/>
                <w:szCs w:val="21"/>
              </w:rPr>
              <w:t>改善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1C2EC3" w:rsidRPr="00595EF7">
              <w:rPr>
                <w:rFonts w:eastAsia="仿宋" w:hint="eastAsia"/>
                <w:szCs w:val="21"/>
              </w:rPr>
              <w:t>有很大</w:t>
            </w:r>
            <w:r w:rsidRPr="00595EF7">
              <w:rPr>
                <w:rFonts w:eastAsia="仿宋" w:hint="eastAsia"/>
                <w:szCs w:val="21"/>
              </w:rPr>
              <w:t>改善</w:t>
            </w:r>
          </w:p>
        </w:tc>
        <w:tc>
          <w:tcPr>
            <w:tcW w:w="567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E13E19">
              <w:rPr>
                <w:rFonts w:eastAsia="仿宋" w:hint="eastAsia"/>
                <w:szCs w:val="21"/>
              </w:rPr>
              <w:t>7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E13E19">
              <w:rPr>
                <w:rFonts w:eastAsia="仿宋" w:hint="eastAsia"/>
                <w:szCs w:val="21"/>
              </w:rPr>
              <w:t>7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Merge/>
            <w:vAlign w:val="center"/>
          </w:tcPr>
          <w:p w:rsidR="00894660" w:rsidRDefault="00894660" w:rsidP="00595EF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可持续影响指标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 w:rsidRPr="00595EF7">
              <w:rPr>
                <w:rFonts w:eastAsia="仿宋" w:hint="eastAsia"/>
                <w:szCs w:val="21"/>
              </w:rPr>
              <w:t>项目运行情况</w:t>
            </w:r>
          </w:p>
        </w:tc>
        <w:tc>
          <w:tcPr>
            <w:tcW w:w="851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Pr="00595EF7">
              <w:rPr>
                <w:rFonts w:eastAsia="仿宋"/>
                <w:szCs w:val="21"/>
              </w:rPr>
              <w:t xml:space="preserve">　</w:t>
            </w:r>
            <w:r w:rsidRPr="00595EF7">
              <w:rPr>
                <w:rFonts w:eastAsia="仿宋" w:hint="eastAsia"/>
                <w:szCs w:val="21"/>
              </w:rPr>
              <w:t>良好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Pr="00595EF7">
              <w:rPr>
                <w:rFonts w:eastAsia="仿宋" w:hint="eastAsia"/>
                <w:szCs w:val="21"/>
              </w:rPr>
              <w:t>良好</w:t>
            </w:r>
          </w:p>
        </w:tc>
        <w:tc>
          <w:tcPr>
            <w:tcW w:w="567" w:type="dxa"/>
            <w:vAlign w:val="center"/>
          </w:tcPr>
          <w:p w:rsidR="00894660" w:rsidRDefault="00E13E19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="00E13E19"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636" w:type="dxa"/>
            <w:vMerge/>
            <w:vAlign w:val="center"/>
          </w:tcPr>
          <w:p w:rsidR="00894660" w:rsidRDefault="00894660" w:rsidP="00595EF7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646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满意度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（</w:t>
            </w:r>
            <w:r>
              <w:rPr>
                <w:rFonts w:eastAsia="仿宋"/>
                <w:szCs w:val="21"/>
              </w:rPr>
              <w:t>10</w:t>
            </w:r>
            <w:r>
              <w:rPr>
                <w:rFonts w:eastAsia="仿宋"/>
                <w:szCs w:val="21"/>
              </w:rPr>
              <w:t>分）</w:t>
            </w:r>
          </w:p>
        </w:tc>
        <w:tc>
          <w:tcPr>
            <w:tcW w:w="851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服务对象满意度指标</w:t>
            </w:r>
          </w:p>
        </w:tc>
        <w:tc>
          <w:tcPr>
            <w:tcW w:w="3260" w:type="dxa"/>
            <w:gridSpan w:val="2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 w:rsidRPr="00595EF7">
              <w:rPr>
                <w:rFonts w:eastAsia="仿宋" w:hint="eastAsia"/>
                <w:szCs w:val="21"/>
              </w:rPr>
              <w:t>服务对象满意度</w:t>
            </w:r>
          </w:p>
        </w:tc>
        <w:tc>
          <w:tcPr>
            <w:tcW w:w="851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 w:rsidRPr="00595EF7">
              <w:rPr>
                <w:rFonts w:eastAsia="仿宋" w:hint="eastAsia"/>
                <w:szCs w:val="21"/>
              </w:rPr>
              <w:t>≥</w:t>
            </w:r>
            <w:r w:rsidRPr="00595EF7">
              <w:rPr>
                <w:rFonts w:eastAsia="仿宋" w:hint="eastAsia"/>
                <w:szCs w:val="21"/>
              </w:rPr>
              <w:t>95%</w:t>
            </w:r>
          </w:p>
        </w:tc>
        <w:tc>
          <w:tcPr>
            <w:tcW w:w="850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97%</w:t>
            </w:r>
          </w:p>
        </w:tc>
        <w:tc>
          <w:tcPr>
            <w:tcW w:w="567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r>
              <w:rPr>
                <w:rFonts w:eastAsia="仿宋" w:hint="eastAsia"/>
                <w:szCs w:val="21"/>
              </w:rPr>
              <w:t>10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  <w:tr w:rsidR="00894660" w:rsidRPr="00595EF7" w:rsidTr="00912B5B">
        <w:trPr>
          <w:trHeight w:val="340"/>
          <w:jc w:val="center"/>
        </w:trPr>
        <w:tc>
          <w:tcPr>
            <w:tcW w:w="7094" w:type="dxa"/>
            <w:gridSpan w:val="7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总分</w:t>
            </w:r>
          </w:p>
        </w:tc>
        <w:tc>
          <w:tcPr>
            <w:tcW w:w="567" w:type="dxa"/>
            <w:vAlign w:val="center"/>
          </w:tcPr>
          <w:p w:rsidR="00894660" w:rsidRDefault="00A058A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100</w:t>
            </w:r>
          </w:p>
        </w:tc>
        <w:tc>
          <w:tcPr>
            <w:tcW w:w="486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  <w:bookmarkStart w:id="0" w:name="_GoBack"/>
            <w:bookmarkEnd w:id="0"/>
            <w:r w:rsidR="00E13E19">
              <w:rPr>
                <w:rFonts w:eastAsia="仿宋" w:hint="eastAsia"/>
                <w:szCs w:val="21"/>
              </w:rPr>
              <w:t>9</w:t>
            </w:r>
            <w:r w:rsidR="00593010">
              <w:rPr>
                <w:rFonts w:eastAsia="仿宋" w:hint="eastAsia"/>
                <w:szCs w:val="21"/>
              </w:rPr>
              <w:t>9</w:t>
            </w:r>
          </w:p>
        </w:tc>
        <w:tc>
          <w:tcPr>
            <w:tcW w:w="454" w:type="dxa"/>
            <w:vAlign w:val="center"/>
          </w:tcPr>
          <w:p w:rsidR="00894660" w:rsidRDefault="00A058A7" w:rsidP="00595EF7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　</w:t>
            </w:r>
          </w:p>
        </w:tc>
      </w:tr>
    </w:tbl>
    <w:p w:rsidR="00894660" w:rsidRPr="00595EF7" w:rsidRDefault="00894660" w:rsidP="00595EF7">
      <w:pPr>
        <w:jc w:val="center"/>
        <w:rPr>
          <w:rFonts w:eastAsia="仿宋"/>
          <w:szCs w:val="21"/>
        </w:rPr>
      </w:pPr>
    </w:p>
    <w:p w:rsidR="00894660" w:rsidRPr="00595EF7" w:rsidRDefault="00894660" w:rsidP="00595EF7">
      <w:pPr>
        <w:jc w:val="center"/>
        <w:rPr>
          <w:rFonts w:eastAsia="仿宋"/>
          <w:szCs w:val="21"/>
        </w:rPr>
      </w:pPr>
    </w:p>
    <w:sectPr w:rsidR="00894660" w:rsidRPr="00595EF7" w:rsidSect="00894660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A86" w:rsidRDefault="00F21A86" w:rsidP="005129ED">
      <w:pPr>
        <w:spacing w:after="0"/>
      </w:pPr>
      <w:r>
        <w:separator/>
      </w:r>
    </w:p>
  </w:endnote>
  <w:endnote w:type="continuationSeparator" w:id="0">
    <w:p w:rsidR="00F21A86" w:rsidRDefault="00F21A86" w:rsidP="005129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A86" w:rsidRDefault="00F21A86" w:rsidP="005129ED">
      <w:pPr>
        <w:spacing w:after="0"/>
      </w:pPr>
      <w:r>
        <w:separator/>
      </w:r>
    </w:p>
  </w:footnote>
  <w:footnote w:type="continuationSeparator" w:id="0">
    <w:p w:rsidR="00F21A86" w:rsidRDefault="00F21A86" w:rsidP="005129E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9ED" w:rsidRDefault="005129ED" w:rsidP="00D75E46">
    <w:pPr>
      <w:pStyle w:val="a4"/>
      <w:pBdr>
        <w:bottom w:val="single" w:sz="6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C83"/>
    <w:rsid w:val="00051E38"/>
    <w:rsid w:val="000A2C7A"/>
    <w:rsid w:val="000A4F03"/>
    <w:rsid w:val="0014293C"/>
    <w:rsid w:val="001A38BD"/>
    <w:rsid w:val="001C2EC3"/>
    <w:rsid w:val="001D5690"/>
    <w:rsid w:val="002921BA"/>
    <w:rsid w:val="002C3609"/>
    <w:rsid w:val="00323B43"/>
    <w:rsid w:val="0036385F"/>
    <w:rsid w:val="003A647B"/>
    <w:rsid w:val="003D37D8"/>
    <w:rsid w:val="00426133"/>
    <w:rsid w:val="004358AB"/>
    <w:rsid w:val="00455061"/>
    <w:rsid w:val="004619E6"/>
    <w:rsid w:val="00470962"/>
    <w:rsid w:val="00476D32"/>
    <w:rsid w:val="004D1037"/>
    <w:rsid w:val="004E4BE2"/>
    <w:rsid w:val="005129ED"/>
    <w:rsid w:val="00593010"/>
    <w:rsid w:val="00595EF7"/>
    <w:rsid w:val="005C437D"/>
    <w:rsid w:val="005F62D7"/>
    <w:rsid w:val="006272B5"/>
    <w:rsid w:val="00696BF1"/>
    <w:rsid w:val="006D33B8"/>
    <w:rsid w:val="006F06D3"/>
    <w:rsid w:val="00706DE7"/>
    <w:rsid w:val="00771DF4"/>
    <w:rsid w:val="007C36BD"/>
    <w:rsid w:val="007E654A"/>
    <w:rsid w:val="00823C04"/>
    <w:rsid w:val="0087791B"/>
    <w:rsid w:val="00894660"/>
    <w:rsid w:val="008A4A05"/>
    <w:rsid w:val="008B7726"/>
    <w:rsid w:val="00912B5B"/>
    <w:rsid w:val="00913B65"/>
    <w:rsid w:val="009309F2"/>
    <w:rsid w:val="0096556C"/>
    <w:rsid w:val="009A70B5"/>
    <w:rsid w:val="00A058A7"/>
    <w:rsid w:val="00A502D1"/>
    <w:rsid w:val="00A57759"/>
    <w:rsid w:val="00B5366D"/>
    <w:rsid w:val="00BB1DB8"/>
    <w:rsid w:val="00BB33A3"/>
    <w:rsid w:val="00BE781E"/>
    <w:rsid w:val="00C05B80"/>
    <w:rsid w:val="00D31D50"/>
    <w:rsid w:val="00D340D2"/>
    <w:rsid w:val="00D75E46"/>
    <w:rsid w:val="00DF0631"/>
    <w:rsid w:val="00E13E19"/>
    <w:rsid w:val="00E634CE"/>
    <w:rsid w:val="00E67598"/>
    <w:rsid w:val="00EB1984"/>
    <w:rsid w:val="00EE73BA"/>
    <w:rsid w:val="00F21A86"/>
    <w:rsid w:val="00F41D2C"/>
    <w:rsid w:val="00F873E9"/>
    <w:rsid w:val="00FB17A2"/>
    <w:rsid w:val="00FB20C4"/>
    <w:rsid w:val="1B9924B3"/>
    <w:rsid w:val="269231B8"/>
    <w:rsid w:val="4558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60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9466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946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94660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9466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18</cp:revision>
  <cp:lastPrinted>2020-09-29T02:23:00Z</cp:lastPrinted>
  <dcterms:created xsi:type="dcterms:W3CDTF">2020-09-25T01:29:00Z</dcterms:created>
  <dcterms:modified xsi:type="dcterms:W3CDTF">2020-09-29T08:06:00Z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