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sz w:val="32"/>
          <w:szCs w:val="32"/>
        </w:rPr>
      </w:pPr>
      <w:r>
        <w:rPr>
          <w:rFonts w:hint="eastAsia" w:ascii="Times New Roman" w:hAnsi="Times New Roman" w:eastAsia="方正小标宋简体"/>
          <w:kern w:val="0"/>
          <w:sz w:val="36"/>
          <w:szCs w:val="36"/>
        </w:rPr>
        <w:t>部门整体支出绩效评价指标评分表</w:t>
      </w:r>
    </w:p>
    <w:tbl>
      <w:tblPr>
        <w:tblStyle w:val="2"/>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kern w:val="0"/>
                <w:sz w:val="20"/>
                <w:szCs w:val="20"/>
              </w:rPr>
            </w:pPr>
            <w:r>
              <w:rPr>
                <w:rFonts w:hint="eastAsia" w:ascii="Times New Roman" w:hAnsi="Times New Roman"/>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三级</w:t>
            </w:r>
          </w:p>
          <w:p>
            <w:pPr>
              <w:widowControl/>
              <w:jc w:val="center"/>
              <w:rPr>
                <w:rFonts w:ascii="Times New Roman" w:hAnsi="Times New Roman" w:eastAsia="黑体"/>
                <w:kern w:val="0"/>
                <w:sz w:val="20"/>
                <w:szCs w:val="20"/>
              </w:rPr>
            </w:pPr>
            <w:r>
              <w:rPr>
                <w:rFonts w:hint="eastAsia" w:ascii="Times New Roman" w:hAnsi="Times New Roman"/>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分值</w:t>
            </w:r>
          </w:p>
        </w:tc>
        <w:tc>
          <w:tcPr>
            <w:tcW w:w="29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评价标准</w:t>
            </w:r>
          </w:p>
        </w:tc>
        <w:tc>
          <w:tcPr>
            <w:tcW w:w="34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得分</w:t>
            </w:r>
          </w:p>
        </w:tc>
      </w:tr>
      <w:tr>
        <w:tblPrEx>
          <w:tblCellMar>
            <w:top w:w="0" w:type="dxa"/>
            <w:left w:w="108" w:type="dxa"/>
            <w:bottom w:w="0" w:type="dxa"/>
            <w:right w:w="108" w:type="dxa"/>
          </w:tblCellMar>
        </w:tblPrEx>
        <w:trPr>
          <w:trHeight w:val="908" w:hRule="atLeast"/>
          <w:jc w:val="center"/>
        </w:trPr>
        <w:tc>
          <w:tcPr>
            <w:tcW w:w="709" w:type="dxa"/>
            <w:vMerge w:val="restart"/>
            <w:tcBorders>
              <w:top w:val="nil"/>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投</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入</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p>
            <w:pPr>
              <w:jc w:val="center"/>
              <w:rPr>
                <w:rFonts w:ascii="Times New Roman" w:hAnsi="Times New Roman" w:eastAsia="Times New Roman"/>
                <w:kern w:val="0"/>
                <w:sz w:val="20"/>
                <w:szCs w:val="20"/>
              </w:rPr>
            </w:pPr>
          </w:p>
        </w:tc>
        <w:tc>
          <w:tcPr>
            <w:tcW w:w="677" w:type="dxa"/>
            <w:vMerge w:val="restart"/>
            <w:tcBorders>
              <w:top w:val="nil"/>
              <w:left w:val="nil"/>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目标设定</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6</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绩效目标合理性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nil"/>
              <w:left w:val="nil"/>
              <w:bottom w:val="single" w:color="auto" w:sz="4" w:space="0"/>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评价要点：</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是否符合国家法律法规、国民经济和社会发展总体规划；</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是否符合部门</w:t>
            </w:r>
            <w:r>
              <w:rPr>
                <w:rFonts w:ascii="Times New Roman" w:hAnsi="Times New Roman"/>
                <w:kern w:val="0"/>
                <w:sz w:val="20"/>
                <w:szCs w:val="20"/>
              </w:rPr>
              <w:t>“</w:t>
            </w:r>
            <w:r>
              <w:rPr>
                <w:rFonts w:hint="eastAsia" w:ascii="Times New Roman" w:hAnsi="Times New Roman"/>
                <w:kern w:val="0"/>
                <w:sz w:val="20"/>
                <w:szCs w:val="20"/>
              </w:rPr>
              <w:t>三定</w:t>
            </w:r>
            <w:r>
              <w:rPr>
                <w:rFonts w:ascii="Times New Roman" w:hAnsi="Times New Roman"/>
                <w:kern w:val="0"/>
                <w:sz w:val="20"/>
                <w:szCs w:val="20"/>
              </w:rPr>
              <w:t>”</w:t>
            </w:r>
            <w:r>
              <w:rPr>
                <w:rFonts w:hint="eastAsia" w:ascii="Times New Roman" w:hAnsi="Times New Roman"/>
                <w:kern w:val="0"/>
                <w:sz w:val="20"/>
                <w:szCs w:val="20"/>
              </w:rPr>
              <w:t>方案确定的职责；</w:t>
            </w:r>
          </w:p>
          <w:p>
            <w:pPr>
              <w:widowControl/>
              <w:jc w:val="left"/>
              <w:rPr>
                <w:rFonts w:ascii="Times New Roman" w:hAnsi="Times New Roman" w:eastAsia="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是否符合部门制定的中长期实施规划。</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trHeight w:val="907"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绩效指标</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明确性</w:t>
            </w:r>
          </w:p>
        </w:tc>
        <w:tc>
          <w:tcPr>
            <w:tcW w:w="483" w:type="dxa"/>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left w:val="nil"/>
              <w:bottom w:val="single" w:color="auto" w:sz="4" w:space="0"/>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部门依据整体绩效目标所设定的绩效指针是否清晰、细化、可衡量，用以反映和考核部门整体绩效目标的明细化情况。</w:t>
            </w:r>
            <w:bookmarkStart w:id="0" w:name="_GoBack"/>
            <w:bookmarkEnd w:id="0"/>
          </w:p>
        </w:tc>
        <w:tc>
          <w:tcPr>
            <w:tcW w:w="3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评价要点：</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是否将部门整体的绩效目标细化分解为具体的工作任务；</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是否通过清晰、可衡量的指标值予以体现。</w:t>
            </w:r>
            <w:r>
              <w:rPr>
                <w:rFonts w:ascii="Times New Roman" w:hAnsi="Times New Roman"/>
                <w:kern w:val="0"/>
                <w:sz w:val="20"/>
                <w:szCs w:val="20"/>
              </w:rPr>
              <w:t xml:space="preserve">    ③</w:t>
            </w:r>
            <w:r>
              <w:rPr>
                <w:rFonts w:hint="eastAsia" w:ascii="Times New Roman" w:hAnsi="Times New Roman"/>
                <w:kern w:val="0"/>
                <w:sz w:val="20"/>
                <w:szCs w:val="20"/>
              </w:rPr>
              <w:t>是否与部门年度的任务数或计划数相对应；</w:t>
            </w:r>
          </w:p>
          <w:p>
            <w:pPr>
              <w:widowControl/>
              <w:jc w:val="left"/>
              <w:rPr>
                <w:rFonts w:ascii="Times New Roman" w:hAnsi="Times New Roman" w:eastAsia="Times New Roman"/>
                <w:kern w:val="0"/>
                <w:sz w:val="20"/>
                <w:szCs w:val="20"/>
              </w:rPr>
            </w:pPr>
            <w:r>
              <w:rPr>
                <w:rFonts w:ascii="Times New Roman" w:hAnsi="Times New Roman"/>
                <w:kern w:val="0"/>
                <w:sz w:val="20"/>
                <w:szCs w:val="20"/>
              </w:rPr>
              <w:t>④</w:t>
            </w:r>
            <w:r>
              <w:rPr>
                <w:rFonts w:hint="eastAsia" w:ascii="Times New Roman" w:hAnsi="Times New Roman"/>
                <w:kern w:val="0"/>
                <w:sz w:val="20"/>
                <w:szCs w:val="20"/>
              </w:rPr>
              <w:t>是否与本年度部门预算资金相匹配。</w:t>
            </w:r>
          </w:p>
        </w:tc>
        <w:tc>
          <w:tcPr>
            <w:tcW w:w="637"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trHeight w:val="1814"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预算配置</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4</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nil"/>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w:t>
            </w:r>
            <w:r>
              <w:rPr>
                <w:rFonts w:ascii="Times New Roman" w:hAnsi="Times New Roman"/>
                <w:kern w:val="0"/>
                <w:sz w:val="20"/>
                <w:szCs w:val="20"/>
              </w:rPr>
              <w:t>100%</w:t>
            </w:r>
            <w:r>
              <w:rPr>
                <w:rFonts w:hint="eastAsia" w:ascii="Times New Roman" w:hAnsi="Times New Roman"/>
                <w:kern w:val="0"/>
                <w:sz w:val="20"/>
                <w:szCs w:val="20"/>
              </w:rPr>
              <w:t>为标准。在职人员控制率</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在职人员控制率</w:t>
            </w:r>
            <w:r>
              <w:rPr>
                <w:rFonts w:ascii="Times New Roman" w:hAnsi="Times New Roman"/>
                <w:kern w:val="0"/>
                <w:sz w:val="20"/>
                <w:szCs w:val="20"/>
              </w:rPr>
              <w:t>=</w:t>
            </w:r>
            <w:r>
              <w:rPr>
                <w:rFonts w:hint="eastAsia" w:ascii="Times New Roman" w:hAnsi="Times New Roman"/>
                <w:kern w:val="0"/>
                <w:sz w:val="20"/>
                <w:szCs w:val="20"/>
              </w:rPr>
              <w:t>（在职人员数</w:t>
            </w:r>
            <w:r>
              <w:rPr>
                <w:rFonts w:ascii="Times New Roman" w:hAnsi="Times New Roman"/>
                <w:kern w:val="0"/>
                <w:sz w:val="20"/>
                <w:szCs w:val="20"/>
              </w:rPr>
              <w:t>/</w:t>
            </w:r>
            <w:r>
              <w:rPr>
                <w:rFonts w:hint="eastAsia" w:ascii="Times New Roman" w:hAnsi="Times New Roman"/>
                <w:kern w:val="0"/>
                <w:sz w:val="20"/>
                <w:szCs w:val="20"/>
              </w:rPr>
              <w:t>编制数）</w:t>
            </w:r>
            <w:r>
              <w:rPr>
                <w:rFonts w:ascii="Times New Roman" w:hAnsi="Times New Roman"/>
                <w:kern w:val="0"/>
                <w:sz w:val="20"/>
                <w:szCs w:val="20"/>
              </w:rPr>
              <w:t>×100%</w:t>
            </w:r>
            <w:r>
              <w:rPr>
                <w:rFonts w:hint="eastAsia" w:ascii="Times New Roman" w:hAnsi="Times New Roman"/>
                <w:kern w:val="0"/>
                <w:sz w:val="20"/>
                <w:szCs w:val="20"/>
              </w:rPr>
              <w:t>，在职人员数：部门（单位）实际在职人数，以财政局确定的部门决算编制口径为准。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rPr>
              <w:t>　</w:t>
            </w:r>
            <w:r>
              <w:rPr>
                <w:rFonts w:hint="eastAsia" w:ascii="Times New Roman" w:hAnsi="Times New Roman"/>
                <w:kern w:val="0"/>
                <w:sz w:val="24"/>
                <w:lang w:val="en-US" w:eastAsia="zh-CN"/>
              </w:rPr>
              <w:t>1</w:t>
            </w:r>
          </w:p>
        </w:tc>
      </w:tr>
      <w:tr>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w:t>
            </w:r>
            <w:r>
              <w:rPr>
                <w:rFonts w:hint="eastAsia" w:ascii="Times New Roman" w:hAnsi="Times New Roman"/>
                <w:kern w:val="0"/>
                <w:sz w:val="20"/>
                <w:szCs w:val="20"/>
              </w:rPr>
              <w:t>（本年度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1</w:t>
            </w:r>
          </w:p>
        </w:tc>
      </w:tr>
      <w:tr>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重点支出</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安排率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重点支出安排率</w:t>
            </w:r>
            <w:r>
              <w:rPr>
                <w:rFonts w:ascii="Times New Roman" w:hAnsi="Times New Roman"/>
                <w:kern w:val="0"/>
                <w:sz w:val="20"/>
                <w:szCs w:val="20"/>
              </w:rPr>
              <w:t>=</w:t>
            </w:r>
            <w:r>
              <w:rPr>
                <w:rFonts w:hint="eastAsia" w:ascii="Times New Roman" w:hAnsi="Times New Roman"/>
                <w:kern w:val="0"/>
                <w:sz w:val="20"/>
                <w:szCs w:val="20"/>
              </w:rPr>
              <w:t>（重点项目支出</w:t>
            </w:r>
            <w:r>
              <w:rPr>
                <w:rFonts w:ascii="Times New Roman" w:hAnsi="Times New Roman"/>
                <w:kern w:val="0"/>
                <w:sz w:val="20"/>
                <w:szCs w:val="20"/>
              </w:rPr>
              <w:t>/</w:t>
            </w:r>
            <w:r>
              <w:rPr>
                <w:rFonts w:hint="eastAsia" w:ascii="Times New Roman" w:hAnsi="Times New Roman"/>
                <w:kern w:val="0"/>
                <w:sz w:val="20"/>
                <w:szCs w:val="20"/>
              </w:rPr>
              <w:t>项目总支出）</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重点项目支出：部门年度预算安排的，与本部门履职和发展密切相关、具有明显社会和经济影响、党委政府关心或社会比较关注的项目支出总额。</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项目总支出：部门年度预算安排的项目支出总额。</w:t>
            </w:r>
          </w:p>
        </w:tc>
        <w:tc>
          <w:tcPr>
            <w:tcW w:w="637" w:type="dxa"/>
            <w:tcBorders>
              <w:top w:val="nil"/>
              <w:left w:val="nil"/>
              <w:bottom w:val="single" w:color="auto" w:sz="4" w:space="0"/>
              <w:right w:val="single" w:color="auto" w:sz="4" w:space="0"/>
            </w:tcBorders>
            <w:vAlign w:val="center"/>
          </w:tcPr>
          <w:p>
            <w:pPr>
              <w:widowControl/>
              <w:jc w:val="left"/>
              <w:rPr>
                <w:rFonts w:hint="default" w:ascii="Times New Roman" w:hAnsi="Times New Roman"/>
                <w:kern w:val="0"/>
                <w:sz w:val="24"/>
                <w:lang w:val="en-US"/>
              </w:rPr>
            </w:pPr>
            <w:r>
              <w:rPr>
                <w:rFonts w:hint="eastAsia" w:ascii="Times New Roman" w:hAnsi="Times New Roman"/>
                <w:kern w:val="0"/>
                <w:sz w:val="24"/>
                <w:lang w:val="en-US" w:eastAsia="zh-CN"/>
              </w:rPr>
              <w:t>2</w:t>
            </w:r>
          </w:p>
        </w:tc>
      </w:tr>
      <w:tr>
        <w:tblPrEx>
          <w:tblCellMar>
            <w:top w:w="0" w:type="dxa"/>
            <w:left w:w="108" w:type="dxa"/>
            <w:bottom w:w="0" w:type="dxa"/>
            <w:right w:w="108" w:type="dxa"/>
          </w:tblCellMar>
        </w:tblPrEx>
        <w:trPr>
          <w:trHeight w:val="1457"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p>
            <w:pPr>
              <w:jc w:val="center"/>
              <w:rPr>
                <w:rFonts w:ascii="Times New Roman" w:hAnsi="Times New Roman" w:eastAsia="Times New Roman"/>
                <w:kern w:val="0"/>
                <w:sz w:val="20"/>
                <w:szCs w:val="20"/>
              </w:rPr>
            </w:pPr>
          </w:p>
          <w:p>
            <w:pPr>
              <w:jc w:val="center"/>
              <w:rPr>
                <w:rFonts w:ascii="Times New Roman" w:hAnsi="Times New Roman" w:eastAsia="Times New Roman"/>
                <w:kern w:val="0"/>
                <w:sz w:val="20"/>
                <w:szCs w:val="20"/>
              </w:rPr>
            </w:pPr>
          </w:p>
        </w:tc>
        <w:tc>
          <w:tcPr>
            <w:tcW w:w="677"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kern w:val="0"/>
                <w:sz w:val="20"/>
                <w:szCs w:val="20"/>
              </w:rPr>
            </w:pPr>
            <w:r>
              <w:rPr>
                <w:rFonts w:hint="eastAsia" w:ascii="Times New Roman" w:hAnsi="Times New Roman"/>
                <w:kern w:val="0"/>
                <w:sz w:val="20"/>
                <w:szCs w:val="20"/>
              </w:rPr>
              <w:t>预算执行</w:t>
            </w:r>
            <w:r>
              <w:rPr>
                <w:rFonts w:ascii="Times New Roman" w:hAnsi="Times New Roman"/>
                <w:kern w:val="0"/>
                <w:sz w:val="20"/>
                <w:szCs w:val="20"/>
              </w:rPr>
              <w:t>15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≥98%</w:t>
            </w:r>
            <w:r>
              <w:rPr>
                <w:rFonts w:hint="eastAsia" w:ascii="Times New Roman" w:hAnsi="Times New Roman"/>
                <w:kern w:val="0"/>
                <w:sz w:val="20"/>
                <w:szCs w:val="20"/>
              </w:rPr>
              <w:t>计满分，每低于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w:t>
            </w:r>
            <w:r>
              <w:rPr>
                <w:rFonts w:hint="eastAsia" w:ascii="Times New Roman" w:hAnsi="Times New Roman"/>
                <w:kern w:val="0"/>
                <w:sz w:val="20"/>
                <w:szCs w:val="20"/>
              </w:rPr>
              <w:t>年末结余）</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hint="eastAsia" w:ascii="Times New Roman" w:hAnsi="Times New Roman"/>
                <w:kern w:val="0"/>
                <w:sz w:val="24"/>
                <w:lang w:val="en-US" w:eastAsia="zh-CN"/>
              </w:rPr>
              <w:t>0</w:t>
            </w:r>
            <w:r>
              <w:rPr>
                <w:rFonts w:hint="eastAsia" w:ascii="Times New Roman" w:hAnsi="Times New Roman"/>
                <w:kern w:val="0"/>
                <w:sz w:val="24"/>
              </w:rPr>
              <w:t>　</w:t>
            </w:r>
          </w:p>
        </w:tc>
      </w:tr>
      <w:tr>
        <w:tblPrEx>
          <w:tblCellMar>
            <w:top w:w="0" w:type="dxa"/>
            <w:left w:w="108" w:type="dxa"/>
            <w:bottom w:w="0" w:type="dxa"/>
            <w:right w:w="108" w:type="dxa"/>
          </w:tblCellMar>
        </w:tblPrEx>
        <w:trPr>
          <w:trHeight w:val="1273" w:hRule="atLeast"/>
          <w:jc w:val="center"/>
        </w:trPr>
        <w:tc>
          <w:tcPr>
            <w:tcW w:w="709" w:type="dxa"/>
            <w:vMerge w:val="continue"/>
            <w:tcBorders>
              <w:top w:val="single" w:color="auto" w:sz="4" w:space="0"/>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r>
              <w:rPr>
                <w:rFonts w:ascii="Times New Roman" w:hAnsi="Times New Roman"/>
                <w:kern w:val="0"/>
                <w:sz w:val="20"/>
                <w:szCs w:val="20"/>
              </w:rPr>
              <w:t>0-10%</w:t>
            </w:r>
            <w:r>
              <w:rPr>
                <w:rFonts w:hint="eastAsia" w:ascii="Times New Roman" w:hAnsi="Times New Roman"/>
                <w:kern w:val="0"/>
                <w:sz w:val="20"/>
                <w:szCs w:val="20"/>
              </w:rPr>
              <w:t>（含），计</w:t>
            </w:r>
            <w:r>
              <w:rPr>
                <w:rFonts w:ascii="Times New Roman" w:hAnsi="Times New Roman"/>
                <w:kern w:val="0"/>
                <w:sz w:val="20"/>
                <w:szCs w:val="20"/>
              </w:rPr>
              <w:t>1.5</w:t>
            </w:r>
            <w:r>
              <w:rPr>
                <w:rFonts w:hint="eastAsia" w:ascii="Times New Roman" w:hAnsi="Times New Roman"/>
                <w:kern w:val="0"/>
                <w:sz w:val="20"/>
                <w:szCs w:val="20"/>
              </w:rPr>
              <w:t>分；</w:t>
            </w:r>
            <w:r>
              <w:rPr>
                <w:rFonts w:ascii="Times New Roman" w:hAnsi="Times New Roman"/>
                <w:kern w:val="0"/>
                <w:sz w:val="20"/>
                <w:szCs w:val="20"/>
              </w:rPr>
              <w:t>10-20%</w:t>
            </w:r>
            <w:r>
              <w:rPr>
                <w:rFonts w:hint="eastAsia" w:ascii="Times New Roman" w:hAnsi="Times New Roman"/>
                <w:kern w:val="0"/>
                <w:sz w:val="20"/>
                <w:szCs w:val="20"/>
              </w:rPr>
              <w:t>（含），计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20-30%</w:t>
            </w:r>
            <w:r>
              <w:rPr>
                <w:rFonts w:hint="eastAsia" w:ascii="Times New Roman" w:hAnsi="Times New Roman"/>
                <w:kern w:val="0"/>
                <w:sz w:val="20"/>
                <w:szCs w:val="20"/>
              </w:rPr>
              <w:t>（含），计</w:t>
            </w:r>
            <w:r>
              <w:rPr>
                <w:rFonts w:ascii="Times New Roman" w:hAnsi="Times New Roman"/>
                <w:kern w:val="0"/>
                <w:sz w:val="20"/>
                <w:szCs w:val="20"/>
              </w:rPr>
              <w:t>0.5</w:t>
            </w:r>
            <w:r>
              <w:rPr>
                <w:rFonts w:hint="eastAsia" w:ascii="Times New Roman" w:hAnsi="Times New Roman"/>
                <w:kern w:val="0"/>
                <w:sz w:val="20"/>
                <w:szCs w:val="20"/>
              </w:rPr>
              <w:t>分；大于</w:t>
            </w:r>
            <w:r>
              <w:rPr>
                <w:rFonts w:ascii="Times New Roman" w:hAnsi="Times New Roman"/>
                <w:kern w:val="0"/>
                <w:sz w:val="20"/>
                <w:szCs w:val="20"/>
              </w:rPr>
              <w:t>30%</w:t>
            </w:r>
            <w:r>
              <w:rPr>
                <w:rFonts w:hint="eastAsia" w:ascii="Times New Roman" w:hAnsi="Times New Roman"/>
                <w:kern w:val="0"/>
                <w:sz w:val="20"/>
                <w:szCs w:val="20"/>
              </w:rPr>
              <w:t>不得分。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w:t>
            </w:r>
            <w:r>
              <w:rPr>
                <w:rFonts w:hint="eastAsia" w:ascii="Times New Roman" w:hAnsi="Times New Roman"/>
                <w:kern w:val="0"/>
                <w:sz w:val="20"/>
                <w:szCs w:val="20"/>
              </w:rPr>
              <w:t>（预算调整数</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rPr>
              <w:t>　</w:t>
            </w:r>
            <w:r>
              <w:rPr>
                <w:rFonts w:hint="eastAsia" w:ascii="Times New Roman" w:hAnsi="Times New Roman"/>
                <w:kern w:val="0"/>
                <w:sz w:val="24"/>
                <w:lang w:val="en-US" w:eastAsia="zh-CN"/>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支付进度率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符合要求计满分，否则计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支付进度率</w:t>
            </w:r>
            <w:r>
              <w:rPr>
                <w:rFonts w:ascii="Times New Roman" w:hAnsi="Times New Roman"/>
                <w:kern w:val="0"/>
                <w:sz w:val="20"/>
                <w:szCs w:val="20"/>
              </w:rPr>
              <w:t>=</w:t>
            </w:r>
            <w:r>
              <w:rPr>
                <w:rFonts w:hint="eastAsia" w:ascii="Times New Roman" w:hAnsi="Times New Roman"/>
                <w:kern w:val="0"/>
                <w:sz w:val="20"/>
                <w:szCs w:val="20"/>
              </w:rPr>
              <w:t>（实际支付进度</w:t>
            </w:r>
            <w:r>
              <w:rPr>
                <w:rFonts w:ascii="Times New Roman" w:hAnsi="Times New Roman"/>
                <w:kern w:val="0"/>
                <w:sz w:val="20"/>
                <w:szCs w:val="20"/>
              </w:rPr>
              <w:t>/</w:t>
            </w:r>
            <w:r>
              <w:rPr>
                <w:rFonts w:hint="eastAsia" w:ascii="Times New Roman" w:hAnsi="Times New Roman"/>
                <w:kern w:val="0"/>
                <w:sz w:val="20"/>
                <w:szCs w:val="20"/>
              </w:rPr>
              <w:t>既定支付进度）</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实际支付进度：部门在某一时点的支出预算执行总数与年度支出预算数的比率。</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hint="eastAsia" w:ascii="Times New Roman" w:hAnsi="Times New Roman"/>
                <w:kern w:val="0"/>
                <w:sz w:val="24"/>
                <w:lang w:val="en-US" w:eastAsia="zh-CN"/>
              </w:rPr>
              <w:t>1</w:t>
            </w:r>
            <w:r>
              <w:rPr>
                <w:rFonts w:hint="eastAsia" w:ascii="Times New Roman" w:hAnsi="Times New Roman"/>
                <w:kern w:val="0"/>
                <w:sz w:val="24"/>
              </w:rPr>
              <w:t>　</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结转结余</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eastAsia="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计满分，每超出</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结转结余变动率</w:t>
            </w:r>
            <w:r>
              <w:rPr>
                <w:rFonts w:ascii="Times New Roman" w:hAnsi="Times New Roman"/>
                <w:kern w:val="0"/>
                <w:sz w:val="20"/>
                <w:szCs w:val="20"/>
              </w:rPr>
              <w:t>=[</w:t>
            </w:r>
            <w:r>
              <w:rPr>
                <w:rFonts w:hint="eastAsia" w:ascii="Times New Roman" w:hAnsi="Times New Roman"/>
                <w:kern w:val="0"/>
                <w:sz w:val="20"/>
                <w:szCs w:val="20"/>
              </w:rPr>
              <w:t>（本年度累计结转结余资金总额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kern w:val="0"/>
                <w:sz w:val="24"/>
                <w:lang w:val="en-US" w:eastAsia="zh-CN"/>
              </w:rPr>
            </w:pPr>
            <w:r>
              <w:rPr>
                <w:rFonts w:hint="eastAsia" w:ascii="Times New Roman" w:hAnsi="Times New Roman"/>
                <w:kern w:val="0"/>
                <w:sz w:val="24"/>
              </w:rPr>
              <w:t>　</w:t>
            </w:r>
            <w:r>
              <w:rPr>
                <w:rFonts w:hint="eastAsia" w:ascii="Times New Roman" w:hAnsi="Times New Roman"/>
                <w:kern w:val="0"/>
                <w:sz w:val="24"/>
                <w:lang w:val="en-US" w:eastAsia="zh-CN"/>
              </w:rPr>
              <w:t>1.5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以下（含）计满分，每超出</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公用经费控制率</w:t>
            </w:r>
            <w:r>
              <w:rPr>
                <w:rFonts w:ascii="Times New Roman" w:hAnsi="Times New Roman"/>
                <w:kern w:val="0"/>
                <w:sz w:val="20"/>
                <w:szCs w:val="20"/>
              </w:rPr>
              <w:t>=</w:t>
            </w:r>
            <w:r>
              <w:rPr>
                <w:rFonts w:hint="eastAsia" w:ascii="Times New Roman" w:hAnsi="Times New Roman"/>
                <w:kern w:val="0"/>
                <w:sz w:val="20"/>
                <w:szCs w:val="20"/>
              </w:rPr>
              <w:t>（实际支出公用经费总额</w:t>
            </w:r>
            <w:r>
              <w:rPr>
                <w:rFonts w:ascii="Times New Roman" w:hAnsi="Times New Roman"/>
                <w:kern w:val="0"/>
                <w:sz w:val="20"/>
                <w:szCs w:val="20"/>
              </w:rPr>
              <w:t>/</w:t>
            </w:r>
            <w:r>
              <w:rPr>
                <w:rFonts w:hint="eastAsia" w:ascii="Times New Roman" w:hAnsi="Times New Roman"/>
                <w:kern w:val="0"/>
                <w:sz w:val="20"/>
                <w:szCs w:val="20"/>
              </w:rPr>
              <w:t>预算安排公用经费总额）</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hint="eastAsia" w:ascii="Times New Roman" w:hAnsi="Times New Roman"/>
                <w:kern w:val="0"/>
                <w:sz w:val="24"/>
                <w:lang w:val="en-US" w:eastAsia="zh-CN"/>
              </w:rPr>
              <w:t>0</w:t>
            </w:r>
            <w:r>
              <w:rPr>
                <w:rFonts w:hint="eastAsia" w:ascii="Times New Roman" w:hAnsi="Times New Roman"/>
                <w:kern w:val="0"/>
                <w:sz w:val="24"/>
              </w:rPr>
              <w:t>　</w:t>
            </w:r>
          </w:p>
        </w:tc>
      </w:tr>
      <w:tr>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r>
              <w:rPr>
                <w:rFonts w:ascii="Times New Roman" w:hAnsi="Times New Roman"/>
                <w:kern w:val="0"/>
                <w:sz w:val="20"/>
                <w:szCs w:val="20"/>
              </w:rPr>
              <w:t>-</w:t>
            </w:r>
            <w:r>
              <w:rPr>
                <w:rFonts w:hint="eastAsia" w:ascii="Times New Roman" w:hAnsi="Times New Roman"/>
                <w:kern w:val="0"/>
                <w:sz w:val="20"/>
                <w:szCs w:val="20"/>
              </w:rPr>
              <w:t>（</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实际支出数</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预算安排数）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hint="eastAsia" w:ascii="Times New Roman" w:hAnsi="Times New Roman"/>
                <w:kern w:val="0"/>
                <w:sz w:val="24"/>
                <w:lang w:val="en-US" w:eastAsia="zh-CN"/>
              </w:rPr>
              <w:t>2</w:t>
            </w:r>
            <w:r>
              <w:rPr>
                <w:rFonts w:hint="eastAsia" w:ascii="Times New Roman" w:hAnsi="Times New Roman"/>
                <w:kern w:val="0"/>
                <w:sz w:val="24"/>
              </w:rPr>
              <w:t>　</w:t>
            </w:r>
          </w:p>
        </w:tc>
      </w:tr>
      <w:tr>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left"/>
              <w:rPr>
                <w:rFonts w:ascii="Times New Roman" w:hAnsi="Times New Roman" w:eastAsia="仿宋"/>
                <w:sz w:val="20"/>
                <w:szCs w:val="20"/>
              </w:rPr>
            </w:pPr>
            <w:r>
              <w:rPr>
                <w:rFonts w:hint="eastAsia" w:ascii="Times New Roman" w:hAnsi="Times New Roman"/>
                <w:sz w:val="20"/>
                <w:szCs w:val="20"/>
              </w:rPr>
              <w:t>政府采购节资率</w:t>
            </w:r>
          </w:p>
          <w:p>
            <w:pPr>
              <w:widowControl/>
              <w:jc w:val="left"/>
              <w:rPr>
                <w:rFonts w:ascii="Times New Roman" w:hAnsi="Times New Roman" w:eastAsia="Times New Roman"/>
                <w:color w:val="FF0000"/>
                <w:kern w:val="0"/>
                <w:sz w:val="20"/>
                <w:szCs w:val="20"/>
              </w:rPr>
            </w:pP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节资率</w:t>
            </w:r>
            <w:r>
              <w:rPr>
                <w:rFonts w:ascii="Times New Roman" w:hAnsi="Times New Roman"/>
                <w:kern w:val="0"/>
                <w:sz w:val="20"/>
                <w:szCs w:val="20"/>
              </w:rPr>
              <w:t>=</w:t>
            </w:r>
            <w:r>
              <w:rPr>
                <w:rFonts w:hint="eastAsia" w:ascii="Times New Roman" w:hAnsi="Times New Roman"/>
                <w:kern w:val="0"/>
                <w:sz w:val="20"/>
                <w:szCs w:val="20"/>
              </w:rPr>
              <w:t>（预算资金</w:t>
            </w:r>
            <w:r>
              <w:rPr>
                <w:rFonts w:ascii="Times New Roman" w:hAnsi="Times New Roman"/>
                <w:kern w:val="0"/>
                <w:sz w:val="20"/>
                <w:szCs w:val="20"/>
              </w:rPr>
              <w:t>-</w:t>
            </w:r>
            <w:r>
              <w:rPr>
                <w:rFonts w:hint="eastAsia" w:ascii="Times New Roman" w:hAnsi="Times New Roman"/>
                <w:kern w:val="0"/>
                <w:sz w:val="20"/>
                <w:szCs w:val="20"/>
              </w:rPr>
              <w:t>实际采购资金）</w:t>
            </w:r>
            <w:r>
              <w:rPr>
                <w:rFonts w:ascii="Times New Roman" w:hAnsi="Times New Roman"/>
                <w:kern w:val="0"/>
                <w:sz w:val="20"/>
                <w:szCs w:val="20"/>
              </w:rPr>
              <w:t>/</w:t>
            </w:r>
            <w:r>
              <w:rPr>
                <w:rFonts w:hint="eastAsia" w:ascii="Times New Roman" w:hAnsi="Times New Roman"/>
                <w:kern w:val="0"/>
                <w:sz w:val="20"/>
                <w:szCs w:val="20"/>
              </w:rPr>
              <w:t>预算资金</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rPr>
              <w:t>　</w:t>
            </w:r>
            <w:r>
              <w:rPr>
                <w:rFonts w:hint="eastAsia" w:ascii="Times New Roman" w:hAnsi="Times New Roman"/>
                <w:kern w:val="0"/>
                <w:sz w:val="24"/>
                <w:lang w:val="en-US" w:eastAsia="zh-CN"/>
              </w:rPr>
              <w:t>0</w:t>
            </w:r>
          </w:p>
        </w:tc>
      </w:tr>
      <w:tr>
        <w:tblPrEx>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Times New Roman" w:hAnsi="Times New Roman"/>
                <w:kern w:val="0"/>
                <w:sz w:val="20"/>
                <w:szCs w:val="20"/>
              </w:rPr>
              <w:t>等于</w:t>
            </w:r>
            <w:r>
              <w:rPr>
                <w:rFonts w:ascii="Times New Roman" w:hAnsi="Times New Roman"/>
                <w:kern w:val="0"/>
                <w:sz w:val="20"/>
                <w:szCs w:val="20"/>
              </w:rPr>
              <w:t>100%</w:t>
            </w:r>
            <w:r>
              <w:rPr>
                <w:rFonts w:hint="eastAsia" w:ascii="Times New Roman" w:hAnsi="Times New Roman"/>
                <w:kern w:val="0"/>
                <w:sz w:val="20"/>
                <w:szCs w:val="20"/>
              </w:rPr>
              <w:t>计满分，每超过（降低）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r>
              <w:rPr>
                <w:rFonts w:ascii="Times New Roman" w:hAnsi="Times New Roman"/>
                <w:kern w:val="0"/>
                <w:sz w:val="20"/>
                <w:szCs w:val="20"/>
              </w:rPr>
              <w:t>%=</w:t>
            </w:r>
            <w:r>
              <w:rPr>
                <w:rFonts w:hint="eastAsia" w:ascii="Times New Roman" w:hAnsi="Times New Roman"/>
                <w:kern w:val="0"/>
                <w:sz w:val="20"/>
                <w:szCs w:val="20"/>
              </w:rPr>
              <w:t>（实际履约验收个数</w:t>
            </w:r>
            <w:r>
              <w:rPr>
                <w:rFonts w:ascii="Times New Roman" w:hAnsi="Times New Roman"/>
                <w:kern w:val="0"/>
                <w:sz w:val="20"/>
                <w:szCs w:val="20"/>
              </w:rPr>
              <w:t>/</w:t>
            </w:r>
            <w:r>
              <w:rPr>
                <w:rFonts w:hint="eastAsia" w:ascii="Times New Roman" w:hAnsi="Times New Roman"/>
                <w:kern w:val="0"/>
                <w:sz w:val="20"/>
                <w:szCs w:val="20"/>
              </w:rPr>
              <w:t>政府采购个数）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2</w:t>
            </w:r>
          </w:p>
        </w:tc>
      </w:tr>
      <w:tr>
        <w:tblPrEx>
          <w:tblCellMar>
            <w:top w:w="0" w:type="dxa"/>
            <w:left w:w="108" w:type="dxa"/>
            <w:bottom w:w="0" w:type="dxa"/>
            <w:right w:w="108" w:type="dxa"/>
          </w:tblCellMar>
        </w:tblPrEx>
        <w:trPr>
          <w:trHeight w:val="2856" w:hRule="atLeast"/>
          <w:jc w:val="center"/>
        </w:trPr>
        <w:tc>
          <w:tcPr>
            <w:tcW w:w="70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Times New Roman"/>
                <w:kern w:val="0"/>
                <w:sz w:val="20"/>
                <w:szCs w:val="20"/>
              </w:rPr>
            </w:pPr>
          </w:p>
        </w:tc>
        <w:tc>
          <w:tcPr>
            <w:tcW w:w="67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有内部财务管理制度、会计核算制度等管理制度；</w:t>
            </w:r>
            <w:r>
              <w:rPr>
                <w:rFonts w:ascii="Times New Roman" w:hAnsi="Times New Roman"/>
                <w:kern w:val="0"/>
                <w:sz w:val="20"/>
                <w:szCs w:val="20"/>
              </w:rPr>
              <w:t>②</w:t>
            </w:r>
            <w:r>
              <w:rPr>
                <w:rFonts w:hint="eastAsia" w:ascii="Times New Roman" w:hAnsi="Times New Roman"/>
                <w:kern w:val="0"/>
                <w:sz w:val="20"/>
                <w:szCs w:val="20"/>
              </w:rPr>
              <w:t>有本部门厉行节约制度；</w:t>
            </w:r>
          </w:p>
          <w:p>
            <w:pPr>
              <w:widowControl/>
              <w:rPr>
                <w:rFonts w:ascii="Times New Roman" w:hAnsi="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相关管理制度合法、合规、完整；</w:t>
            </w:r>
            <w:r>
              <w:rPr>
                <w:rFonts w:ascii="Times New Roman" w:hAnsi="Times New Roman"/>
                <w:kern w:val="0"/>
                <w:sz w:val="20"/>
                <w:szCs w:val="20"/>
              </w:rPr>
              <w:t>④</w:t>
            </w:r>
            <w:r>
              <w:rPr>
                <w:rFonts w:hint="eastAsia" w:ascii="Times New Roman" w:hAnsi="Times New Roman"/>
                <w:kern w:val="0"/>
                <w:sz w:val="20"/>
                <w:szCs w:val="20"/>
              </w:rPr>
              <w:t>相关管理制度得到有效执行。</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2</w:t>
            </w:r>
          </w:p>
        </w:tc>
      </w:tr>
      <w:tr>
        <w:tblPrEx>
          <w:tblCellMar>
            <w:top w:w="0" w:type="dxa"/>
            <w:left w:w="108" w:type="dxa"/>
            <w:bottom w:w="0" w:type="dxa"/>
            <w:right w:w="108" w:type="dxa"/>
          </w:tblCellMar>
        </w:tblPrEx>
        <w:trPr>
          <w:trHeight w:val="3566"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pPr>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预算管理</w:t>
            </w:r>
          </w:p>
          <w:p>
            <w:pPr>
              <w:widowControl/>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4</w:t>
            </w:r>
          </w:p>
        </w:tc>
        <w:tc>
          <w:tcPr>
            <w:tcW w:w="294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支出符合国家财经法规和财务管理制度规定以及有关专项资金管理办法的规定；</w:t>
            </w:r>
            <w:r>
              <w:rPr>
                <w:rFonts w:ascii="Times New Roman" w:hAnsi="Times New Roman"/>
                <w:kern w:val="0"/>
                <w:sz w:val="20"/>
                <w:szCs w:val="20"/>
              </w:rPr>
              <w:t>②</w:t>
            </w:r>
            <w:r>
              <w:rPr>
                <w:rFonts w:hint="eastAsia" w:ascii="Times New Roman" w:hAnsi="Times New Roman"/>
                <w:kern w:val="0"/>
                <w:sz w:val="20"/>
                <w:szCs w:val="20"/>
              </w:rPr>
              <w:t>资金拨付有完整的审批程序和手续；</w:t>
            </w:r>
            <w:r>
              <w:rPr>
                <w:rFonts w:ascii="Times New Roman" w:hAnsi="Times New Roman"/>
                <w:kern w:val="0"/>
                <w:sz w:val="20"/>
                <w:szCs w:val="20"/>
              </w:rPr>
              <w:t>③</w:t>
            </w:r>
            <w:r>
              <w:rPr>
                <w:rFonts w:hint="eastAsia" w:ascii="Times New Roman" w:hAnsi="Times New Roman"/>
                <w:kern w:val="0"/>
                <w:sz w:val="20"/>
                <w:szCs w:val="20"/>
              </w:rPr>
              <w:t>项目支出按规定经过评估论证；</w:t>
            </w:r>
            <w:r>
              <w:rPr>
                <w:rFonts w:ascii="Times New Roman" w:hAnsi="Times New Roman"/>
                <w:kern w:val="0"/>
                <w:sz w:val="20"/>
                <w:szCs w:val="20"/>
              </w:rPr>
              <w:t>④</w:t>
            </w:r>
            <w:r>
              <w:rPr>
                <w:rFonts w:hint="eastAsia" w:ascii="Times New Roman" w:hAnsi="Times New Roman"/>
                <w:kern w:val="0"/>
                <w:sz w:val="20"/>
                <w:szCs w:val="20"/>
              </w:rPr>
              <w:t>支出符合部门预算批复的用途；</w:t>
            </w:r>
            <w:r>
              <w:rPr>
                <w:rFonts w:ascii="Times New Roman" w:hAnsi="Times New Roman"/>
                <w:kern w:val="0"/>
                <w:sz w:val="20"/>
                <w:szCs w:val="20"/>
              </w:rPr>
              <w:t>⑤</w:t>
            </w:r>
            <w:r>
              <w:rPr>
                <w:rFonts w:hint="eastAsia" w:ascii="Times New Roman" w:hAnsi="Times New Roman"/>
                <w:kern w:val="0"/>
                <w:sz w:val="20"/>
                <w:szCs w:val="20"/>
              </w:rPr>
              <w:t>资金使用无截留、挤占、挪用、虚列支出等情况。</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以上情况每出现一例不符合要求的扣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　</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rPr>
              <w:t>　</w:t>
            </w:r>
            <w:r>
              <w:rPr>
                <w:rFonts w:hint="eastAsia" w:ascii="Times New Roman" w:hAnsi="Times New Roman"/>
                <w:kern w:val="0"/>
                <w:sz w:val="24"/>
                <w:lang w:val="en-US" w:eastAsia="zh-CN"/>
              </w:rPr>
              <w:t>4</w:t>
            </w:r>
          </w:p>
        </w:tc>
      </w:tr>
      <w:tr>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按规定内容公开预决算信息，</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按规定时限公开预决算信息，</w:t>
            </w:r>
            <w:r>
              <w:rPr>
                <w:rFonts w:ascii="Times New Roman" w:hAnsi="Times New Roman"/>
                <w:kern w:val="0"/>
                <w:sz w:val="20"/>
                <w:szCs w:val="20"/>
              </w:rPr>
              <w:t>1</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2</w:t>
            </w:r>
          </w:p>
        </w:tc>
      </w:tr>
      <w:tr>
        <w:tblPrEx>
          <w:tblCellMar>
            <w:top w:w="0" w:type="dxa"/>
            <w:left w:w="108" w:type="dxa"/>
            <w:bottom w:w="0" w:type="dxa"/>
            <w:right w:w="108" w:type="dxa"/>
          </w:tblCellMar>
        </w:tblPrEx>
        <w:trPr>
          <w:trHeight w:val="1758"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基础信息完善性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tcPr>
          <w:p>
            <w:pPr>
              <w:widowControl/>
              <w:rPr>
                <w:rFonts w:ascii="Times New Roman" w:hAnsi="Times New Roman" w:eastAsia="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基础数据信息和会计信息数据真实计，计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基础数据信息和会计信息数据完整，计</w:t>
            </w:r>
            <w:r>
              <w:rPr>
                <w:rFonts w:ascii="Times New Roman" w:hAnsi="Times New Roman"/>
                <w:kern w:val="0"/>
                <w:sz w:val="20"/>
                <w:szCs w:val="20"/>
              </w:rPr>
              <w:t>0.5</w:t>
            </w:r>
            <w:r>
              <w:rPr>
                <w:rFonts w:hint="eastAsia" w:ascii="Times New Roman" w:hAnsi="Times New Roman"/>
                <w:kern w:val="0"/>
                <w:sz w:val="20"/>
                <w:szCs w:val="20"/>
              </w:rPr>
              <w:t>分；</w:t>
            </w:r>
            <w:r>
              <w:rPr>
                <w:rFonts w:ascii="Times New Roman" w:hAnsi="Times New Roman"/>
                <w:kern w:val="0"/>
                <w:sz w:val="20"/>
                <w:szCs w:val="20"/>
              </w:rPr>
              <w:t>③</w:t>
            </w:r>
            <w:r>
              <w:rPr>
                <w:rFonts w:hint="eastAsia" w:ascii="Times New Roman" w:hAnsi="Times New Roman"/>
                <w:kern w:val="0"/>
                <w:sz w:val="20"/>
                <w:szCs w:val="20"/>
              </w:rPr>
              <w:t>基础数据信息和会计信息数据准确，计</w:t>
            </w:r>
            <w:r>
              <w:rPr>
                <w:rFonts w:ascii="Times New Roman" w:hAnsi="Times New Roman"/>
                <w:kern w:val="0"/>
                <w:sz w:val="20"/>
                <w:szCs w:val="20"/>
              </w:rPr>
              <w:t>0.5</w:t>
            </w:r>
            <w:r>
              <w:rPr>
                <w:rFonts w:hint="eastAsia" w:ascii="Times New Roman" w:hAnsi="Times New Roman"/>
                <w:kern w:val="0"/>
                <w:sz w:val="20"/>
                <w:szCs w:val="20"/>
              </w:rPr>
              <w:t>。</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rPr>
              <w:t>　</w:t>
            </w:r>
            <w:r>
              <w:rPr>
                <w:rFonts w:hint="eastAsia" w:ascii="Times New Roman" w:hAnsi="Times New Roman"/>
                <w:kern w:val="0"/>
                <w:sz w:val="24"/>
                <w:lang w:val="en-US" w:eastAsia="zh-CN"/>
              </w:rPr>
              <w:t>2</w:t>
            </w:r>
          </w:p>
        </w:tc>
      </w:tr>
      <w:tr>
        <w:tblPrEx>
          <w:tblCellMar>
            <w:top w:w="0" w:type="dxa"/>
            <w:left w:w="108" w:type="dxa"/>
            <w:bottom w:w="0" w:type="dxa"/>
            <w:right w:w="108" w:type="dxa"/>
          </w:tblCellMar>
        </w:tblPrEx>
        <w:trPr>
          <w:trHeight w:val="2125"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restart"/>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pPr>
              <w:widowControl/>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已制定或具有资产管理制度，计</w:t>
            </w:r>
            <w:r>
              <w:rPr>
                <w:rFonts w:ascii="Times New Roman" w:hAnsi="Times New Roman"/>
                <w:kern w:val="0"/>
                <w:sz w:val="20"/>
                <w:szCs w:val="20"/>
              </w:rPr>
              <w:t>0.3</w:t>
            </w:r>
            <w:r>
              <w:rPr>
                <w:rFonts w:hint="eastAsia" w:ascii="Times New Roman" w:hAnsi="Times New Roman"/>
                <w:kern w:val="0"/>
                <w:sz w:val="20"/>
                <w:szCs w:val="20"/>
              </w:rPr>
              <w:t>分；</w:t>
            </w:r>
            <w:r>
              <w:rPr>
                <w:rFonts w:ascii="Times New Roman" w:hAnsi="Times New Roman"/>
                <w:kern w:val="0"/>
                <w:sz w:val="20"/>
                <w:szCs w:val="20"/>
              </w:rPr>
              <w:t xml:space="preserve">  ②</w:t>
            </w:r>
            <w:r>
              <w:rPr>
                <w:rFonts w:hint="eastAsia" w:ascii="Times New Roman" w:hAnsi="Times New Roman"/>
                <w:kern w:val="0"/>
                <w:sz w:val="20"/>
                <w:szCs w:val="20"/>
              </w:rPr>
              <w:t>相关资产管理制度是否合法、合规、完整，计</w:t>
            </w:r>
            <w:r>
              <w:rPr>
                <w:rFonts w:ascii="Times New Roman" w:hAnsi="Times New Roman"/>
                <w:kern w:val="0"/>
                <w:sz w:val="20"/>
                <w:szCs w:val="20"/>
              </w:rPr>
              <w:t>0.2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相关资产管理制度是否得到有效执行，</w:t>
            </w:r>
            <w:r>
              <w:rPr>
                <w:rFonts w:ascii="Times New Roman" w:hAnsi="Times New Roman"/>
                <w:kern w:val="0"/>
                <w:sz w:val="20"/>
                <w:szCs w:val="20"/>
              </w:rPr>
              <w:t>0.5</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1</w:t>
            </w:r>
          </w:p>
        </w:tc>
      </w:tr>
      <w:tr>
        <w:tblPrEx>
          <w:tblCellMar>
            <w:top w:w="0" w:type="dxa"/>
            <w:left w:w="108" w:type="dxa"/>
            <w:bottom w:w="0" w:type="dxa"/>
            <w:right w:w="108" w:type="dxa"/>
          </w:tblCellMar>
        </w:tblPrEx>
        <w:trPr>
          <w:trHeight w:val="26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安全性</w:t>
            </w:r>
          </w:p>
        </w:tc>
        <w:tc>
          <w:tcPr>
            <w:tcW w:w="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资产保存完整，计</w:t>
            </w:r>
            <w:r>
              <w:rPr>
                <w:rFonts w:ascii="Times New Roman" w:hAnsi="Times New Roman"/>
                <w:kern w:val="0"/>
                <w:sz w:val="20"/>
                <w:szCs w:val="20"/>
              </w:rPr>
              <w:t>1</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资产配置合理，符合省定标准，计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③</w:t>
            </w:r>
            <w:r>
              <w:rPr>
                <w:rFonts w:hint="eastAsia" w:ascii="Times New Roman" w:hAnsi="Times New Roman"/>
                <w:kern w:val="0"/>
                <w:sz w:val="20"/>
                <w:szCs w:val="20"/>
              </w:rPr>
              <w:t>资产处置规范，计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④</w:t>
            </w:r>
            <w:r>
              <w:rPr>
                <w:rFonts w:hint="eastAsia" w:ascii="Times New Roman" w:hAnsi="Times New Roman"/>
                <w:kern w:val="0"/>
                <w:sz w:val="20"/>
                <w:szCs w:val="20"/>
              </w:rPr>
              <w:t>资产账务管理合规，</w:t>
            </w:r>
            <w:r>
              <w:rPr>
                <w:rFonts w:hint="eastAsia" w:ascii="Times New Roman" w:hAnsi="Times New Roman"/>
                <w:kern w:val="0"/>
                <w:sz w:val="20"/>
                <w:szCs w:val="20"/>
                <w:lang w:eastAsia="zh-CN"/>
              </w:rPr>
              <w:t>账实相符</w:t>
            </w:r>
            <w:r>
              <w:rPr>
                <w:rFonts w:hint="eastAsia" w:ascii="Times New Roman" w:hAnsi="Times New Roman"/>
                <w:kern w:val="0"/>
                <w:sz w:val="20"/>
                <w:szCs w:val="20"/>
              </w:rPr>
              <w:t>，计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ascii="Times New Roman" w:hAnsi="Times New Roman"/>
                <w:kern w:val="0"/>
                <w:sz w:val="20"/>
                <w:szCs w:val="20"/>
              </w:rPr>
              <w:t>⑤</w:t>
            </w:r>
            <w:r>
              <w:rPr>
                <w:rFonts w:hint="eastAsia" w:ascii="Times New Roman" w:hAnsi="Times New Roman"/>
                <w:kern w:val="0"/>
                <w:sz w:val="20"/>
                <w:szCs w:val="20"/>
              </w:rPr>
              <w:t>资产有偿使用及处置收入及时足额上缴，计</w:t>
            </w:r>
            <w:r>
              <w:rPr>
                <w:rFonts w:ascii="Times New Roman" w:hAnsi="Times New Roman"/>
                <w:kern w:val="0"/>
                <w:sz w:val="20"/>
                <w:szCs w:val="20"/>
              </w:rPr>
              <w:t>0.5</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w:t>
            </w:r>
          </w:p>
        </w:tc>
        <w:tc>
          <w:tcPr>
            <w:tcW w:w="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利用率为</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分，每减少</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0.2</w:t>
            </w:r>
            <w:r>
              <w:rPr>
                <w:rFonts w:hint="eastAsia" w:ascii="Times New Roman" w:hAnsi="Times New Roman"/>
                <w:kern w:val="0"/>
                <w:sz w:val="20"/>
                <w:szCs w:val="20"/>
              </w:rPr>
              <w:t>分，扣完为止。</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固定资产利用率</w:t>
            </w:r>
            <w:r>
              <w:rPr>
                <w:rFonts w:ascii="Times New Roman" w:hAnsi="Times New Roman"/>
                <w:kern w:val="0"/>
                <w:sz w:val="20"/>
                <w:szCs w:val="20"/>
              </w:rPr>
              <w:t>=</w:t>
            </w:r>
            <w:r>
              <w:rPr>
                <w:rFonts w:hint="eastAsia" w:ascii="Times New Roman" w:hAnsi="Times New Roman"/>
                <w:kern w:val="0"/>
                <w:sz w:val="20"/>
                <w:szCs w:val="20"/>
              </w:rPr>
              <w:t>（实际在用固定资产总额</w:t>
            </w:r>
            <w:r>
              <w:rPr>
                <w:rFonts w:ascii="Times New Roman" w:hAnsi="Times New Roman"/>
                <w:kern w:val="0"/>
                <w:sz w:val="20"/>
                <w:szCs w:val="20"/>
              </w:rPr>
              <w:t>/</w:t>
            </w:r>
            <w:r>
              <w:rPr>
                <w:rFonts w:hint="eastAsia" w:ascii="Times New Roman" w:hAnsi="Times New Roman"/>
                <w:kern w:val="0"/>
                <w:sz w:val="20"/>
                <w:szCs w:val="20"/>
              </w:rPr>
              <w:t>所有固定资产总额）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1</w:t>
            </w:r>
          </w:p>
        </w:tc>
      </w:tr>
      <w:tr>
        <w:tblPrEx>
          <w:tblCellMar>
            <w:top w:w="0" w:type="dxa"/>
            <w:left w:w="108" w:type="dxa"/>
            <w:bottom w:w="0" w:type="dxa"/>
            <w:right w:w="108" w:type="dxa"/>
          </w:tblCellMar>
        </w:tblPrEx>
        <w:trPr>
          <w:trHeight w:val="520" w:hRule="atLeast"/>
          <w:jc w:val="center"/>
        </w:trPr>
        <w:tc>
          <w:tcPr>
            <w:tcW w:w="70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产</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出</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职责履行</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实际完成率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10</w:t>
            </w:r>
          </w:p>
        </w:tc>
        <w:tc>
          <w:tcPr>
            <w:tcW w:w="294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10</w:t>
            </w:r>
            <w:r>
              <w:rPr>
                <w:rFonts w:hint="eastAsia" w:ascii="Times New Roman" w:hAnsi="Times New Roman"/>
                <w:kern w:val="0"/>
                <w:sz w:val="20"/>
                <w:szCs w:val="20"/>
              </w:rPr>
              <w:t>分；</w:t>
            </w:r>
            <w:r>
              <w:rPr>
                <w:rFonts w:ascii="Times New Roman" w:hAnsi="Times New Roman"/>
                <w:kern w:val="0"/>
                <w:sz w:val="20"/>
                <w:szCs w:val="20"/>
              </w:rPr>
              <w:t>95%</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8</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85%</w:t>
            </w:r>
            <w:r>
              <w:rPr>
                <w:rFonts w:hint="eastAsia" w:ascii="Times New Roman" w:hAnsi="Times New Roman"/>
                <w:kern w:val="0"/>
                <w:sz w:val="20"/>
                <w:szCs w:val="20"/>
              </w:rPr>
              <w:t>（含）</w:t>
            </w:r>
            <w:r>
              <w:rPr>
                <w:rFonts w:ascii="Times New Roman" w:hAnsi="Times New Roman"/>
                <w:kern w:val="0"/>
                <w:sz w:val="20"/>
                <w:szCs w:val="20"/>
              </w:rPr>
              <w:t>-95%</w:t>
            </w:r>
            <w:r>
              <w:rPr>
                <w:rFonts w:hint="eastAsia" w:ascii="Times New Roman" w:hAnsi="Times New Roman"/>
                <w:kern w:val="0"/>
                <w:sz w:val="20"/>
                <w:szCs w:val="20"/>
              </w:rPr>
              <w:t>，计</w:t>
            </w:r>
            <w:r>
              <w:rPr>
                <w:rFonts w:ascii="Times New Roman" w:hAnsi="Times New Roman"/>
                <w:kern w:val="0"/>
                <w:sz w:val="20"/>
                <w:szCs w:val="20"/>
              </w:rPr>
              <w:t>6</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ascii="Times New Roman" w:hAnsi="Times New Roman"/>
                <w:kern w:val="0"/>
                <w:sz w:val="20"/>
                <w:szCs w:val="20"/>
              </w:rPr>
              <w:t>70%-85%</w:t>
            </w:r>
            <w:r>
              <w:rPr>
                <w:rFonts w:hint="eastAsia" w:ascii="Times New Roman" w:hAnsi="Times New Roman"/>
                <w:kern w:val="0"/>
                <w:sz w:val="20"/>
                <w:szCs w:val="20"/>
              </w:rPr>
              <w:t>，计</w:t>
            </w:r>
            <w:r>
              <w:rPr>
                <w:rFonts w:ascii="Times New Roman" w:hAnsi="Times New Roman"/>
                <w:kern w:val="0"/>
                <w:sz w:val="20"/>
                <w:szCs w:val="20"/>
              </w:rPr>
              <w:t>5</w:t>
            </w:r>
            <w:r>
              <w:rPr>
                <w:rFonts w:hint="eastAsia" w:ascii="Times New Roman" w:hAnsi="Times New Roman"/>
                <w:kern w:val="0"/>
                <w:sz w:val="20"/>
                <w:szCs w:val="20"/>
              </w:rPr>
              <w:t>分；低于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实际完成率</w:t>
            </w:r>
            <w:r>
              <w:rPr>
                <w:rFonts w:ascii="Times New Roman" w:hAnsi="Times New Roman"/>
                <w:kern w:val="0"/>
                <w:sz w:val="20"/>
                <w:szCs w:val="20"/>
              </w:rPr>
              <w:t>=</w:t>
            </w:r>
            <w:r>
              <w:rPr>
                <w:rFonts w:hint="eastAsia" w:ascii="Times New Roman" w:hAnsi="Times New Roman"/>
                <w:kern w:val="0"/>
                <w:sz w:val="20"/>
                <w:szCs w:val="20"/>
              </w:rPr>
              <w:t>（实际完成工作数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实际完成工作数：一定时期（年度或规划期）内部门实际完成工作任务的数量。</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计划工作数：部门整体绩效目标确定的一定时期（年度或规划期）内预计完成工作任务的数量。</w:t>
            </w:r>
          </w:p>
        </w:tc>
        <w:tc>
          <w:tcPr>
            <w:tcW w:w="63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10</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完成及时率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完成及时率</w:t>
            </w:r>
            <w:r>
              <w:rPr>
                <w:rFonts w:ascii="Times New Roman" w:hAnsi="Times New Roman"/>
                <w:kern w:val="0"/>
                <w:sz w:val="20"/>
                <w:szCs w:val="20"/>
              </w:rPr>
              <w:t>=</w:t>
            </w:r>
            <w:r>
              <w:rPr>
                <w:rFonts w:hint="eastAsia" w:ascii="Times New Roman" w:hAnsi="Times New Roman"/>
                <w:kern w:val="0"/>
                <w:sz w:val="20"/>
                <w:szCs w:val="20"/>
              </w:rPr>
              <w:t>（及时完成实际工作数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及时完成实际工作数：部门按照整体绩效目标确定的时限实际完成的工作任务数量。</w:t>
            </w:r>
          </w:p>
        </w:tc>
        <w:tc>
          <w:tcPr>
            <w:tcW w:w="637"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品质达标率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质量达标率</w:t>
            </w:r>
            <w:r>
              <w:rPr>
                <w:rFonts w:ascii="Times New Roman" w:hAnsi="Times New Roman"/>
                <w:kern w:val="0"/>
                <w:sz w:val="20"/>
                <w:szCs w:val="20"/>
              </w:rPr>
              <w:t>=</w:t>
            </w:r>
            <w:r>
              <w:rPr>
                <w:rFonts w:hint="eastAsia" w:ascii="Times New Roman" w:hAnsi="Times New Roman"/>
                <w:kern w:val="0"/>
                <w:sz w:val="20"/>
                <w:szCs w:val="20"/>
              </w:rPr>
              <w:t>（质量达标实际工作数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质量达标实际工作数：一定时期（年度或规划期）内部门实际完成工作数中达到部门绩效目标要求（绩效标准值）的工作任务数量。</w:t>
            </w:r>
          </w:p>
        </w:tc>
        <w:tc>
          <w:tcPr>
            <w:tcW w:w="637"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重点工作办结率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8</w:t>
            </w:r>
          </w:p>
        </w:tc>
        <w:tc>
          <w:tcPr>
            <w:tcW w:w="2948"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根据市绩效办</w:t>
            </w:r>
            <w:r>
              <w:rPr>
                <w:rFonts w:ascii="Times New Roman" w:hAnsi="Times New Roman"/>
                <w:kern w:val="0"/>
                <w:sz w:val="20"/>
                <w:szCs w:val="20"/>
              </w:rPr>
              <w:t>2019</w:t>
            </w:r>
            <w:r>
              <w:rPr>
                <w:rFonts w:hint="eastAsia" w:ascii="Times New Roman" w:hAnsi="Times New Roman"/>
                <w:kern w:val="0"/>
                <w:sz w:val="20"/>
                <w:szCs w:val="20"/>
              </w:rPr>
              <w:t>年对各部门为民办实事和部门重点工程与重点工作考核分数折算。</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该项得分</w:t>
            </w:r>
            <w:r>
              <w:rPr>
                <w:rFonts w:ascii="Times New Roman" w:hAnsi="Times New Roman"/>
                <w:kern w:val="0"/>
                <w:sz w:val="20"/>
                <w:szCs w:val="20"/>
              </w:rPr>
              <w:t>=</w:t>
            </w:r>
            <w:r>
              <w:rPr>
                <w:rFonts w:hint="eastAsia" w:ascii="Times New Roman" w:hAnsi="Times New Roman"/>
                <w:kern w:val="0"/>
                <w:sz w:val="20"/>
                <w:szCs w:val="20"/>
              </w:rPr>
              <w:t>（绩效办对应部分考核得分</w:t>
            </w:r>
            <w:r>
              <w:rPr>
                <w:rFonts w:ascii="Times New Roman" w:hAnsi="Times New Roman"/>
                <w:kern w:val="0"/>
                <w:sz w:val="20"/>
                <w:szCs w:val="20"/>
              </w:rPr>
              <w:t>/</w:t>
            </w:r>
            <w:r>
              <w:rPr>
                <w:rFonts w:hint="eastAsia" w:ascii="Times New Roman" w:hAnsi="Times New Roman"/>
                <w:kern w:val="0"/>
                <w:sz w:val="20"/>
                <w:szCs w:val="20"/>
              </w:rPr>
              <w:t>该部分总分）</w:t>
            </w:r>
            <w:r>
              <w:rPr>
                <w:rFonts w:ascii="Times New Roman" w:hAnsi="Times New Roman"/>
                <w:kern w:val="0"/>
                <w:sz w:val="20"/>
                <w:szCs w:val="20"/>
              </w:rPr>
              <w:t>×8</w:t>
            </w:r>
            <w:r>
              <w:rPr>
                <w:rFonts w:hint="eastAsia" w:ascii="Times New Roman" w:hAnsi="Times New Roman"/>
                <w:kern w:val="0"/>
                <w:sz w:val="20"/>
                <w:szCs w:val="20"/>
              </w:rPr>
              <w:t>。</w:t>
            </w:r>
          </w:p>
        </w:tc>
        <w:tc>
          <w:tcPr>
            <w:tcW w:w="3490"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重点工作办结率</w:t>
            </w:r>
            <w:r>
              <w:rPr>
                <w:rFonts w:ascii="Times New Roman" w:hAnsi="Times New Roman"/>
                <w:kern w:val="0"/>
                <w:sz w:val="20"/>
                <w:szCs w:val="20"/>
              </w:rPr>
              <w:t>=</w:t>
            </w:r>
            <w:r>
              <w:rPr>
                <w:rFonts w:hint="eastAsia" w:ascii="Times New Roman" w:hAnsi="Times New Roman"/>
                <w:kern w:val="0"/>
                <w:sz w:val="20"/>
                <w:szCs w:val="20"/>
              </w:rPr>
              <w:t>（重点工作实际完成数</w:t>
            </w:r>
            <w:r>
              <w:rPr>
                <w:rFonts w:ascii="Times New Roman" w:hAnsi="Times New Roman"/>
                <w:kern w:val="0"/>
                <w:sz w:val="20"/>
                <w:szCs w:val="20"/>
              </w:rPr>
              <w:t>/</w:t>
            </w:r>
            <w:r>
              <w:rPr>
                <w:rFonts w:hint="eastAsia" w:ascii="Times New Roman" w:hAnsi="Times New Roman"/>
                <w:kern w:val="0"/>
                <w:sz w:val="20"/>
                <w:szCs w:val="20"/>
              </w:rPr>
              <w:t>交办或下达数）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重点工作是指党委、政府、人大、相关部门交办或下达的工作任务。</w:t>
            </w:r>
          </w:p>
        </w:tc>
        <w:tc>
          <w:tcPr>
            <w:tcW w:w="637"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70"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效</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果</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履职效益</w:t>
            </w:r>
          </w:p>
          <w:p>
            <w:pPr>
              <w:widowControl/>
              <w:jc w:val="center"/>
              <w:rPr>
                <w:rFonts w:ascii="Times New Roman" w:hAnsi="Times New Roman" w:eastAsia="Times New Roman"/>
                <w:kern w:val="0"/>
                <w:sz w:val="20"/>
                <w:szCs w:val="20"/>
              </w:rPr>
            </w:pPr>
          </w:p>
          <w:p>
            <w:pPr>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nil"/>
              <w:left w:val="nil"/>
              <w:bottom w:val="nil"/>
              <w:right w:val="single" w:color="auto" w:sz="4" w:space="0"/>
            </w:tcBorders>
            <w:vAlign w:val="center"/>
          </w:tcPr>
          <w:p>
            <w:pPr>
              <w:widowControl/>
              <w:jc w:val="left"/>
              <w:rPr>
                <w:rFonts w:ascii="Times New Roman" w:hAnsi="Times New Roman" w:eastAsia="Times New Roman"/>
                <w:kern w:val="0"/>
                <w:sz w:val="20"/>
                <w:szCs w:val="20"/>
              </w:rPr>
            </w:pPr>
          </w:p>
        </w:tc>
        <w:tc>
          <w:tcPr>
            <w:tcW w:w="483" w:type="dxa"/>
            <w:tcBorders>
              <w:top w:val="nil"/>
              <w:left w:val="nil"/>
              <w:right w:val="single" w:color="auto" w:sz="4" w:space="0"/>
            </w:tcBorders>
            <w:vAlign w:val="center"/>
          </w:tcPr>
          <w:p>
            <w:pPr>
              <w:widowControl/>
              <w:jc w:val="center"/>
              <w:rPr>
                <w:rFonts w:ascii="Times New Roman" w:hAnsi="Times New Roman" w:eastAsia="Times New Roman"/>
                <w:kern w:val="0"/>
                <w:sz w:val="20"/>
                <w:szCs w:val="20"/>
              </w:rPr>
            </w:pPr>
          </w:p>
        </w:tc>
        <w:tc>
          <w:tcPr>
            <w:tcW w:w="6438" w:type="dxa"/>
            <w:gridSpan w:val="2"/>
            <w:tcBorders>
              <w:top w:val="nil"/>
              <w:left w:val="nil"/>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right w:val="single" w:color="auto" w:sz="4" w:space="0"/>
            </w:tcBorders>
            <w:vAlign w:val="center"/>
          </w:tcPr>
          <w:p>
            <w:pPr>
              <w:widowControl/>
              <w:jc w:val="left"/>
              <w:rPr>
                <w:rFonts w:ascii="Times New Roman" w:hAnsi="Times New Roman"/>
                <w:kern w:val="0"/>
                <w:sz w:val="24"/>
              </w:rPr>
            </w:pPr>
            <w:r>
              <w:rPr>
                <w:rFonts w:hint="eastAsia" w:ascii="Times New Roman" w:hAnsi="Times New Roman"/>
                <w:kern w:val="0"/>
                <w:sz w:val="24"/>
              </w:rPr>
              <w:t>　</w:t>
            </w:r>
          </w:p>
        </w:tc>
      </w:tr>
      <w:tr>
        <w:tblPrEx>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经济效益</w:t>
            </w:r>
          </w:p>
        </w:tc>
        <w:tc>
          <w:tcPr>
            <w:tcW w:w="483" w:type="dxa"/>
            <w:vMerge w:val="restart"/>
            <w:tcBorders>
              <w:top w:val="nil"/>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15</w:t>
            </w:r>
          </w:p>
        </w:tc>
        <w:tc>
          <w:tcPr>
            <w:tcW w:w="6438" w:type="dxa"/>
            <w:gridSpan w:val="2"/>
            <w:vMerge w:val="restart"/>
            <w:tcBorders>
              <w:left w:val="single" w:color="auto" w:sz="4" w:space="0"/>
              <w:right w:val="single" w:color="000000"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此三项指标为设置部门整体支出绩效评价指标时必须考虑的共性要素，可根据部门实际情况有选择的进行设置，并将其细化为相应的个性化指标。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jc w:val="left"/>
              <w:rPr>
                <w:rFonts w:ascii="Times New Roman" w:hAnsi="Times New Roman"/>
                <w:kern w:val="0"/>
                <w:sz w:val="24"/>
              </w:rPr>
            </w:pPr>
            <w:r>
              <w:rPr>
                <w:rFonts w:hint="eastAsia" w:ascii="Times New Roman" w:hAnsi="Times New Roman"/>
                <w:kern w:val="0"/>
                <w:sz w:val="24"/>
              </w:rPr>
              <w:t>　</w:t>
            </w:r>
          </w:p>
        </w:tc>
      </w:tr>
      <w:tr>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社会效益</w:t>
            </w:r>
          </w:p>
        </w:tc>
        <w:tc>
          <w:tcPr>
            <w:tcW w:w="483" w:type="dxa"/>
            <w:vMerge w:val="continue"/>
            <w:tcBorders>
              <w:left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438" w:type="dxa"/>
            <w:gridSpan w:val="2"/>
            <w:vMerge w:val="continue"/>
            <w:tcBorders>
              <w:left w:val="single" w:color="auto" w:sz="4" w:space="0"/>
              <w:right w:val="single" w:color="000000" w:sz="4" w:space="0"/>
            </w:tcBorders>
            <w:vAlign w:val="center"/>
          </w:tcPr>
          <w:p>
            <w:pPr>
              <w:widowControl/>
              <w:jc w:val="left"/>
              <w:rPr>
                <w:rFonts w:ascii="Times New Roman" w:hAnsi="Times New Roman" w:eastAsia="Times New Roman"/>
                <w:kern w:val="0"/>
                <w:sz w:val="20"/>
                <w:szCs w:val="20"/>
              </w:rPr>
            </w:pPr>
          </w:p>
        </w:tc>
        <w:tc>
          <w:tcPr>
            <w:tcW w:w="637" w:type="dxa"/>
            <w:vMerge w:val="restart"/>
            <w:tcBorders>
              <w:top w:val="nil"/>
              <w:left w:val="nil"/>
              <w:right w:val="single" w:color="auto" w:sz="4" w:space="0"/>
            </w:tcBorders>
            <w:vAlign w:val="center"/>
          </w:tcPr>
          <w:p>
            <w:pPr>
              <w:widowControl/>
              <w:jc w:val="left"/>
              <w:rPr>
                <w:rFonts w:ascii="Times New Roman" w:hAnsi="Times New Roman"/>
                <w:kern w:val="0"/>
                <w:sz w:val="24"/>
              </w:rPr>
            </w:pPr>
            <w:r>
              <w:rPr>
                <w:rFonts w:hint="eastAsia" w:ascii="Times New Roman" w:hAnsi="Times New Roman"/>
                <w:kern w:val="0"/>
                <w:sz w:val="24"/>
                <w:lang w:val="en-US" w:eastAsia="zh-CN"/>
              </w:rPr>
              <w:t>15</w:t>
            </w:r>
            <w:r>
              <w:rPr>
                <w:rFonts w:hint="eastAsia" w:ascii="Times New Roman" w:hAnsi="Times New Roman"/>
                <w:kern w:val="0"/>
                <w:sz w:val="24"/>
              </w:rPr>
              <w:t>　</w:t>
            </w:r>
          </w:p>
        </w:tc>
      </w:tr>
      <w:tr>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生态效益</w:t>
            </w:r>
          </w:p>
        </w:tc>
        <w:tc>
          <w:tcPr>
            <w:tcW w:w="483" w:type="dxa"/>
            <w:vMerge w:val="continue"/>
            <w:tcBorders>
              <w:left w:val="single" w:color="auto" w:sz="4" w:space="0"/>
              <w:bottom w:val="nil"/>
              <w:right w:val="single" w:color="auto" w:sz="4" w:space="0"/>
            </w:tcBorders>
            <w:vAlign w:val="center"/>
          </w:tcPr>
          <w:p>
            <w:pPr>
              <w:widowControl/>
              <w:jc w:val="left"/>
              <w:rPr>
                <w:rFonts w:ascii="Times New Roman" w:hAnsi="Times New Roman" w:eastAsia="Times New Roman"/>
                <w:kern w:val="0"/>
                <w:sz w:val="20"/>
                <w:szCs w:val="20"/>
              </w:rPr>
            </w:pPr>
          </w:p>
        </w:tc>
        <w:tc>
          <w:tcPr>
            <w:tcW w:w="6438" w:type="dxa"/>
            <w:gridSpan w:val="2"/>
            <w:vMerge w:val="continue"/>
            <w:tcBorders>
              <w:left w:val="single" w:color="auto" w:sz="4" w:space="0"/>
              <w:bottom w:val="nil"/>
              <w:right w:val="single" w:color="000000" w:sz="4" w:space="0"/>
            </w:tcBorders>
            <w:vAlign w:val="center"/>
          </w:tcPr>
          <w:p>
            <w:pPr>
              <w:widowControl/>
              <w:jc w:val="left"/>
              <w:rPr>
                <w:rFonts w:ascii="Times New Roman" w:hAnsi="Times New Roman" w:eastAsia="Times New Roman"/>
                <w:kern w:val="0"/>
                <w:sz w:val="20"/>
                <w:szCs w:val="20"/>
              </w:rPr>
            </w:pPr>
          </w:p>
        </w:tc>
        <w:tc>
          <w:tcPr>
            <w:tcW w:w="637" w:type="dxa"/>
            <w:vMerge w:val="continue"/>
            <w:tcBorders>
              <w:left w:val="nil"/>
              <w:bottom w:val="nil"/>
              <w:right w:val="single" w:color="auto" w:sz="4" w:space="0"/>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促进部门改进工作作风，加强资金及资产管理，推动提质增效，降低运行成本，效果较好的计</w:t>
            </w:r>
            <w:r>
              <w:rPr>
                <w:rFonts w:ascii="Times New Roman" w:hAnsi="Times New Roman"/>
                <w:kern w:val="0"/>
                <w:sz w:val="20"/>
                <w:szCs w:val="20"/>
              </w:rPr>
              <w:t>6</w:t>
            </w:r>
            <w:r>
              <w:rPr>
                <w:rFonts w:hint="eastAsia" w:ascii="Times New Roman" w:hAnsi="Times New Roman"/>
                <w:kern w:val="0"/>
                <w:sz w:val="20"/>
                <w:szCs w:val="20"/>
              </w:rPr>
              <w:t>分；一般</w:t>
            </w:r>
            <w:r>
              <w:rPr>
                <w:rFonts w:ascii="Times New Roman" w:hAnsi="Times New Roman"/>
                <w:kern w:val="0"/>
                <w:sz w:val="20"/>
                <w:szCs w:val="20"/>
              </w:rPr>
              <w:t>3</w:t>
            </w:r>
            <w:r>
              <w:rPr>
                <w:rFonts w:hint="eastAsia" w:ascii="Times New Roman" w:hAnsi="Times New Roman"/>
                <w:kern w:val="0"/>
                <w:sz w:val="20"/>
                <w:szCs w:val="20"/>
              </w:rPr>
              <w:t>分；无效果或者效果不明显计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rPr>
            </w:pPr>
            <w:r>
              <w:rPr>
                <w:rFonts w:hint="eastAsia" w:ascii="Times New Roman" w:hAnsi="Times New Roman"/>
                <w:kern w:val="0"/>
                <w:sz w:val="24"/>
                <w:lang w:val="en-US" w:eastAsia="zh-CN"/>
              </w:rPr>
              <w:t>6</w:t>
            </w:r>
            <w:r>
              <w:rPr>
                <w:rFonts w:hint="eastAsia" w:ascii="Times New Roman" w:hAnsi="Times New Roman"/>
                <w:kern w:val="0"/>
                <w:sz w:val="24"/>
              </w:rPr>
              <w:t>　</w:t>
            </w:r>
          </w:p>
        </w:tc>
      </w:tr>
      <w:tr>
        <w:tblPrEx>
          <w:tblCellMar>
            <w:top w:w="0" w:type="dxa"/>
            <w:left w:w="108" w:type="dxa"/>
            <w:bottom w:w="0" w:type="dxa"/>
            <w:right w:w="108" w:type="dxa"/>
          </w:tblCellMar>
        </w:tblPrEx>
        <w:trPr>
          <w:trHeight w:val="125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9</w:t>
            </w:r>
          </w:p>
        </w:tc>
        <w:tc>
          <w:tcPr>
            <w:tcW w:w="294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90%</w:t>
            </w:r>
            <w:r>
              <w:rPr>
                <w:rFonts w:hint="eastAsia" w:ascii="Times New Roman" w:hAnsi="Times New Roman"/>
                <w:kern w:val="0"/>
                <w:sz w:val="20"/>
                <w:szCs w:val="20"/>
              </w:rPr>
              <w:t>（含）以上计</w:t>
            </w:r>
            <w:r>
              <w:rPr>
                <w:rFonts w:ascii="Times New Roman" w:hAnsi="Times New Roman"/>
                <w:kern w:val="0"/>
                <w:sz w:val="20"/>
                <w:szCs w:val="20"/>
              </w:rPr>
              <w:t>6</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80%</w:t>
            </w:r>
            <w:r>
              <w:rPr>
                <w:rFonts w:hint="eastAsia" w:ascii="Times New Roman" w:hAnsi="Times New Roman"/>
                <w:kern w:val="0"/>
                <w:sz w:val="20"/>
                <w:szCs w:val="20"/>
              </w:rPr>
              <w:t>（含）</w:t>
            </w:r>
            <w:r>
              <w:rPr>
                <w:rFonts w:ascii="Times New Roman" w:hAnsi="Times New Roman"/>
                <w:kern w:val="0"/>
                <w:sz w:val="20"/>
                <w:szCs w:val="20"/>
              </w:rPr>
              <w:t>-90%</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4"/>
                <w:lang w:val="en-US" w:eastAsia="zh-CN"/>
              </w:rPr>
            </w:pPr>
            <w:r>
              <w:rPr>
                <w:rFonts w:hint="eastAsia" w:ascii="Times New Roman" w:hAnsi="Times New Roman"/>
                <w:kern w:val="0"/>
                <w:sz w:val="24"/>
              </w:rPr>
              <w:t>　</w:t>
            </w:r>
            <w:r>
              <w:rPr>
                <w:rFonts w:hint="eastAsia" w:ascii="Times New Roman" w:hAnsi="Times New Roman"/>
                <w:kern w:val="0"/>
                <w:sz w:val="24"/>
                <w:lang w:val="en-US" w:eastAsia="zh-CN"/>
              </w:rPr>
              <w:t>9</w:t>
            </w:r>
          </w:p>
        </w:tc>
      </w:tr>
    </w:tbl>
    <w:p>
      <w:pPr>
        <w:widowControl/>
        <w:rPr>
          <w:rFonts w:ascii="Times New Roman" w:hAnsi="Times New Roman" w:eastAsia="仿宋"/>
          <w:color w:val="000000"/>
          <w:kern w:val="0"/>
          <w:sz w:val="32"/>
          <w:szCs w:val="32"/>
        </w:rPr>
      </w:pPr>
    </w:p>
    <w:p>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ascii="Times New Roman" w:hAnsi="Times New Roman" w:eastAsia="仿宋"/>
          <w:color w:val="000000"/>
          <w:kern w:val="0"/>
          <w:sz w:val="32"/>
          <w:szCs w:val="32"/>
        </w:rPr>
        <w:t xml:space="preserve">3        </w:t>
      </w:r>
      <w:r>
        <w:rPr>
          <w:rFonts w:hint="eastAsia" w:ascii="Times New Roman" w:hAnsi="Times New Roman"/>
          <w:kern w:val="0"/>
          <w:sz w:val="36"/>
          <w:szCs w:val="36"/>
        </w:rPr>
        <w:t>部门整体支出绩效评价基础表</w:t>
      </w:r>
    </w:p>
    <w:p>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2"/>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83</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92.22%</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201</w:t>
            </w:r>
            <w:r>
              <w:rPr>
                <w:rFonts w:hint="eastAsia" w:ascii="Times New Roman" w:hAnsi="Times New Roman"/>
                <w:b/>
                <w:bCs/>
                <w:kern w:val="0"/>
                <w:szCs w:val="21"/>
              </w:rPr>
              <w:t>9年决算数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24246331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17427600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25049617.38</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3874196.62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1910100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3096557.03</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273826.48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105000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277142.51</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284665.09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176000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400187.36</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55230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29304</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122312.92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370000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98862.46</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85154.73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120000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84596.46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85154.73</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120000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84596.46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50000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37158.19</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200000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14266</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6753991.5</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2305000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5436820.03</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572439</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50000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1202838</w:t>
            </w:r>
            <w:r>
              <w:rPr>
                <w:rFonts w:hint="eastAsia" w:ascii="Times New Roman" w:hAnsi="Times New Roman"/>
                <w:kern w:val="0"/>
                <w:szCs w:val="21"/>
              </w:rPr>
              <w:t>　</w:t>
            </w:r>
          </w:p>
        </w:tc>
      </w:tr>
      <w:tr>
        <w:tblPrEx>
          <w:tblCellMar>
            <w:top w:w="0" w:type="dxa"/>
            <w:left w:w="108" w:type="dxa"/>
            <w:bottom w:w="0" w:type="dxa"/>
            <w:right w:w="108" w:type="dxa"/>
          </w:tblCellMar>
        </w:tblPrEx>
        <w:trPr>
          <w:trHeight w:val="214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eastAsia="zh-CN"/>
              </w:rPr>
              <w:t>严格按照财务规章制度，合法合规开支，严控车俩运行经费，加强国内差旅和因公出国（境）经费审批管理，强化公务接待管理，加强全局工作人员节约意识，减少水电、办公耗材等支出。制定了《财务管理制度》、《差旅费管理制度》、《内部审计制度》、《资产管理制度》、《会议费及公务接待制度》等办法。</w:t>
            </w:r>
            <w:r>
              <w:rPr>
                <w:rFonts w:hint="eastAsia" w:ascii="Times New Roman" w:hAnsi="Times New Roman"/>
                <w:kern w:val="0"/>
                <w:szCs w:val="21"/>
              </w:rPr>
              <w:t>　</w:t>
            </w:r>
          </w:p>
        </w:tc>
      </w:tr>
    </w:tbl>
    <w:p>
      <w:pPr>
        <w:widowControl/>
        <w:jc w:val="left"/>
        <w:rPr>
          <w:rFonts w:ascii="Times New Roman" w:hAnsi="Times New Roman" w:eastAsia="Times New Roman"/>
          <w:kern w:val="0"/>
          <w:sz w:val="2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r>
        <w:rPr>
          <w:rFonts w:ascii="Times New Roman" w:hAnsi="Times New Roman" w:eastAsia="Times New Roman"/>
          <w:kern w:val="0"/>
          <w:sz w:val="22"/>
        </w:rPr>
        <w:br w:type="page"/>
      </w:r>
      <w:r>
        <w:rPr>
          <w:rFonts w:hint="eastAsia" w:ascii="仿宋_GB2312" w:hAnsi="Times New Roman" w:eastAsia="仿宋_GB2312"/>
          <w:sz w:val="32"/>
          <w:szCs w:val="32"/>
        </w:rPr>
        <w:t>附件</w:t>
      </w:r>
      <w:r>
        <w:rPr>
          <w:rFonts w:ascii="仿宋_GB2312" w:hAnsi="Times New Roman" w:eastAsia="仿宋_GB2312"/>
          <w:sz w:val="32"/>
          <w:szCs w:val="32"/>
        </w:rPr>
        <w:t>4</w:t>
      </w:r>
      <w:r>
        <w:rPr>
          <w:rFonts w:ascii="仿宋_GB2312" w:hAnsi="Times New Roman" w:eastAsia="仿宋_GB2312"/>
          <w:kern w:val="0"/>
          <w:sz w:val="22"/>
        </w:rPr>
        <w:t xml:space="preserve"> </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tbl>
      <w:tblPr>
        <w:tblStyle w:val="2"/>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企业离退休人员补贴</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衡阳市商务和粮食局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184.5</w:t>
            </w:r>
            <w:r>
              <w:rPr>
                <w:rFonts w:hint="eastAsia" w:ascii="Times New Roman" w:hAnsi="Times New Roman"/>
                <w:color w:val="000000"/>
                <w:kern w:val="0"/>
                <w:szCs w:val="21"/>
                <w:lang w:eastAsia="zh-CN"/>
              </w:rPr>
              <w:t>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184.5万</w:t>
            </w: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100%</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184.5万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184.5万</w:t>
            </w: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lang w:eastAsia="zh-CN"/>
              </w:rPr>
              <w:t>做</w:t>
            </w:r>
            <w:r>
              <w:rPr>
                <w:rFonts w:hint="eastAsia" w:hAnsi="宋体"/>
                <w:kern w:val="0"/>
                <w:szCs w:val="21"/>
              </w:rPr>
              <w:t>好系统内企业离退休人员工作，确保商粮系统平安和谐</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eastAsia="zh-CN"/>
              </w:rPr>
              <w:t>补贴人数</w:t>
            </w:r>
          </w:p>
        </w:tc>
        <w:tc>
          <w:tcPr>
            <w:tcW w:w="1843" w:type="dxa"/>
            <w:vMerge w:val="restart"/>
            <w:tcBorders>
              <w:top w:val="single" w:color="auto" w:sz="4" w:space="0"/>
              <w:left w:val="nil"/>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2011年改制结束时退养人员578人，退休人员982人</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1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质量指</w:t>
            </w:r>
            <w:r>
              <w:rPr>
                <w:rFonts w:hint="eastAsia" w:ascii="Times New Roman" w:hAnsi="Times New Roman"/>
                <w:color w:val="000000"/>
                <w:kern w:val="0"/>
                <w:szCs w:val="21"/>
                <w:lang w:eastAsia="zh-CN"/>
              </w:rPr>
              <w:t>标</w:t>
            </w:r>
          </w:p>
        </w:tc>
        <w:tc>
          <w:tcPr>
            <w:tcW w:w="1701"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eastAsia="zh-CN"/>
              </w:rPr>
              <w:t>补贴标准</w:t>
            </w:r>
          </w:p>
        </w:tc>
        <w:tc>
          <w:tcPr>
            <w:tcW w:w="1843"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eastAsia="zh-CN"/>
              </w:rPr>
              <w:t>执行当年政府相关政策</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hint="eastAsia" w:ascii="Times New Roman" w:hAnsi="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1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hint="eastAsia" w:ascii="Times New Roman" w:hAnsi="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3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发放时间</w:t>
            </w:r>
          </w:p>
          <w:p>
            <w:pPr>
              <w:widowControl/>
              <w:jc w:val="center"/>
              <w:rPr>
                <w:rFonts w:ascii="Times New Roman" w:hAnsi="Times New Roman" w:eastAsia="Times New Roman"/>
                <w:color w:val="000000"/>
                <w:kern w:val="0"/>
                <w:szCs w:val="21"/>
              </w:rPr>
            </w:pPr>
          </w:p>
          <w:p>
            <w:pPr>
              <w:widowControl/>
              <w:jc w:val="center"/>
              <w:rPr>
                <w:rFonts w:ascii="Times New Roman" w:hAnsi="Times New Roman" w:eastAsia="Times New Roman"/>
                <w:color w:val="000000"/>
                <w:kern w:val="0"/>
                <w:szCs w:val="21"/>
              </w:rPr>
            </w:pPr>
          </w:p>
        </w:tc>
        <w:tc>
          <w:tcPr>
            <w:tcW w:w="1843" w:type="dxa"/>
            <w:vMerge w:val="restart"/>
            <w:tcBorders>
              <w:top w:val="single" w:color="auto" w:sz="4" w:space="0"/>
              <w:left w:val="nil"/>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2020年全部按时发放</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0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项目资金总额</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184.5万</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14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无</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3544" w:type="dxa"/>
            <w:gridSpan w:val="2"/>
            <w:vMerge w:val="restart"/>
            <w:tcBorders>
              <w:top w:val="single" w:color="auto" w:sz="4" w:space="0"/>
              <w:left w:val="nil"/>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hAnsi="宋体"/>
                <w:kern w:val="0"/>
                <w:szCs w:val="21"/>
              </w:rPr>
              <w:t>通过工作的有序开展，财政资金的有效保障，企业离退休人员的满意度有较大提高。</w:t>
            </w: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70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
    <w:p/>
    <w:p/>
    <w:p/>
    <w:p/>
    <w:p/>
    <w:p/>
    <w:p/>
    <w:p/>
    <w:p/>
    <w:p/>
    <w:p/>
    <w:p/>
    <w:p/>
    <w:p/>
    <w:p/>
    <w:p/>
    <w:p/>
    <w:p/>
    <w:p/>
    <w:p>
      <w:pPr>
        <w:widowControl/>
        <w:jc w:val="left"/>
        <w:rPr>
          <w:rFonts w:ascii="Times New Roman" w:hAnsi="Times New Roman" w:eastAsia="Times New Roman"/>
          <w:kern w:val="0"/>
          <w:sz w:val="22"/>
        </w:rPr>
      </w:pPr>
      <w:r>
        <w:rPr>
          <w:rFonts w:ascii="Times New Roman" w:hAnsi="Times New Roman" w:eastAsia="Times New Roman"/>
          <w:kern w:val="0"/>
          <w:sz w:val="22"/>
        </w:rPr>
        <w:t xml:space="preserve">    </w:t>
      </w:r>
      <w:r>
        <w:rPr>
          <w:rFonts w:hint="eastAsia" w:ascii="Times New Roman" w:hAnsi="Times New Roman"/>
          <w:kern w:val="0"/>
          <w:sz w:val="22"/>
          <w:lang w:val="en-US" w:eastAsia="zh-CN"/>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tbl>
      <w:tblPr>
        <w:tblStyle w:val="2"/>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lang w:eastAsia="zh-CN"/>
              </w:rPr>
              <w:t>招商引资</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衡阳市商务和粮食局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25万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25万</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100%</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25万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25万</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hAnsi="宋体"/>
                <w:kern w:val="0"/>
                <w:szCs w:val="21"/>
              </w:rPr>
              <w:t>实际利用外资增长，实际到位内资增长。</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eastAsia="宋体"/>
                <w:color w:val="000000"/>
                <w:kern w:val="0"/>
                <w:szCs w:val="21"/>
                <w:lang w:eastAsia="zh-CN"/>
              </w:rPr>
            </w:pPr>
            <w:r>
              <w:rPr>
                <w:rFonts w:hint="eastAsia"/>
                <w:kern w:val="0"/>
                <w:szCs w:val="21"/>
              </w:rPr>
              <w:t>引进三类500强企业</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8%</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1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质量指</w:t>
            </w:r>
            <w:r>
              <w:rPr>
                <w:rFonts w:hint="eastAsia" w:ascii="Times New Roman" w:hAnsi="Times New Roman"/>
                <w:color w:val="000000"/>
                <w:kern w:val="0"/>
                <w:szCs w:val="21"/>
                <w:lang w:eastAsia="zh-CN"/>
              </w:rPr>
              <w:t>标</w:t>
            </w:r>
          </w:p>
        </w:tc>
        <w:tc>
          <w:tcPr>
            <w:tcW w:w="1701"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eastAsia="宋体"/>
                <w:color w:val="000000"/>
                <w:kern w:val="0"/>
                <w:szCs w:val="21"/>
                <w:lang w:eastAsia="zh-CN"/>
              </w:rPr>
            </w:pPr>
            <w:r>
              <w:rPr>
                <w:rFonts w:hint="eastAsia"/>
                <w:kern w:val="0"/>
                <w:szCs w:val="21"/>
              </w:rPr>
              <w:t>实际利用外资增长率</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10%</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hint="eastAsia" w:ascii="Times New Roman" w:hAnsi="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1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hint="eastAsia" w:ascii="Times New Roman" w:hAnsi="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3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kern w:val="0"/>
                <w:szCs w:val="21"/>
              </w:rPr>
              <w:t>资金使用时间</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2020年</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0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kern w:val="0"/>
                <w:szCs w:val="21"/>
              </w:rPr>
              <w:t>招商引资</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25万</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14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无</w:t>
            </w:r>
          </w:p>
          <w:p>
            <w:pPr>
              <w:widowControl/>
              <w:jc w:val="center"/>
              <w:rPr>
                <w:rFonts w:ascii="Times New Roman" w:hAnsi="Times New Roman" w:eastAsia="Times New Roman"/>
                <w:color w:val="000000"/>
                <w:kern w:val="0"/>
                <w:szCs w:val="21"/>
              </w:rPr>
            </w:pP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eastAsia="zh-CN"/>
              </w:rPr>
              <w:t>社会</w:t>
            </w:r>
            <w:r>
              <w:rPr>
                <w:rFonts w:hint="eastAsia" w:ascii="Times New Roman" w:hAnsi="Times New Roman"/>
                <w:color w:val="000000"/>
                <w:kern w:val="0"/>
                <w:szCs w:val="21"/>
              </w:rPr>
              <w:t>效益指标</w:t>
            </w:r>
          </w:p>
        </w:tc>
        <w:tc>
          <w:tcPr>
            <w:tcW w:w="3544" w:type="dxa"/>
            <w:gridSpan w:val="2"/>
            <w:vMerge w:val="restart"/>
            <w:tcBorders>
              <w:top w:val="single" w:color="auto" w:sz="4" w:space="0"/>
              <w:left w:val="nil"/>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促进外商直接投资业绩的平衡增长</w:t>
            </w: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3544" w:type="dxa"/>
            <w:gridSpan w:val="2"/>
            <w:vMerge w:val="restart"/>
            <w:tcBorders>
              <w:top w:val="single" w:color="auto" w:sz="4" w:space="0"/>
              <w:left w:val="nil"/>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hAnsi="宋体"/>
                <w:kern w:val="0"/>
                <w:szCs w:val="21"/>
              </w:rPr>
              <w:t>完成市人大常委会对全市招商引资工作专项评议，充分采纳人大、政协以及社会各界意见、建议，实现办结率、答复率、满意率三个100%</w:t>
            </w:r>
            <w:r>
              <w:rPr>
                <w:rFonts w:hint="eastAsia" w:hAnsi="宋体"/>
                <w:kern w:val="0"/>
                <w:szCs w:val="21"/>
                <w:lang w:eastAsia="zh-CN"/>
              </w:rPr>
              <w:t>。</w:t>
            </w: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70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
    <w:p/>
    <w:p/>
    <w:p/>
    <w:p/>
    <w:p/>
    <w:p/>
    <w:p/>
    <w:p/>
    <w:p/>
    <w:p/>
    <w:p/>
    <w:p/>
    <w:p/>
    <w:p/>
    <w:p/>
    <w:p/>
    <w:p/>
    <w:p/>
    <w:p>
      <w:pPr>
        <w:widowControl/>
        <w:ind w:firstLine="2160" w:firstLineChars="600"/>
        <w:jc w:val="left"/>
        <w:rPr>
          <w:rFonts w:ascii="Times New Roman" w:hAnsi="Times New Roman" w:eastAsia="Times New Roman"/>
          <w:kern w:val="0"/>
          <w:sz w:val="22"/>
        </w:rPr>
      </w:pPr>
      <w:r>
        <w:rPr>
          <w:rFonts w:hint="eastAsia" w:ascii="Times New Roman" w:hAnsi="Times New Roman"/>
          <w:color w:val="000000"/>
          <w:kern w:val="0"/>
          <w:sz w:val="36"/>
          <w:szCs w:val="36"/>
        </w:rPr>
        <w:t>项目支出绩效自评表</w:t>
      </w:r>
    </w:p>
    <w:tbl>
      <w:tblPr>
        <w:tblStyle w:val="2"/>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宋体"/>
                <w:color w:val="000000"/>
                <w:kern w:val="0"/>
                <w:szCs w:val="21"/>
                <w:lang w:val="en-US" w:eastAsia="zh-CN"/>
              </w:rPr>
            </w:pPr>
            <w:r>
              <w:rPr>
                <w:rFonts w:hint="eastAsia" w:hAnsi="宋体"/>
                <w:kern w:val="0"/>
                <w:szCs w:val="21"/>
              </w:rPr>
              <w:t>粮检中心专项经费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衡阳市商务和粮食局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10万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10万</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100%</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10万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10万</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s="宋体"/>
                <w:sz w:val="24"/>
              </w:rPr>
              <w:t>负责全市粮食流通领域中的粮油质量检测工作；负责全市原粮卫生状况检测及“宜存与不易存粮”的判定工作；负责全市粮食收获质量调查和品质测报，收集、报送本地粮油质量与卫生安全信息，定期发布粮油检测信息；组织全市粮油产品质量检测人员的培训工作。</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lang w:eastAsia="zh-CN"/>
              </w:rPr>
              <w:t>组织各县市人员进行了粮油质检人员的培训，完成了粮油检测任务。</w:t>
            </w:r>
            <w:r>
              <w:rPr>
                <w:rFonts w:ascii="Times New Roman" w:hAnsi="Times New Roman" w:eastAsia="Times New Roman"/>
                <w:color w:val="000000"/>
                <w:kern w:val="0"/>
                <w:szCs w:val="21"/>
              </w:rPr>
              <w:t xml:space="preserve"> </w:t>
            </w:r>
            <w:r>
              <w:rPr>
                <w:rFonts w:hint="eastAsia" w:ascii="Times New Roman" w:hAnsi="Times New Roman"/>
                <w:color w:val="000000"/>
                <w:kern w:val="0"/>
                <w:szCs w:val="21"/>
              </w:rPr>
              <w:t>　</w:t>
            </w:r>
          </w:p>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vMerge w:val="restart"/>
            <w:tcBorders>
              <w:top w:val="single" w:color="auto" w:sz="4" w:space="0"/>
              <w:left w:val="nil"/>
              <w:right w:val="single" w:color="auto" w:sz="4" w:space="0"/>
            </w:tcBorders>
            <w:noWrap/>
            <w:vAlign w:val="center"/>
          </w:tcPr>
          <w:p>
            <w:pPr>
              <w:widowControl/>
              <w:spacing w:line="280" w:lineRule="exact"/>
              <w:rPr>
                <w:rFonts w:hint="eastAsia" w:ascii="Times New Roman" w:hAnsi="Times New Roman" w:eastAsia="宋体"/>
                <w:color w:val="000000"/>
                <w:kern w:val="0"/>
                <w:szCs w:val="21"/>
                <w:lang w:eastAsia="zh-CN"/>
              </w:rPr>
            </w:pPr>
            <w:r>
              <w:rPr>
                <w:rFonts w:hint="eastAsia"/>
                <w:kern w:val="0"/>
                <w:szCs w:val="21"/>
              </w:rPr>
              <w:t>中心日常工作顺利完成</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1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质量指</w:t>
            </w:r>
            <w:r>
              <w:rPr>
                <w:rFonts w:hint="eastAsia" w:ascii="Times New Roman" w:hAnsi="Times New Roman"/>
                <w:color w:val="000000"/>
                <w:kern w:val="0"/>
                <w:szCs w:val="21"/>
                <w:lang w:eastAsia="zh-CN"/>
              </w:rPr>
              <w:t>标</w:t>
            </w:r>
          </w:p>
        </w:tc>
        <w:tc>
          <w:tcPr>
            <w:tcW w:w="1701" w:type="dxa"/>
            <w:vMerge w:val="restart"/>
            <w:tcBorders>
              <w:top w:val="single" w:color="auto" w:sz="4" w:space="0"/>
              <w:left w:val="nil"/>
              <w:right w:val="single" w:color="auto" w:sz="4" w:space="0"/>
            </w:tcBorders>
            <w:noWrap/>
            <w:vAlign w:val="center"/>
          </w:tcPr>
          <w:p>
            <w:pPr>
              <w:widowControl/>
              <w:spacing w:line="280" w:lineRule="exact"/>
              <w:jc w:val="center"/>
              <w:rPr>
                <w:rFonts w:hint="eastAsia" w:ascii="Times New Roman" w:hAnsi="Times New Roman" w:eastAsia="宋体"/>
                <w:color w:val="000000"/>
                <w:kern w:val="0"/>
                <w:szCs w:val="21"/>
                <w:lang w:eastAsia="zh-CN"/>
              </w:rPr>
            </w:pPr>
            <w:r>
              <w:rPr>
                <w:rFonts w:hint="eastAsia"/>
                <w:kern w:val="0"/>
                <w:szCs w:val="21"/>
              </w:rPr>
              <w:t>实际利用外资增长率</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hint="eastAsia" w:ascii="Times New Roman" w:hAnsi="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1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hint="eastAsia" w:ascii="Times New Roman" w:hAnsi="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3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kern w:val="0"/>
                <w:szCs w:val="21"/>
              </w:rPr>
              <w:t>资金使用时间</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2020年</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0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vMerge w:val="restart"/>
            <w:tcBorders>
              <w:top w:val="single" w:color="auto" w:sz="4" w:space="0"/>
              <w:left w:val="nil"/>
              <w:right w:val="single" w:color="auto" w:sz="4" w:space="0"/>
            </w:tcBorders>
            <w:noWrap/>
            <w:vAlign w:val="center"/>
          </w:tcPr>
          <w:p>
            <w:pPr>
              <w:widowControl/>
              <w:spacing w:line="280" w:lineRule="exact"/>
              <w:jc w:val="center"/>
              <w:rPr>
                <w:rFonts w:ascii="Times New Roman" w:hAnsi="Times New Roman" w:eastAsia="Times New Roman"/>
                <w:color w:val="000000"/>
                <w:kern w:val="0"/>
                <w:szCs w:val="21"/>
              </w:rPr>
            </w:pPr>
            <w:r>
              <w:rPr>
                <w:rFonts w:hint="eastAsia" w:hAnsi="宋体"/>
                <w:kern w:val="0"/>
                <w:szCs w:val="21"/>
              </w:rPr>
              <w:t>粮检中心专项经费</w:t>
            </w:r>
          </w:p>
        </w:tc>
        <w:tc>
          <w:tcPr>
            <w:tcW w:w="1843" w:type="dxa"/>
            <w:vMerge w:val="restart"/>
            <w:tcBorders>
              <w:top w:val="single" w:color="auto" w:sz="4" w:space="0"/>
              <w:left w:val="nil"/>
              <w:right w:val="single" w:color="auto" w:sz="4" w:space="0"/>
            </w:tcBorders>
            <w:noWrap/>
            <w:vAlign w:val="center"/>
          </w:tcPr>
          <w:p>
            <w:pPr>
              <w:widowControl/>
              <w:spacing w:line="280" w:lineRule="exact"/>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10</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14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无</w:t>
            </w:r>
          </w:p>
          <w:p>
            <w:pPr>
              <w:widowControl/>
              <w:jc w:val="center"/>
              <w:rPr>
                <w:rFonts w:ascii="Times New Roman" w:hAnsi="Times New Roman" w:eastAsia="Times New Roman"/>
                <w:color w:val="000000"/>
                <w:kern w:val="0"/>
                <w:szCs w:val="21"/>
              </w:rPr>
            </w:pP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eastAsia="zh-CN"/>
              </w:rPr>
              <w:t>社会</w:t>
            </w:r>
            <w:r>
              <w:rPr>
                <w:rFonts w:hint="eastAsia" w:ascii="Times New Roman" w:hAnsi="Times New Roman"/>
                <w:color w:val="000000"/>
                <w:kern w:val="0"/>
                <w:szCs w:val="21"/>
              </w:rPr>
              <w:t>效益指标</w:t>
            </w:r>
          </w:p>
        </w:tc>
        <w:tc>
          <w:tcPr>
            <w:tcW w:w="3544" w:type="dxa"/>
            <w:gridSpan w:val="2"/>
            <w:vMerge w:val="restart"/>
            <w:tcBorders>
              <w:top w:val="single" w:color="auto" w:sz="4" w:space="0"/>
              <w:left w:val="nil"/>
              <w:right w:val="single" w:color="auto" w:sz="4" w:space="0"/>
            </w:tcBorders>
            <w:noWrap/>
            <w:vAlign w:val="center"/>
          </w:tcPr>
          <w:p>
            <w:pPr>
              <w:widowControl/>
              <w:spacing w:line="280" w:lineRule="exact"/>
              <w:jc w:val="center"/>
              <w:rPr>
                <w:rFonts w:ascii="Calibri" w:hAnsi="Calibri" w:eastAsia="宋体" w:cs="Times New Roman"/>
                <w:kern w:val="0"/>
                <w:sz w:val="21"/>
                <w:szCs w:val="21"/>
                <w:lang w:val="en-US" w:eastAsia="zh-CN" w:bidi="ar-SA"/>
              </w:rPr>
            </w:pPr>
            <w:r>
              <w:rPr>
                <w:rFonts w:hint="eastAsia"/>
                <w:kern w:val="0"/>
                <w:szCs w:val="21"/>
              </w:rPr>
              <w:t>促进粮检中心工作任务的顺利进行</w:t>
            </w:r>
          </w:p>
        </w:tc>
        <w:tc>
          <w:tcPr>
            <w:tcW w:w="1276" w:type="dxa"/>
            <w:vMerge w:val="restart"/>
            <w:tcBorders>
              <w:top w:val="single" w:color="auto" w:sz="4" w:space="0"/>
              <w:left w:val="nil"/>
              <w:right w:val="single" w:color="auto" w:sz="4" w:space="0"/>
            </w:tcBorders>
            <w:noWrap/>
            <w:vAlign w:val="center"/>
          </w:tcPr>
          <w:p>
            <w:pPr>
              <w:widowControl/>
              <w:spacing w:line="280" w:lineRule="exact"/>
              <w:jc w:val="left"/>
              <w:rPr>
                <w:rFonts w:ascii="Calibri" w:hAnsi="Calibri" w:eastAsia="宋体" w:cs="Times New Roman"/>
                <w:kern w:val="0"/>
                <w:sz w:val="21"/>
                <w:szCs w:val="21"/>
                <w:lang w:val="en-US" w:eastAsia="zh-CN" w:bidi="ar-SA"/>
              </w:rPr>
            </w:pPr>
            <w:r>
              <w:rPr>
                <w:rFonts w:hAnsi="宋体"/>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3544" w:type="dxa"/>
            <w:gridSpan w:val="2"/>
            <w:vMerge w:val="restart"/>
            <w:tcBorders>
              <w:top w:val="single" w:color="auto" w:sz="4" w:space="0"/>
              <w:left w:val="nil"/>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hAnsi="宋体"/>
                <w:kern w:val="0"/>
                <w:szCs w:val="21"/>
              </w:rPr>
              <w:t>完成市人大常委会对全市招商引资工作专项评议，充分采纳人大、政协以及社会各界意见、建议，实现办结率、答复率、满意率三个100%</w:t>
            </w:r>
            <w:r>
              <w:rPr>
                <w:rFonts w:hint="eastAsia" w:hAnsi="宋体"/>
                <w:kern w:val="0"/>
                <w:szCs w:val="21"/>
                <w:lang w:eastAsia="zh-CN"/>
              </w:rPr>
              <w:t>。</w:t>
            </w: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70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
    <w:p/>
    <w:p/>
    <w:p/>
    <w:p/>
    <w:p/>
    <w:p/>
    <w:p/>
    <w:p/>
    <w:p/>
    <w:p/>
    <w:p/>
    <w:p/>
    <w:p/>
    <w:p/>
    <w:p/>
    <w:p/>
    <w:p>
      <w:pPr>
        <w:widowControl/>
        <w:ind w:firstLine="2160" w:firstLineChars="600"/>
        <w:jc w:val="left"/>
        <w:rPr>
          <w:rFonts w:ascii="Times New Roman" w:hAnsi="Times New Roman" w:eastAsia="Times New Roman"/>
          <w:kern w:val="0"/>
          <w:sz w:val="22"/>
        </w:rPr>
      </w:pPr>
      <w:r>
        <w:rPr>
          <w:rFonts w:hint="eastAsia" w:ascii="Times New Roman" w:hAnsi="Times New Roman"/>
          <w:color w:val="000000"/>
          <w:kern w:val="0"/>
          <w:sz w:val="36"/>
          <w:szCs w:val="36"/>
        </w:rPr>
        <w:t>项目支出绩效自评表</w:t>
      </w:r>
    </w:p>
    <w:tbl>
      <w:tblPr>
        <w:tblStyle w:val="2"/>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宋体"/>
                <w:color w:val="000000"/>
                <w:kern w:val="0"/>
                <w:szCs w:val="21"/>
                <w:lang w:val="en-US" w:eastAsia="zh-CN"/>
              </w:rPr>
            </w:pPr>
            <w:r>
              <w:rPr>
                <w:rFonts w:hint="eastAsia" w:hAnsi="宋体"/>
                <w:kern w:val="0"/>
                <w:szCs w:val="21"/>
              </w:rPr>
              <w:t>蒸湘粮站</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衡阳市商务和粮食局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11万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11万</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100%</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11万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11万</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s="宋体"/>
                <w:sz w:val="24"/>
              </w:rPr>
              <w:t>负责全市粮食流通领域中的粮油质量检测工作；组织全市粮油产品质量检测人员的培训工作</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eastAsia="zh-CN"/>
              </w:rPr>
              <w:t>组织各县市人员进行了粮油质检人员的培训，完成了粮油检测任务。</w:t>
            </w: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vMerge w:val="restart"/>
            <w:tcBorders>
              <w:top w:val="single" w:color="auto" w:sz="4" w:space="0"/>
              <w:left w:val="nil"/>
              <w:right w:val="single" w:color="auto" w:sz="4" w:space="0"/>
            </w:tcBorders>
            <w:noWrap/>
            <w:vAlign w:val="center"/>
          </w:tcPr>
          <w:p>
            <w:pPr>
              <w:widowControl/>
              <w:spacing w:line="280" w:lineRule="exact"/>
              <w:rPr>
                <w:rFonts w:hint="eastAsia" w:ascii="Calibri" w:hAnsi="Calibri" w:eastAsia="宋体" w:cs="Times New Roman"/>
                <w:kern w:val="0"/>
                <w:sz w:val="21"/>
                <w:szCs w:val="21"/>
                <w:lang w:val="en-US" w:eastAsia="zh-CN" w:bidi="ar-SA"/>
              </w:rPr>
            </w:pPr>
            <w:r>
              <w:rPr>
                <w:rFonts w:hint="eastAsia"/>
                <w:kern w:val="0"/>
                <w:szCs w:val="21"/>
                <w:lang w:eastAsia="zh-CN"/>
              </w:rPr>
              <w:t>完成检测数量</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7家</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1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质量指</w:t>
            </w:r>
            <w:r>
              <w:rPr>
                <w:rFonts w:hint="eastAsia" w:ascii="Times New Roman" w:hAnsi="Times New Roman"/>
                <w:color w:val="000000"/>
                <w:kern w:val="0"/>
                <w:szCs w:val="21"/>
                <w:lang w:eastAsia="zh-CN"/>
              </w:rPr>
              <w:t>标</w:t>
            </w:r>
          </w:p>
        </w:tc>
        <w:tc>
          <w:tcPr>
            <w:tcW w:w="1701" w:type="dxa"/>
            <w:vMerge w:val="restart"/>
            <w:tcBorders>
              <w:top w:val="single" w:color="auto" w:sz="4" w:space="0"/>
              <w:left w:val="nil"/>
              <w:right w:val="single" w:color="auto" w:sz="4" w:space="0"/>
            </w:tcBorders>
            <w:noWrap/>
            <w:vAlign w:val="center"/>
          </w:tcPr>
          <w:p>
            <w:pPr>
              <w:widowControl/>
              <w:spacing w:line="280" w:lineRule="exact"/>
              <w:rPr>
                <w:rFonts w:hint="eastAsia" w:ascii="Calibri" w:hAnsi="Calibri" w:eastAsia="宋体" w:cs="Times New Roman"/>
                <w:kern w:val="0"/>
                <w:sz w:val="21"/>
                <w:szCs w:val="21"/>
                <w:lang w:val="en-US" w:eastAsia="zh-CN" w:bidi="ar-SA"/>
              </w:rPr>
            </w:pPr>
            <w:r>
              <w:rPr>
                <w:rFonts w:hint="eastAsia"/>
                <w:kern w:val="0"/>
                <w:szCs w:val="21"/>
              </w:rPr>
              <w:t>粮检中心工作稳定持续发展</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hint="eastAsia" w:ascii="Times New Roman" w:hAnsi="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1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hint="eastAsia" w:ascii="Times New Roman" w:hAnsi="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3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kern w:val="0"/>
                <w:szCs w:val="21"/>
              </w:rPr>
              <w:t>资金使用时间</w:t>
            </w:r>
          </w:p>
        </w:tc>
        <w:tc>
          <w:tcPr>
            <w:tcW w:w="1843" w:type="dxa"/>
            <w:vMerge w:val="restart"/>
            <w:tcBorders>
              <w:top w:val="single" w:color="auto" w:sz="4" w:space="0"/>
              <w:left w:val="nil"/>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2020年</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0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vMerge w:val="restart"/>
            <w:tcBorders>
              <w:top w:val="single" w:color="auto" w:sz="4" w:space="0"/>
              <w:left w:val="nil"/>
              <w:right w:val="single" w:color="auto" w:sz="4" w:space="0"/>
            </w:tcBorders>
            <w:noWrap/>
            <w:vAlign w:val="center"/>
          </w:tcPr>
          <w:p>
            <w:pPr>
              <w:widowControl/>
              <w:spacing w:line="280" w:lineRule="exact"/>
              <w:jc w:val="center"/>
              <w:rPr>
                <w:rFonts w:ascii="Times New Roman" w:hAnsi="Times New Roman" w:eastAsia="Times New Roman"/>
                <w:color w:val="000000"/>
                <w:kern w:val="0"/>
                <w:szCs w:val="21"/>
              </w:rPr>
            </w:pPr>
            <w:r>
              <w:rPr>
                <w:rFonts w:hint="eastAsia" w:hAnsi="宋体"/>
                <w:kern w:val="0"/>
                <w:szCs w:val="21"/>
              </w:rPr>
              <w:t>蒸湘粮站</w:t>
            </w:r>
          </w:p>
        </w:tc>
        <w:tc>
          <w:tcPr>
            <w:tcW w:w="1843" w:type="dxa"/>
            <w:vMerge w:val="restart"/>
            <w:tcBorders>
              <w:top w:val="single" w:color="auto" w:sz="4" w:space="0"/>
              <w:left w:val="nil"/>
              <w:right w:val="single" w:color="auto" w:sz="4" w:space="0"/>
            </w:tcBorders>
            <w:noWrap/>
            <w:vAlign w:val="center"/>
          </w:tcPr>
          <w:p>
            <w:pPr>
              <w:widowControl/>
              <w:spacing w:line="280" w:lineRule="exact"/>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11万</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14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无</w:t>
            </w:r>
          </w:p>
          <w:p>
            <w:pPr>
              <w:widowControl/>
              <w:jc w:val="center"/>
              <w:rPr>
                <w:rFonts w:ascii="Times New Roman" w:hAnsi="Times New Roman" w:eastAsia="Times New Roman"/>
                <w:color w:val="000000"/>
                <w:kern w:val="0"/>
                <w:szCs w:val="21"/>
              </w:rPr>
            </w:pP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eastAsia="zh-CN"/>
              </w:rPr>
              <w:t>社会</w:t>
            </w:r>
            <w:r>
              <w:rPr>
                <w:rFonts w:hint="eastAsia" w:ascii="Times New Roman" w:hAnsi="Times New Roman"/>
                <w:color w:val="000000"/>
                <w:kern w:val="0"/>
                <w:szCs w:val="21"/>
              </w:rPr>
              <w:t>效益指标</w:t>
            </w:r>
          </w:p>
        </w:tc>
        <w:tc>
          <w:tcPr>
            <w:tcW w:w="3544" w:type="dxa"/>
            <w:gridSpan w:val="2"/>
            <w:vMerge w:val="restart"/>
            <w:tcBorders>
              <w:top w:val="single" w:color="auto" w:sz="4" w:space="0"/>
              <w:left w:val="nil"/>
              <w:right w:val="single" w:color="auto" w:sz="4" w:space="0"/>
            </w:tcBorders>
            <w:noWrap/>
            <w:vAlign w:val="center"/>
          </w:tcPr>
          <w:p>
            <w:pPr>
              <w:widowControl/>
              <w:spacing w:line="280" w:lineRule="exact"/>
              <w:jc w:val="center"/>
              <w:rPr>
                <w:rFonts w:ascii="Calibri" w:hAnsi="Calibri" w:eastAsia="宋体" w:cs="Times New Roman"/>
                <w:kern w:val="0"/>
                <w:sz w:val="21"/>
                <w:szCs w:val="21"/>
                <w:lang w:val="en-US" w:eastAsia="zh-CN" w:bidi="ar-SA"/>
              </w:rPr>
            </w:pPr>
            <w:r>
              <w:rPr>
                <w:rFonts w:hint="eastAsia"/>
                <w:kern w:val="0"/>
                <w:szCs w:val="21"/>
              </w:rPr>
              <w:t>促进粮检工作任务的顺利进行</w:t>
            </w:r>
          </w:p>
        </w:tc>
        <w:tc>
          <w:tcPr>
            <w:tcW w:w="1276" w:type="dxa"/>
            <w:vMerge w:val="restart"/>
            <w:tcBorders>
              <w:top w:val="single" w:color="auto" w:sz="4" w:space="0"/>
              <w:left w:val="nil"/>
              <w:right w:val="single" w:color="auto" w:sz="4" w:space="0"/>
            </w:tcBorders>
            <w:noWrap/>
            <w:vAlign w:val="center"/>
          </w:tcPr>
          <w:p>
            <w:pPr>
              <w:widowControl/>
              <w:spacing w:line="280" w:lineRule="exact"/>
              <w:jc w:val="left"/>
              <w:rPr>
                <w:rFonts w:ascii="Calibri" w:hAnsi="Calibri" w:eastAsia="宋体" w:cs="Times New Roman"/>
                <w:kern w:val="0"/>
                <w:sz w:val="21"/>
                <w:szCs w:val="21"/>
                <w:lang w:val="en-US" w:eastAsia="zh-CN" w:bidi="ar-SA"/>
              </w:rPr>
            </w:pPr>
            <w:r>
              <w:rPr>
                <w:rFonts w:hAnsi="宋体"/>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无</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spacing w:line="280" w:lineRule="exact"/>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843"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843"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3544" w:type="dxa"/>
            <w:gridSpan w:val="2"/>
            <w:vMerge w:val="restart"/>
            <w:tcBorders>
              <w:top w:val="single" w:color="auto" w:sz="4" w:space="0"/>
              <w:left w:val="nil"/>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hAnsi="宋体"/>
                <w:kern w:val="0"/>
                <w:szCs w:val="21"/>
              </w:rPr>
              <w:t>完成市人大常委会对全市招商引资工作专项评议，充分采纳人大、政协以及社会各界意见、建议，实现办结率、答复率、满意率三个100%</w:t>
            </w:r>
            <w:r>
              <w:rPr>
                <w:rFonts w:hint="eastAsia" w:hAnsi="宋体"/>
                <w:kern w:val="0"/>
                <w:szCs w:val="21"/>
                <w:lang w:eastAsia="zh-CN"/>
              </w:rPr>
              <w:t>。</w:t>
            </w:r>
            <w:r>
              <w:rPr>
                <w:rFonts w:hint="eastAsia" w:ascii="Times New Roman" w:hAnsi="Times New Roman"/>
                <w:color w:val="000000"/>
                <w:kern w:val="0"/>
                <w:szCs w:val="21"/>
              </w:rPr>
              <w:t>　</w:t>
            </w:r>
          </w:p>
        </w:tc>
        <w:tc>
          <w:tcPr>
            <w:tcW w:w="1276"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eastAsia="zh-CN"/>
              </w:rPr>
              <w:t>完成</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70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354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276"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104" w:type="dxa"/>
            <w:gridSpan w:val="2"/>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000000"/>
    <w:rsid w:val="005002C3"/>
    <w:rsid w:val="23AB199C"/>
    <w:rsid w:val="303B691C"/>
    <w:rsid w:val="44D724BC"/>
    <w:rsid w:val="4BF6111F"/>
    <w:rsid w:val="551A61EB"/>
    <w:rsid w:val="6D476592"/>
    <w:rsid w:val="6DEF1585"/>
    <w:rsid w:val="788B7E96"/>
    <w:rsid w:val="7C1A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6259</Words>
  <Characters>6854</Characters>
  <Lines>0</Lines>
  <Paragraphs>0</Paragraphs>
  <TotalTime>13</TotalTime>
  <ScaleCrop>false</ScaleCrop>
  <LinksUpToDate>false</LinksUpToDate>
  <CharactersWithSpaces>11166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2021-02-05T07:18:00Z</dcterms:created>
  <dc:creator>Administrator.USER-2019YCKVMZ</dc:creator>
  <cp:lastModifiedBy>邓婷</cp:lastModifiedBy>
  <dcterms:modified xsi:type="dcterms:W3CDTF">2024-07-26T01:56:10Z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00DB86700D5F4EC496B06D6E0113C1E7_12</vt:lpwstr>
  </property>
</Properties>
</file>