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2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部门整体支出绩效目标申报表</w:t>
      </w:r>
    </w:p>
    <w:p>
      <w:pPr>
        <w:spacing w:before="120" w:beforeLines="50" w:line="20" w:lineRule="atLeast"/>
        <w:jc w:val="center"/>
        <w:rPr>
          <w:rFonts w:ascii="宋体"/>
          <w:kern w:val="0"/>
          <w:sz w:val="32"/>
          <w:szCs w:val="32"/>
        </w:rPr>
      </w:pP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0"/>
          <w:szCs w:val="30"/>
        </w:rPr>
        <w:t>（</w:t>
      </w:r>
      <w:r>
        <w:rPr>
          <w:rFonts w:ascii="宋体" w:hAnsi="宋体" w:cs="宋体"/>
          <w:kern w:val="0"/>
          <w:sz w:val="30"/>
          <w:szCs w:val="30"/>
        </w:rPr>
        <w:t xml:space="preserve">   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2021</w:t>
      </w:r>
      <w:r>
        <w:rPr>
          <w:rFonts w:ascii="宋体" w:hAnsi="宋体" w:cs="宋体"/>
          <w:kern w:val="0"/>
          <w:sz w:val="30"/>
          <w:szCs w:val="30"/>
        </w:rPr>
        <w:t xml:space="preserve">   </w:t>
      </w:r>
      <w:r>
        <w:rPr>
          <w:rFonts w:hint="eastAsia" w:ascii="宋体" w:hAnsi="宋体" w:cs="宋体"/>
          <w:kern w:val="0"/>
          <w:sz w:val="30"/>
          <w:szCs w:val="30"/>
        </w:rPr>
        <w:t>年度）</w:t>
      </w:r>
    </w:p>
    <w:p>
      <w:pPr>
        <w:ind w:left="-420" w:leftChars="-200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填报单位（盖章）：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衡阳市建设工程质量安全监督站</w:t>
      </w:r>
      <w:r>
        <w:rPr>
          <w:rFonts w:hint="eastAsia" w:ascii="宋体" w:hAnsi="宋体" w:cs="宋体"/>
          <w:kern w:val="0"/>
          <w:sz w:val="20"/>
          <w:szCs w:val="20"/>
        </w:rPr>
        <w:t xml:space="preserve">              单位负责人（签名）：</w:t>
      </w:r>
    </w:p>
    <w:tbl>
      <w:tblPr>
        <w:tblStyle w:val="4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275"/>
        <w:gridCol w:w="547"/>
        <w:gridCol w:w="1133"/>
        <w:gridCol w:w="1797"/>
        <w:gridCol w:w="90"/>
        <w:gridCol w:w="1090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部门名称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衡阳市建设工程质量安全监督站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年度预算申请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资金总额：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2161.68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其中：公共财政拨款：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1881.68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政府性基金拨款：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纳入专户管理的非税收入拨款：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280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其他资金：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其中：基本支出：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2161.68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项目支出：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430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部门职能职责概述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(一)贯彻执行《建设工程质量管理条例》《建设工程安全生产管理条例》《民用建筑节能条例》《湖南省建设工程质量和安全生产管理条例》等有关工程建设质量和安全监督管理的法律法规和政策。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(二)负责城区范围内(不含受委托的高新技术产业开发区房屋建筑工程质量监督，下同)已办理施工许可证的建设工程项目的质量和安全监督；负责工程建设、勘察、设计、施工、监理（以下简称工程责任主体)和质量检测、建筑起重设备的质量和安全监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(三)负责涉及工程主体结构安全和主要使用功能的工程实体质量、主要建筑材料、建筑构配件质量的监督，组织施工质量管理标准化和项目施工安全生产标准化考评。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92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9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8"/>
                <w:sz w:val="20"/>
                <w:szCs w:val="20"/>
              </w:rPr>
              <w:t>(四)负责工程竣工验收条件的审查监督，形成工程质量监督报告，建立工程质量安全监督档案。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(五)负责城区建设工程质量状况的统计分析；负责组织开展建设工程创优活动。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(六)负责建设工程质量安全技术咨询服务工作；协助建设工程消防质量验收：参与建设工程安全事故调查处理。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(七)负责民用建筑节能工程质量监督工作。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(八))负责组织开展全市建设工程质量安全监督人员业务培训工作；协助指导和考核县市区建设工程质量安全监督业务。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(九)完成市住房和城乡建设局交办的其他任务。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年度主要任务</w:t>
            </w:r>
          </w:p>
        </w:tc>
        <w:tc>
          <w:tcPr>
            <w:tcW w:w="18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任务名称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任务1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负责城区范围内(不含受委托的高新技术产业开发区房屋建筑工程质量监督，下同)已办理施工许可证的建设工程项目的质量和安全监督；负责工程建设、勘察、设计、施工、监理（以下简称工程责任主体)和质量检测、建筑起重设备的质量和安全监督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任务2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完成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农民工工资，实名制.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完成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创文创卫.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目标1：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通过预算执行，保障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监站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办在职人员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人、离退休人员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人的正常办公、生活秩序；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目标2：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目标3：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部门整体支出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年度绩效指标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在职职工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正常办公、生活秩序；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质量指标：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基本满足在职人员和离退休的正常办公、生活要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求。</w:t>
            </w:r>
          </w:p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数量指标：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监站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办在职人员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人、离退休人员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年度完成各项资金支出进度要求，保障我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各项工作顺利开展、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79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社会效益指标：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确保全市建设工程质量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状态可控。</w:t>
            </w:r>
            <w:r>
              <w:rPr>
                <w:rFonts w:hint="eastAsia"/>
                <w:kern w:val="0"/>
                <w:sz w:val="20"/>
                <w:szCs w:val="20"/>
              </w:rPr>
              <w:t>通过工作计划的实施，力争使全市相关部门和人员对我办实施的工作满意度达到较好水平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81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2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5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财政部门 审核意见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hint="eastAsia" w:eastAsia="方正小标宋_GBK"/>
          <w:sz w:val="36"/>
          <w:szCs w:val="36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填表人（签名）： 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唐美丽</w:t>
      </w:r>
      <w:r>
        <w:rPr>
          <w:rFonts w:hint="eastAsia" w:ascii="宋体" w:hAnsi="宋体" w:cs="宋体"/>
          <w:kern w:val="0"/>
          <w:sz w:val="20"/>
          <w:szCs w:val="20"/>
        </w:rPr>
        <w:t xml:space="preserve">        联系电话：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17707346657</w:t>
      </w:r>
      <w:r>
        <w:rPr>
          <w:rFonts w:hint="eastAsia" w:ascii="宋体" w:hAnsi="宋体" w:cs="宋体"/>
          <w:kern w:val="0"/>
          <w:sz w:val="20"/>
          <w:szCs w:val="20"/>
        </w:rPr>
        <w:t xml:space="preserve">     填表日期：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2021</w:t>
      </w:r>
      <w:r>
        <w:rPr>
          <w:rFonts w:hint="eastAsia" w:ascii="宋体" w:hAnsi="宋体" w:cs="宋体"/>
          <w:kern w:val="0"/>
          <w:sz w:val="20"/>
          <w:szCs w:val="20"/>
        </w:rPr>
        <w:t xml:space="preserve"> 年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02</w:t>
      </w:r>
      <w:r>
        <w:rPr>
          <w:rFonts w:hint="eastAsia" w:ascii="宋体" w:hAnsi="宋体" w:cs="宋体"/>
          <w:kern w:val="0"/>
          <w:sz w:val="20"/>
          <w:szCs w:val="20"/>
        </w:rPr>
        <w:t xml:space="preserve">  月 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23</w:t>
      </w:r>
      <w:r>
        <w:rPr>
          <w:rFonts w:hint="eastAsia" w:ascii="宋体" w:hAnsi="宋体" w:cs="宋体"/>
          <w:kern w:val="0"/>
          <w:sz w:val="20"/>
          <w:szCs w:val="20"/>
        </w:rPr>
        <w:t xml:space="preserve"> 日 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5" w:h="16837"/>
      <w:pgMar w:top="1100" w:right="1644" w:bottom="1100" w:left="1797" w:header="720" w:footer="1077" w:gutter="0"/>
      <w:pgNumType w:fmt="numberInDash" w:start="1"/>
      <w:cols w:space="72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- 16 -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  <w:rPr>
        <w:sz w:val="28"/>
        <w:szCs w:val="28"/>
      </w:rPr>
    </w:pPr>
    <w:r>
      <w:rPr>
        <w:rStyle w:val="6"/>
        <w:sz w:val="28"/>
        <w:szCs w:val="28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23C6F"/>
    <w:rsid w:val="0472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2021-02-23T04:22:00Z</dcterms:created>
  <dc:creator>海恋</dc:creator>
  <cp:lastModifiedBy>海恋</cp:lastModifiedBy>
  <dcterms:modified xsi:type="dcterms:W3CDTF">2021-02-23T04:24:24Z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