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411" w:lineRule="atLeast"/>
        <w:jc w:val="center"/>
        <w:rPr>
          <w:rFonts w:hint="eastAsia" w:ascii="方正小标宋简体" w:hAnsi="微软雅黑" w:eastAsia="方正小标宋简体"/>
          <w:color w:val="414141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414141"/>
          <w:sz w:val="36"/>
          <w:szCs w:val="36"/>
        </w:rPr>
        <w:t>衡阳市体育科研辅导站</w:t>
      </w:r>
    </w:p>
    <w:p>
      <w:pPr>
        <w:pStyle w:val="6"/>
        <w:spacing w:before="0" w:beforeAutospacing="0" w:after="0" w:afterAutospacing="0" w:line="411" w:lineRule="atLeast"/>
        <w:jc w:val="center"/>
        <w:rPr>
          <w:rStyle w:val="7"/>
          <w:rFonts w:hint="eastAsia" w:ascii="黑体" w:hAnsi="黑体" w:eastAsia="黑体"/>
          <w:color w:val="414141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414141"/>
          <w:sz w:val="36"/>
          <w:szCs w:val="36"/>
        </w:rPr>
        <w:t>20</w:t>
      </w:r>
      <w:r>
        <w:rPr>
          <w:rFonts w:ascii="方正小标宋简体" w:hAnsi="微软雅黑" w:eastAsia="方正小标宋简体"/>
          <w:color w:val="414141"/>
          <w:sz w:val="36"/>
          <w:szCs w:val="36"/>
        </w:rPr>
        <w:t>20</w:t>
      </w:r>
      <w:r>
        <w:rPr>
          <w:rFonts w:hint="eastAsia" w:ascii="方正小标宋简体" w:hAnsi="微软雅黑" w:eastAsia="方正小标宋简体"/>
          <w:color w:val="414141"/>
          <w:sz w:val="36"/>
          <w:szCs w:val="36"/>
        </w:rPr>
        <w:t>年部门预算和“三公”经费预算说明</w:t>
      </w:r>
    </w:p>
    <w:p>
      <w:pPr>
        <w:pStyle w:val="6"/>
        <w:spacing w:before="0" w:beforeAutospacing="0" w:after="0" w:afterAutospacing="0" w:line="411" w:lineRule="atLeast"/>
        <w:ind w:firstLine="640"/>
        <w:jc w:val="center"/>
        <w:rPr>
          <w:rStyle w:val="7"/>
          <w:rFonts w:hint="eastAsia" w:ascii="黑体" w:hAnsi="黑体" w:eastAsia="黑体"/>
          <w:color w:val="414141"/>
          <w:sz w:val="36"/>
          <w:szCs w:val="36"/>
        </w:rPr>
      </w:pPr>
    </w:p>
    <w:p>
      <w:pPr>
        <w:pStyle w:val="6"/>
        <w:spacing w:before="0" w:beforeAutospacing="0" w:after="0" w:afterAutospacing="0" w:line="411" w:lineRule="atLeast"/>
        <w:ind w:firstLine="640"/>
        <w:jc w:val="center"/>
        <w:rPr>
          <w:rFonts w:ascii="微软雅黑" w:hAnsi="微软雅黑" w:eastAsia="微软雅黑"/>
          <w:color w:val="515151"/>
          <w:sz w:val="19"/>
          <w:szCs w:val="19"/>
        </w:rPr>
      </w:pPr>
      <w:r>
        <w:rPr>
          <w:rStyle w:val="7"/>
          <w:rFonts w:hint="eastAsia" w:ascii="黑体" w:hAnsi="黑体" w:eastAsia="黑体"/>
          <w:color w:val="414141"/>
          <w:sz w:val="36"/>
          <w:szCs w:val="36"/>
        </w:rPr>
        <w:t>部门预算公开信息目录</w:t>
      </w:r>
    </w:p>
    <w:p>
      <w:pPr>
        <w:pStyle w:val="6"/>
        <w:spacing w:before="0" w:beforeAutospacing="0" w:after="0" w:afterAutospacing="0" w:line="411" w:lineRule="atLeast"/>
        <w:ind w:firstLine="426"/>
        <w:rPr>
          <w:rStyle w:val="7"/>
          <w:rFonts w:ascii="黑体" w:hAnsi="黑体" w:eastAsia="黑体"/>
          <w:color w:val="414141"/>
          <w:sz w:val="32"/>
          <w:szCs w:val="32"/>
        </w:rPr>
      </w:pPr>
    </w:p>
    <w:p>
      <w:pPr>
        <w:pStyle w:val="6"/>
        <w:spacing w:before="0" w:beforeAutospacing="0" w:after="0" w:afterAutospacing="0" w:line="411" w:lineRule="atLeast"/>
        <w:ind w:firstLine="426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color w:val="414141"/>
          <w:sz w:val="30"/>
          <w:szCs w:val="30"/>
        </w:rPr>
        <w:t>一、部门职能职责</w:t>
      </w:r>
    </w:p>
    <w:p>
      <w:pPr>
        <w:pStyle w:val="6"/>
        <w:spacing w:before="0" w:beforeAutospacing="0" w:after="0" w:afterAutospacing="0" w:line="411" w:lineRule="atLeast"/>
        <w:ind w:firstLine="426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color w:val="414141"/>
          <w:sz w:val="30"/>
          <w:szCs w:val="30"/>
        </w:rPr>
        <w:t>二、机构设置</w:t>
      </w:r>
    </w:p>
    <w:p>
      <w:pPr>
        <w:pStyle w:val="6"/>
        <w:spacing w:before="0" w:beforeAutospacing="0" w:after="0" w:afterAutospacing="0" w:line="411" w:lineRule="atLeast"/>
        <w:ind w:firstLine="426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color w:val="414141"/>
          <w:sz w:val="30"/>
          <w:szCs w:val="30"/>
        </w:rPr>
        <w:t>三、部门收支概况</w:t>
      </w:r>
      <w:bookmarkStart w:id="0" w:name="_GoBack"/>
      <w:bookmarkEnd w:id="0"/>
    </w:p>
    <w:p>
      <w:pPr>
        <w:pStyle w:val="6"/>
        <w:spacing w:before="0" w:beforeAutospacing="0" w:after="0" w:afterAutospacing="0" w:line="411" w:lineRule="atLeast"/>
        <w:ind w:firstLine="851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color w:val="414141"/>
          <w:sz w:val="30"/>
          <w:szCs w:val="30"/>
        </w:rPr>
        <w:t>（一）收入预算</w:t>
      </w:r>
    </w:p>
    <w:p>
      <w:pPr>
        <w:pStyle w:val="6"/>
        <w:spacing w:before="0" w:beforeAutospacing="0" w:after="0" w:afterAutospacing="0" w:line="411" w:lineRule="atLeast"/>
        <w:ind w:firstLine="851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color w:val="414141"/>
          <w:sz w:val="30"/>
          <w:szCs w:val="30"/>
        </w:rPr>
        <w:t>（二）支出预算</w:t>
      </w:r>
    </w:p>
    <w:p>
      <w:pPr>
        <w:pStyle w:val="6"/>
        <w:spacing w:before="0" w:beforeAutospacing="0" w:after="0" w:afterAutospacing="0" w:line="411" w:lineRule="atLeast"/>
        <w:ind w:firstLine="851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color w:val="414141"/>
          <w:sz w:val="30"/>
          <w:szCs w:val="30"/>
        </w:rPr>
        <w:t>（三）机关运行经费安排情况</w:t>
      </w:r>
    </w:p>
    <w:p>
      <w:pPr>
        <w:pStyle w:val="6"/>
        <w:spacing w:before="0" w:beforeAutospacing="0" w:after="0" w:afterAutospacing="0" w:line="411" w:lineRule="atLeast"/>
        <w:ind w:firstLine="851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color w:val="414141"/>
          <w:sz w:val="30"/>
          <w:szCs w:val="30"/>
        </w:rPr>
        <w:t>（四）政府采购预算</w:t>
      </w:r>
    </w:p>
    <w:p>
      <w:pPr>
        <w:pStyle w:val="6"/>
        <w:spacing w:before="0" w:beforeAutospacing="0" w:after="0" w:afterAutospacing="0" w:line="411" w:lineRule="atLeast"/>
        <w:ind w:firstLine="851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color w:val="414141"/>
          <w:sz w:val="30"/>
          <w:szCs w:val="30"/>
        </w:rPr>
        <w:t>（五）国有资产占有情况说明</w:t>
      </w:r>
    </w:p>
    <w:p>
      <w:pPr>
        <w:pStyle w:val="6"/>
        <w:spacing w:before="0" w:beforeAutospacing="0" w:after="0" w:afterAutospacing="0" w:line="411" w:lineRule="atLeast"/>
        <w:ind w:firstLine="851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color w:val="414141"/>
          <w:sz w:val="30"/>
          <w:szCs w:val="30"/>
        </w:rPr>
        <w:t>（六）预算绩效目标说明</w:t>
      </w:r>
    </w:p>
    <w:p>
      <w:pPr>
        <w:pStyle w:val="6"/>
        <w:spacing w:before="0" w:beforeAutospacing="0" w:after="0" w:afterAutospacing="0" w:line="411" w:lineRule="atLeast"/>
        <w:ind w:firstLine="851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color w:val="414141"/>
          <w:sz w:val="30"/>
          <w:szCs w:val="30"/>
        </w:rPr>
        <w:t>（七）"三公"等经费预算说明</w:t>
      </w:r>
    </w:p>
    <w:p>
      <w:pPr>
        <w:pStyle w:val="6"/>
        <w:spacing w:before="0" w:beforeAutospacing="0" w:after="0" w:afterAutospacing="0" w:line="411" w:lineRule="atLeast"/>
        <w:ind w:firstLine="851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color w:val="414141"/>
          <w:sz w:val="30"/>
          <w:szCs w:val="30"/>
        </w:rPr>
        <w:t>（八）其他事项</w:t>
      </w:r>
    </w:p>
    <w:p>
      <w:pPr>
        <w:pStyle w:val="6"/>
        <w:spacing w:before="0" w:beforeAutospacing="0" w:after="0" w:afterAutospacing="0" w:line="411" w:lineRule="atLeast"/>
        <w:ind w:firstLine="426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color w:val="414141"/>
          <w:sz w:val="30"/>
          <w:szCs w:val="30"/>
        </w:rPr>
        <w:t>四、名词解释</w:t>
      </w:r>
    </w:p>
    <w:p>
      <w:pPr>
        <w:pStyle w:val="6"/>
        <w:spacing w:before="0" w:beforeAutospacing="0" w:after="0" w:afterAutospacing="0" w:line="411" w:lineRule="atLeast"/>
        <w:ind w:firstLine="426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color w:val="414141"/>
          <w:sz w:val="30"/>
          <w:szCs w:val="30"/>
        </w:rPr>
        <w:t>五、部门预算公开表格目录</w:t>
      </w:r>
    </w:p>
    <w:p>
      <w:pPr>
        <w:pStyle w:val="6"/>
        <w:spacing w:before="0" w:beforeAutospacing="0" w:after="0" w:afterAutospacing="0" w:line="411" w:lineRule="atLeast"/>
        <w:ind w:firstLine="426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color w:val="414141"/>
          <w:sz w:val="30"/>
          <w:szCs w:val="30"/>
        </w:rPr>
        <w:t>六、公开表格附件</w:t>
      </w:r>
    </w:p>
    <w:p>
      <w:pPr>
        <w:pStyle w:val="6"/>
        <w:spacing w:before="0" w:beforeAutospacing="0" w:after="0" w:afterAutospacing="0" w:line="411" w:lineRule="atLeast"/>
        <w:ind w:firstLine="48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ascii="Calibri" w:hAnsi="Calibri" w:eastAsia="微软雅黑"/>
          <w:color w:val="414141"/>
          <w:sz w:val="30"/>
          <w:szCs w:val="30"/>
        </w:rPr>
        <w:t> </w:t>
      </w:r>
    </w:p>
    <w:p>
      <w:pPr>
        <w:pStyle w:val="6"/>
        <w:spacing w:before="0" w:beforeAutospacing="0" w:after="0" w:afterAutospacing="0" w:line="411" w:lineRule="atLeast"/>
        <w:ind w:firstLine="64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b/>
          <w:bCs/>
          <w:color w:val="414141"/>
          <w:sz w:val="30"/>
          <w:szCs w:val="30"/>
        </w:rPr>
        <w:t>一、</w:t>
      </w:r>
      <w:r>
        <w:rPr>
          <w:rStyle w:val="7"/>
          <w:rFonts w:ascii="Calibri" w:hAnsi="Calibri" w:eastAsia="微软雅黑"/>
          <w:b/>
          <w:bCs/>
          <w:color w:val="414141"/>
          <w:sz w:val="30"/>
          <w:szCs w:val="30"/>
        </w:rPr>
        <w:t> </w:t>
      </w:r>
      <w:r>
        <w:rPr>
          <w:rStyle w:val="7"/>
          <w:rFonts w:hint="eastAsia" w:ascii="黑体" w:hAnsi="黑体" w:eastAsia="黑体"/>
          <w:color w:val="414141"/>
          <w:sz w:val="30"/>
          <w:szCs w:val="30"/>
        </w:rPr>
        <w:t>部门职能职责</w:t>
      </w:r>
    </w:p>
    <w:p>
      <w:pPr>
        <w:pStyle w:val="6"/>
        <w:spacing w:before="0" w:beforeAutospacing="0" w:after="0" w:afterAutospacing="0" w:line="411" w:lineRule="atLeast"/>
        <w:ind w:firstLine="567"/>
        <w:rPr>
          <w:rStyle w:val="7"/>
          <w:rFonts w:ascii="仿宋" w:hAnsi="仿宋" w:eastAsia="仿宋"/>
          <w:color w:val="41414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(一)本单位从事体育科研及为业余运动训练服务工作（运动员科学选材；生理、生化指标检测；运动伤病康复；运动营养品的管理配发）</w:t>
      </w:r>
    </w:p>
    <w:p>
      <w:pPr>
        <w:pStyle w:val="6"/>
        <w:tabs>
          <w:tab w:val="left" w:pos="0"/>
        </w:tabs>
        <w:spacing w:before="0" w:beforeAutospacing="0" w:after="0" w:afterAutospacing="0" w:line="411" w:lineRule="atLeast"/>
        <w:ind w:firstLine="531" w:firstLineChars="177"/>
        <w:rPr>
          <w:rFonts w:ascii="仿宋" w:hAnsi="仿宋" w:eastAsia="仿宋"/>
          <w:color w:val="41414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（二）承办市上级主管局交办的其他事项。</w:t>
      </w:r>
    </w:p>
    <w:p>
      <w:pPr>
        <w:pStyle w:val="6"/>
        <w:spacing w:before="0" w:beforeAutospacing="0" w:after="0" w:afterAutospacing="0" w:line="411" w:lineRule="atLeast"/>
        <w:ind w:firstLine="64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color w:val="414141"/>
          <w:sz w:val="30"/>
          <w:szCs w:val="30"/>
        </w:rPr>
        <w:t>二、机构设置</w:t>
      </w:r>
    </w:p>
    <w:p>
      <w:pPr>
        <w:pStyle w:val="6"/>
        <w:spacing w:before="0" w:beforeAutospacing="0" w:after="0" w:afterAutospacing="0" w:line="411" w:lineRule="atLeast"/>
        <w:ind w:firstLine="64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我单位为全额拨款单位，截至2020年12月31日，在编在职人员8人，退休人员5人，属二级预算单位。</w:t>
      </w:r>
      <w:r>
        <w:rPr>
          <w:rStyle w:val="7"/>
          <w:rFonts w:ascii="Calibri" w:hAnsi="Calibri" w:eastAsia="微软雅黑"/>
          <w:color w:val="414141"/>
          <w:sz w:val="30"/>
          <w:szCs w:val="30"/>
        </w:rPr>
        <w:t> </w:t>
      </w:r>
    </w:p>
    <w:p>
      <w:pPr>
        <w:pStyle w:val="6"/>
        <w:spacing w:before="0" w:beforeAutospacing="0" w:after="0" w:afterAutospacing="0" w:line="411" w:lineRule="atLeast"/>
        <w:ind w:firstLine="62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color w:val="414141"/>
          <w:sz w:val="30"/>
          <w:szCs w:val="30"/>
        </w:rPr>
        <w:t>三、部门收支概况</w:t>
      </w:r>
    </w:p>
    <w:p>
      <w:pPr>
        <w:pStyle w:val="6"/>
        <w:spacing w:before="0" w:beforeAutospacing="0" w:after="0" w:afterAutospacing="0" w:line="411" w:lineRule="atLeast"/>
        <w:ind w:firstLine="66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2021年部门预算编报范围为本单位。收入为2021年衡阳市体育科研辅导站预算收入；支出为2021年衡阳市体育科研辅导站运行的经费。</w:t>
      </w:r>
    </w:p>
    <w:p>
      <w:pPr>
        <w:pStyle w:val="6"/>
        <w:spacing w:before="0" w:beforeAutospacing="0" w:after="0" w:afterAutospacing="0" w:line="411" w:lineRule="atLeast"/>
        <w:ind w:firstLine="567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（一）收入预算：2021年年初预算数133.69万元，其中，一般公共预算拨款115.12万元。</w:t>
      </w:r>
    </w:p>
    <w:p>
      <w:pPr>
        <w:pStyle w:val="6"/>
        <w:spacing w:before="0" w:beforeAutospacing="0" w:after="0" w:afterAutospacing="0" w:line="411" w:lineRule="atLeast"/>
        <w:ind w:firstLine="567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（二）支出预算：2021年年初预算数133.69万元。其中经费拨款支出115.12万（文化旅游体育与传媒支出95.42万元，社会保障和就业支出8.59万元，卫生健康支出4.67万元，住房保障支出6.44万元。）。</w:t>
      </w:r>
    </w:p>
    <w:p>
      <w:pPr>
        <w:pStyle w:val="6"/>
        <w:spacing w:before="0" w:beforeAutospacing="0" w:after="0" w:afterAutospacing="0" w:line="411" w:lineRule="atLeast"/>
        <w:ind w:firstLine="64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具体安排如下：</w:t>
      </w:r>
    </w:p>
    <w:p>
      <w:pPr>
        <w:pStyle w:val="6"/>
        <w:spacing w:before="0" w:beforeAutospacing="0" w:after="0" w:afterAutospacing="0" w:line="411" w:lineRule="atLeast"/>
        <w:ind w:firstLine="62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基本支出：2021年年初预算数为133.69万元，是指为保障单位机构正常运转、完成日常工作任务而发生的各项支出，包括用于基本工资、津贴补贴等人员经费以及日常公用经费、业务性商品、劳务和服务支出。</w:t>
      </w:r>
    </w:p>
    <w:p>
      <w:pPr>
        <w:pStyle w:val="6"/>
        <w:spacing w:before="0" w:beforeAutospacing="0" w:after="0" w:afterAutospacing="0" w:line="411" w:lineRule="atLeast"/>
        <w:ind w:firstLine="62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预算收支增减变化情况说明：2021年度本单位年初预算数为133.69万元，比上年增加22.75万元，主要原因为：2021年度的人员经费预算比2020年度新增了2人。</w:t>
      </w:r>
    </w:p>
    <w:p>
      <w:pPr>
        <w:pStyle w:val="6"/>
        <w:spacing w:before="0" w:beforeAutospacing="0" w:after="0" w:afterAutospacing="0" w:line="411" w:lineRule="atLeast"/>
        <w:ind w:firstLine="48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ascii="Calibri" w:hAnsi="Calibri" w:eastAsia="微软雅黑"/>
          <w:color w:val="414141"/>
          <w:sz w:val="30"/>
          <w:szCs w:val="30"/>
        </w:rPr>
        <w:t>   </w:t>
      </w: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（三）机关运行经费安排情况：本部门2021年年初预算机关运行经费共安排0万元，比上年度预算增加0万元。</w:t>
      </w:r>
    </w:p>
    <w:p>
      <w:pPr>
        <w:pStyle w:val="6"/>
        <w:spacing w:before="0" w:beforeAutospacing="0" w:after="0" w:afterAutospacing="0" w:line="411" w:lineRule="atLeast"/>
        <w:ind w:firstLine="709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（四）政府采购预算：2021年年初预算数为0万元。</w:t>
      </w:r>
    </w:p>
    <w:p>
      <w:pPr>
        <w:pStyle w:val="6"/>
        <w:spacing w:before="0" w:beforeAutospacing="0" w:after="0" w:afterAutospacing="0" w:line="411" w:lineRule="atLeast"/>
        <w:ind w:firstLine="62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（五）国有资产占有情况说明：</w:t>
      </w:r>
      <w:r>
        <w:rPr>
          <w:rStyle w:val="7"/>
          <w:rFonts w:hint="eastAsia" w:ascii="仿宋_GB2312" w:hAnsi="微软雅黑" w:eastAsia="仿宋_GB2312"/>
          <w:color w:val="414141"/>
          <w:sz w:val="30"/>
          <w:szCs w:val="30"/>
        </w:rPr>
        <w:t>截止2020年12月31日，本部门共有办公及业务用房110平方米；。</w:t>
      </w:r>
    </w:p>
    <w:p>
      <w:pPr>
        <w:pStyle w:val="6"/>
        <w:spacing w:before="0" w:beforeAutospacing="0" w:after="0" w:afterAutospacing="0" w:line="411" w:lineRule="atLeast"/>
        <w:ind w:firstLine="62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（六）预算绩效目标说明：本部门整体支出和项目支出实行绩效目标管理，纳入2021年部门整体支出绩效目标的金额为115.12万元，其中，基本支出115.12万元。</w:t>
      </w:r>
    </w:p>
    <w:p>
      <w:pPr>
        <w:pStyle w:val="6"/>
        <w:spacing w:before="0" w:beforeAutospacing="0" w:after="0" w:afterAutospacing="0" w:line="411" w:lineRule="atLeast"/>
        <w:ind w:firstLine="62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（七）"三公"等经费预算：2021年"三公"经费预算数0万元，其中：公务接待费0万元、公务用车购置费0万元、公务用车运行费0万元、因公出国（境）费0万元。2021年公务用车购置数0台。会议费预算数0万元、培训费预算数0万元。</w:t>
      </w:r>
    </w:p>
    <w:p>
      <w:pPr>
        <w:pStyle w:val="6"/>
        <w:spacing w:before="0" w:beforeAutospacing="0" w:after="0" w:afterAutospacing="0" w:line="411" w:lineRule="atLeast"/>
        <w:ind w:firstLine="64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（八）其他事项：无。</w:t>
      </w:r>
    </w:p>
    <w:p>
      <w:pPr>
        <w:pStyle w:val="6"/>
        <w:spacing w:before="0" w:beforeAutospacing="0" w:after="0" w:afterAutospacing="0" w:line="411" w:lineRule="atLeast"/>
        <w:ind w:firstLine="64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color w:val="414141"/>
          <w:sz w:val="30"/>
          <w:szCs w:val="30"/>
        </w:rPr>
        <w:t>四、名词解释：</w:t>
      </w:r>
    </w:p>
    <w:p>
      <w:pPr>
        <w:pStyle w:val="6"/>
        <w:spacing w:before="0" w:beforeAutospacing="0" w:after="0" w:afterAutospacing="0" w:line="411" w:lineRule="atLeast"/>
        <w:ind w:firstLine="64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1.一般公共预算:是对以税收为主体的财政收入，安排用于保障和改善民生、推动经济社会发展、维护国家安全、维持国家机构正常运转等方面的收支预算。一般公共预算收入即通常所指的"财政收入"，按照2015年1月1日起施行的新</w:t>
      </w:r>
      <w:r>
        <w:rPr>
          <w:rStyle w:val="7"/>
          <w:rFonts w:hint="eastAsia" w:ascii="仿宋" w:hAnsi="仿宋" w:eastAsia="仿宋"/>
          <w:color w:val="414141"/>
          <w:sz w:val="30"/>
          <w:szCs w:val="30"/>
          <w:lang w:eastAsia="zh-CN"/>
        </w:rPr>
        <w:t>《中华人民共和国预算法》</w:t>
      </w: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，改称"一般公共预算收入"。全市一般公共预算收入由地方收入、上划中央收入、上划省级收入三部分构成。</w:t>
      </w:r>
    </w:p>
    <w:p>
      <w:pPr>
        <w:pStyle w:val="6"/>
        <w:spacing w:before="0" w:beforeAutospacing="0" w:after="0" w:afterAutospacing="0" w:line="411" w:lineRule="atLeast"/>
        <w:ind w:firstLine="64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2.基本支出：指为保障机构正常运转、完成日常工作任务而发生的人员支出和公用支出。</w:t>
      </w:r>
    </w:p>
    <w:p>
      <w:pPr>
        <w:pStyle w:val="6"/>
        <w:spacing w:before="0" w:beforeAutospacing="0" w:after="0" w:afterAutospacing="0" w:line="411" w:lineRule="atLeast"/>
        <w:ind w:firstLine="64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3."三公"经费：是指商品和服务支出中的因公出国（境）费用、公务用车购置及运行维护费和公务接待费。</w:t>
      </w:r>
    </w:p>
    <w:p>
      <w:pPr>
        <w:pStyle w:val="6"/>
        <w:spacing w:before="0" w:beforeAutospacing="0" w:after="0" w:afterAutospacing="0" w:line="411" w:lineRule="atLeast"/>
        <w:ind w:firstLine="64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4.机关运行经费：机关运行经费指为保障行政单位（包括参照公务员法管理的事业单位）运行，用于购买货物和服务的各项资金。包括办公及印刷费、邮电费、差旅费、会议费、福利费、日常维修费、专用材料费及一般设备购置费、办公用房水电费、公务用车运行维护费及其他费用。</w:t>
      </w:r>
    </w:p>
    <w:p>
      <w:pPr>
        <w:pStyle w:val="6"/>
        <w:spacing w:before="0" w:beforeAutospacing="0" w:after="0" w:afterAutospacing="0" w:line="411" w:lineRule="atLeast"/>
        <w:ind w:firstLine="60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b/>
          <w:bCs/>
          <w:color w:val="414141"/>
          <w:sz w:val="30"/>
          <w:szCs w:val="30"/>
        </w:rPr>
        <w:t>五、部门预算公开表格目录</w:t>
      </w:r>
    </w:p>
    <w:p>
      <w:pPr>
        <w:pStyle w:val="6"/>
        <w:spacing w:before="0" w:beforeAutospacing="0" w:after="0" w:afterAutospacing="0" w:line="411" w:lineRule="atLeast"/>
        <w:ind w:firstLine="60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表一：部门收支总表</w:t>
      </w:r>
    </w:p>
    <w:p>
      <w:pPr>
        <w:pStyle w:val="6"/>
        <w:spacing w:before="0" w:beforeAutospacing="0" w:after="0" w:afterAutospacing="0" w:line="411" w:lineRule="atLeast"/>
        <w:ind w:firstLine="60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表二：部门收入总表</w:t>
      </w:r>
    </w:p>
    <w:p>
      <w:pPr>
        <w:pStyle w:val="6"/>
        <w:spacing w:before="0" w:beforeAutospacing="0" w:after="0" w:afterAutospacing="0" w:line="411" w:lineRule="atLeast"/>
        <w:ind w:firstLine="60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表三：部门支出总表</w:t>
      </w:r>
    </w:p>
    <w:p>
      <w:pPr>
        <w:pStyle w:val="6"/>
        <w:spacing w:before="0" w:beforeAutospacing="0" w:after="0" w:afterAutospacing="0" w:line="411" w:lineRule="atLeast"/>
        <w:ind w:firstLine="60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表四：财政拨款收支表</w:t>
      </w:r>
    </w:p>
    <w:p>
      <w:pPr>
        <w:pStyle w:val="6"/>
        <w:spacing w:before="0" w:beforeAutospacing="0" w:after="0" w:afterAutospacing="0" w:line="411" w:lineRule="atLeast"/>
        <w:ind w:firstLine="60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表五：一般公共预算支出表</w:t>
      </w:r>
    </w:p>
    <w:p>
      <w:pPr>
        <w:pStyle w:val="6"/>
        <w:spacing w:before="0" w:beforeAutospacing="0" w:after="0" w:afterAutospacing="0" w:line="411" w:lineRule="atLeast"/>
        <w:ind w:firstLine="60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表六：一般公共预算基本支出(部门经济科目)</w:t>
      </w:r>
    </w:p>
    <w:p>
      <w:pPr>
        <w:pStyle w:val="6"/>
        <w:spacing w:before="0" w:beforeAutospacing="0" w:after="0" w:afterAutospacing="0" w:line="411" w:lineRule="atLeast"/>
        <w:ind w:firstLine="60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表七：一般预算基本支出(政府经济科目)</w:t>
      </w:r>
    </w:p>
    <w:p>
      <w:pPr>
        <w:pStyle w:val="6"/>
        <w:spacing w:before="0" w:beforeAutospacing="0" w:after="0" w:afterAutospacing="0" w:line="411" w:lineRule="atLeast"/>
        <w:ind w:firstLine="60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表八：政府性基金表</w:t>
      </w:r>
    </w:p>
    <w:p>
      <w:pPr>
        <w:pStyle w:val="6"/>
        <w:spacing w:before="0" w:beforeAutospacing="0" w:after="0" w:afterAutospacing="0" w:line="411" w:lineRule="atLeast"/>
        <w:ind w:firstLine="60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表九：三公经费预算表</w:t>
      </w:r>
    </w:p>
    <w:p>
      <w:pPr>
        <w:pStyle w:val="6"/>
        <w:spacing w:before="0" w:beforeAutospacing="0" w:after="0" w:afterAutospacing="0" w:line="411" w:lineRule="atLeast"/>
        <w:ind w:firstLine="60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表十：部门整体支出绩效目标申报表</w:t>
      </w:r>
    </w:p>
    <w:p>
      <w:pPr>
        <w:pStyle w:val="6"/>
        <w:spacing w:before="0" w:beforeAutospacing="0" w:after="0" w:afterAutospacing="0" w:line="411" w:lineRule="atLeast"/>
        <w:ind w:firstLine="60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表十一：专项资金绩效目标申报表</w:t>
      </w:r>
    </w:p>
    <w:p>
      <w:pPr>
        <w:pStyle w:val="6"/>
        <w:spacing w:before="0" w:beforeAutospacing="0" w:after="0" w:afterAutospacing="0" w:line="411" w:lineRule="atLeast"/>
        <w:ind w:firstLine="600"/>
        <w:rPr>
          <w:rFonts w:ascii="微软雅黑" w:hAnsi="微软雅黑" w:eastAsia="微软雅黑"/>
          <w:color w:val="515151"/>
          <w:sz w:val="30"/>
          <w:szCs w:val="30"/>
        </w:rPr>
      </w:pPr>
      <w:r>
        <w:rPr>
          <w:rStyle w:val="7"/>
          <w:rFonts w:hint="eastAsia" w:ascii="黑体" w:hAnsi="黑体" w:eastAsia="黑体"/>
          <w:b/>
          <w:bCs/>
          <w:color w:val="414141"/>
          <w:sz w:val="30"/>
          <w:szCs w:val="30"/>
        </w:rPr>
        <w:t>六、公开表格附件</w:t>
      </w:r>
    </w:p>
    <w:p>
      <w:pPr>
        <w:pStyle w:val="6"/>
        <w:spacing w:before="0" w:beforeAutospacing="0" w:after="0" w:afterAutospacing="0" w:line="411" w:lineRule="atLeast"/>
        <w:ind w:firstLine="600"/>
        <w:rPr>
          <w:rStyle w:val="7"/>
          <w:rFonts w:ascii="仿宋" w:hAnsi="仿宋" w:eastAsia="仿宋"/>
          <w:color w:val="41414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衡阳市体育科研辅导站2021年度预算公开套表</w:t>
      </w:r>
    </w:p>
    <w:p>
      <w:pPr>
        <w:pStyle w:val="6"/>
        <w:spacing w:before="0" w:beforeAutospacing="0" w:after="0" w:afterAutospacing="0" w:line="411" w:lineRule="atLeast"/>
        <w:ind w:firstLine="600"/>
        <w:rPr>
          <w:rStyle w:val="7"/>
          <w:rFonts w:hint="eastAsia" w:ascii="仿宋" w:hAnsi="仿宋" w:eastAsia="仿宋"/>
          <w:color w:val="41414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衡阳市体育科研辅导站2021年部门整体支出绩效目标申报表</w:t>
      </w:r>
    </w:p>
    <w:p>
      <w:pPr>
        <w:pStyle w:val="6"/>
        <w:spacing w:before="0" w:beforeAutospacing="0" w:after="0" w:afterAutospacing="0" w:line="411" w:lineRule="atLeast"/>
        <w:ind w:firstLine="600"/>
        <w:rPr>
          <w:rStyle w:val="7"/>
          <w:rFonts w:hint="eastAsia" w:ascii="仿宋" w:hAnsi="仿宋" w:eastAsia="仿宋"/>
          <w:color w:val="414141"/>
          <w:sz w:val="30"/>
          <w:szCs w:val="30"/>
        </w:rPr>
      </w:pPr>
    </w:p>
    <w:p>
      <w:pPr>
        <w:pStyle w:val="6"/>
        <w:spacing w:before="0" w:beforeAutospacing="0" w:after="0" w:afterAutospacing="0" w:line="411" w:lineRule="atLeast"/>
        <w:ind w:firstLine="600"/>
        <w:jc w:val="right"/>
        <w:rPr>
          <w:rStyle w:val="7"/>
          <w:rFonts w:hint="eastAsia" w:ascii="仿宋" w:hAnsi="仿宋" w:eastAsia="仿宋"/>
          <w:color w:val="414141"/>
          <w:sz w:val="30"/>
          <w:szCs w:val="30"/>
        </w:rPr>
      </w:pP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衡阳市体育科研辅导站</w:t>
      </w:r>
    </w:p>
    <w:p>
      <w:pPr>
        <w:pStyle w:val="6"/>
        <w:spacing w:before="0" w:beforeAutospacing="0" w:after="0" w:afterAutospacing="0" w:line="411" w:lineRule="atLeast"/>
        <w:ind w:right="300" w:firstLine="600"/>
        <w:jc w:val="right"/>
        <w:rPr>
          <w:rStyle w:val="7"/>
          <w:rFonts w:ascii="仿宋" w:hAnsi="仿宋" w:eastAsia="仿宋"/>
          <w:color w:val="414141"/>
          <w:sz w:val="30"/>
          <w:szCs w:val="30"/>
        </w:rPr>
      </w:pPr>
      <w:r>
        <w:rPr>
          <w:rStyle w:val="7"/>
          <w:rFonts w:ascii="仿宋" w:hAnsi="仿宋" w:eastAsia="仿宋"/>
          <w:color w:val="414141"/>
          <w:sz w:val="30"/>
          <w:szCs w:val="30"/>
        </w:rPr>
        <w:t>2021</w:t>
      </w: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年</w:t>
      </w:r>
      <w:r>
        <w:rPr>
          <w:rStyle w:val="7"/>
          <w:rFonts w:ascii="仿宋" w:hAnsi="仿宋" w:eastAsia="仿宋"/>
          <w:color w:val="414141"/>
          <w:sz w:val="30"/>
          <w:szCs w:val="30"/>
        </w:rPr>
        <w:t>2</w:t>
      </w: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月</w:t>
      </w:r>
      <w:r>
        <w:rPr>
          <w:rStyle w:val="7"/>
          <w:rFonts w:ascii="仿宋" w:hAnsi="仿宋" w:eastAsia="仿宋"/>
          <w:color w:val="414141"/>
          <w:sz w:val="30"/>
          <w:szCs w:val="30"/>
        </w:rPr>
        <w:t>2</w:t>
      </w:r>
      <w:r>
        <w:rPr>
          <w:rStyle w:val="7"/>
          <w:rFonts w:hint="eastAsia" w:ascii="仿宋" w:hAnsi="仿宋" w:eastAsia="仿宋"/>
          <w:color w:val="414141"/>
          <w:sz w:val="30"/>
          <w:szCs w:val="30"/>
        </w:rPr>
        <w:t>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RiNzE2N2NhMWM4ODI0YjE2MTJhMjliMTI3MjI0YTMifQ=="/>
  </w:docVars>
  <w:rsids>
    <w:rsidRoot w:val="00E5267B"/>
    <w:rsid w:val="00007FDC"/>
    <w:rsid w:val="000103A0"/>
    <w:rsid w:val="00015144"/>
    <w:rsid w:val="00023CDC"/>
    <w:rsid w:val="00080E55"/>
    <w:rsid w:val="000914C7"/>
    <w:rsid w:val="000C70C4"/>
    <w:rsid w:val="000C71AD"/>
    <w:rsid w:val="00151B9D"/>
    <w:rsid w:val="001E2DD3"/>
    <w:rsid w:val="001E4C94"/>
    <w:rsid w:val="0022309E"/>
    <w:rsid w:val="002808CA"/>
    <w:rsid w:val="00293984"/>
    <w:rsid w:val="002977D9"/>
    <w:rsid w:val="002A57D2"/>
    <w:rsid w:val="00300DE3"/>
    <w:rsid w:val="0030514A"/>
    <w:rsid w:val="0033720A"/>
    <w:rsid w:val="00362DD0"/>
    <w:rsid w:val="003D1663"/>
    <w:rsid w:val="003D5E6A"/>
    <w:rsid w:val="00407A8E"/>
    <w:rsid w:val="004315E4"/>
    <w:rsid w:val="004F340D"/>
    <w:rsid w:val="00550555"/>
    <w:rsid w:val="005542FA"/>
    <w:rsid w:val="00587D94"/>
    <w:rsid w:val="006B12FC"/>
    <w:rsid w:val="006E31C0"/>
    <w:rsid w:val="0072422B"/>
    <w:rsid w:val="007A0C56"/>
    <w:rsid w:val="007A1695"/>
    <w:rsid w:val="007E11B8"/>
    <w:rsid w:val="008557E7"/>
    <w:rsid w:val="00886D16"/>
    <w:rsid w:val="008B060D"/>
    <w:rsid w:val="00945FC0"/>
    <w:rsid w:val="00947E36"/>
    <w:rsid w:val="0095159F"/>
    <w:rsid w:val="009C677E"/>
    <w:rsid w:val="00A66901"/>
    <w:rsid w:val="00A70FA8"/>
    <w:rsid w:val="00A8275E"/>
    <w:rsid w:val="00A868A7"/>
    <w:rsid w:val="00AC6820"/>
    <w:rsid w:val="00AF0D12"/>
    <w:rsid w:val="00B02D4A"/>
    <w:rsid w:val="00B6438B"/>
    <w:rsid w:val="00B72F3D"/>
    <w:rsid w:val="00BD41D9"/>
    <w:rsid w:val="00C13BEC"/>
    <w:rsid w:val="00C60819"/>
    <w:rsid w:val="00C63F79"/>
    <w:rsid w:val="00CC0FC8"/>
    <w:rsid w:val="00CD54FA"/>
    <w:rsid w:val="00D034A0"/>
    <w:rsid w:val="00D03ABB"/>
    <w:rsid w:val="00D158E0"/>
    <w:rsid w:val="00D44B04"/>
    <w:rsid w:val="00D917D5"/>
    <w:rsid w:val="00E5267B"/>
    <w:rsid w:val="00E87FCD"/>
    <w:rsid w:val="00EC4C39"/>
    <w:rsid w:val="00F4727B"/>
    <w:rsid w:val="00FF44D6"/>
    <w:rsid w:val="4A42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x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x11"/>
    <w:basedOn w:val="5"/>
    <w:uiPriority w:val="0"/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52flin</Company>
  <Pages>5</Pages>
  <Words>1529</Words>
  <Characters>1661</Characters>
  <Lines>12</Lines>
  <Paragraphs>3</Paragraphs>
  <TotalTime>56</TotalTime>
  <ScaleCrop>false</ScaleCrop>
  <LinksUpToDate>false</LinksUpToDate>
  <CharactersWithSpaces>1667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2021-02-24T08:18:00Z</dcterms:created>
  <dc:creator>衡阳市体育科研辅导站</dc:creator>
  <cp:lastModifiedBy>邓婷</cp:lastModifiedBy>
  <dcterms:modified xsi:type="dcterms:W3CDTF">2024-07-16T02:04:55Z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58BF4E3055D743AA9D5F8C254DC055D1_12</vt:lpwstr>
  </property>
</Properties>
</file>