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37F2E">
      <w:pPr>
        <w:widowControl/>
        <w:spacing w:line="560" w:lineRule="exact"/>
        <w:jc w:val="center"/>
        <w:rPr>
          <w:sz w:val="84"/>
          <w:szCs w:val="84"/>
        </w:rPr>
      </w:pPr>
    </w:p>
    <w:p w14:paraId="1CCE4CA6">
      <w:pPr>
        <w:spacing w:line="840" w:lineRule="exact"/>
        <w:jc w:val="center"/>
        <w:rPr>
          <w:rFonts w:hint="eastAsia" w:ascii="黑体" w:hAnsi="黑体" w:eastAsia="黑体"/>
          <w:sz w:val="84"/>
          <w:szCs w:val="84"/>
        </w:rPr>
      </w:pPr>
      <w:r>
        <w:rPr>
          <w:rFonts w:hint="eastAsia" w:ascii="黑体" w:hAnsi="黑体" w:eastAsia="黑体"/>
          <w:sz w:val="84"/>
          <w:szCs w:val="84"/>
        </w:rPr>
        <w:t xml:space="preserve"> </w:t>
      </w:r>
    </w:p>
    <w:p w14:paraId="039DB834">
      <w:pPr>
        <w:spacing w:line="840" w:lineRule="exact"/>
        <w:jc w:val="center"/>
        <w:rPr>
          <w:rFonts w:hint="eastAsia" w:ascii="黑体" w:hAnsi="黑体" w:eastAsia="黑体"/>
          <w:sz w:val="84"/>
          <w:szCs w:val="84"/>
        </w:rPr>
      </w:pPr>
    </w:p>
    <w:p w14:paraId="24EFA8D8">
      <w:pPr>
        <w:jc w:val="center"/>
        <w:rPr>
          <w:rFonts w:hint="eastAsia" w:ascii="黑体" w:eastAsia="黑体"/>
          <w:sz w:val="60"/>
          <w:szCs w:val="60"/>
        </w:rPr>
      </w:pPr>
      <w:r>
        <w:rPr>
          <w:rFonts w:hint="eastAsia" w:ascii="黑体" w:eastAsia="黑体"/>
          <w:sz w:val="60"/>
          <w:szCs w:val="60"/>
        </w:rPr>
        <w:t>衡阳市人力资源和社会保障局</w:t>
      </w:r>
    </w:p>
    <w:p w14:paraId="10F6CBFA">
      <w:pPr>
        <w:spacing w:line="840" w:lineRule="exact"/>
        <w:jc w:val="both"/>
        <w:rPr>
          <w:rFonts w:hint="eastAsia" w:ascii="黑体" w:hAnsi="黑体" w:eastAsia="黑体"/>
          <w:sz w:val="84"/>
          <w:szCs w:val="84"/>
        </w:rPr>
      </w:pPr>
    </w:p>
    <w:p w14:paraId="72FDD8E3">
      <w:pPr>
        <w:spacing w:line="840" w:lineRule="exact"/>
        <w:jc w:val="center"/>
        <w:rPr>
          <w:rFonts w:hint="eastAsia" w:ascii="黑体" w:hAnsi="黑体" w:eastAsia="黑体"/>
          <w:sz w:val="84"/>
          <w:szCs w:val="84"/>
        </w:rPr>
      </w:pPr>
    </w:p>
    <w:p w14:paraId="707FA16F">
      <w:pPr>
        <w:spacing w:line="840" w:lineRule="exact"/>
        <w:jc w:val="center"/>
        <w:rPr>
          <w:rFonts w:hint="eastAsia" w:ascii="黑体" w:hAnsi="黑体" w:eastAsia="黑体"/>
          <w:sz w:val="84"/>
          <w:szCs w:val="84"/>
        </w:rPr>
      </w:pPr>
    </w:p>
    <w:p w14:paraId="3E83B606">
      <w:pPr>
        <w:spacing w:line="840" w:lineRule="exact"/>
        <w:jc w:val="center"/>
        <w:rPr>
          <w:rFonts w:hint="eastAsia" w:ascii="黑体" w:hAnsi="黑体" w:eastAsia="黑体"/>
          <w:sz w:val="84"/>
          <w:szCs w:val="84"/>
        </w:rPr>
      </w:pPr>
    </w:p>
    <w:p w14:paraId="24059437">
      <w:pPr>
        <w:spacing w:line="840" w:lineRule="exact"/>
        <w:jc w:val="center"/>
        <w:rPr>
          <w:rFonts w:hint="eastAsia" w:ascii="黑体" w:hAnsi="黑体" w:eastAsia="黑体"/>
          <w:sz w:val="80"/>
          <w:szCs w:val="80"/>
        </w:rPr>
      </w:pPr>
      <w:r>
        <w:rPr>
          <w:rFonts w:hint="eastAsia" w:ascii="黑体" w:hAnsi="黑体" w:eastAsia="黑体"/>
          <w:sz w:val="80"/>
          <w:szCs w:val="80"/>
        </w:rPr>
        <w:t>2019年度部门决算</w:t>
      </w:r>
    </w:p>
    <w:p w14:paraId="755C04FB">
      <w:pPr>
        <w:spacing w:line="840" w:lineRule="exact"/>
        <w:jc w:val="center"/>
        <w:rPr>
          <w:rFonts w:hint="eastAsia" w:ascii="黑体" w:hAnsi="黑体" w:eastAsia="黑体"/>
          <w:sz w:val="84"/>
          <w:szCs w:val="84"/>
        </w:rPr>
      </w:pPr>
      <w:r>
        <w:rPr>
          <w:rFonts w:hint="eastAsia" w:ascii="黑体" w:hAnsi="黑体" w:eastAsia="黑体"/>
          <w:sz w:val="84"/>
          <w:szCs w:val="84"/>
        </w:rPr>
        <w:t xml:space="preserve"> </w:t>
      </w:r>
    </w:p>
    <w:p w14:paraId="5F1213CF">
      <w:pPr>
        <w:spacing w:line="840" w:lineRule="exact"/>
        <w:jc w:val="center"/>
        <w:rPr>
          <w:rFonts w:hint="eastAsia" w:ascii="黑体" w:hAnsi="黑体" w:eastAsia="黑体"/>
          <w:sz w:val="84"/>
          <w:szCs w:val="84"/>
        </w:rPr>
      </w:pPr>
    </w:p>
    <w:p w14:paraId="758BCB87">
      <w:pPr>
        <w:spacing w:line="840" w:lineRule="exact"/>
        <w:jc w:val="center"/>
        <w:rPr>
          <w:rFonts w:hint="eastAsia" w:ascii="黑体" w:hAnsi="黑体" w:eastAsia="黑体"/>
          <w:sz w:val="84"/>
          <w:szCs w:val="84"/>
        </w:rPr>
      </w:pPr>
    </w:p>
    <w:p w14:paraId="2D29F042">
      <w:pPr>
        <w:spacing w:line="840" w:lineRule="exact"/>
        <w:jc w:val="center"/>
        <w:rPr>
          <w:rFonts w:hint="eastAsia" w:ascii="黑体" w:hAnsi="黑体" w:eastAsia="黑体"/>
          <w:sz w:val="84"/>
          <w:szCs w:val="84"/>
        </w:rPr>
      </w:pPr>
    </w:p>
    <w:p w14:paraId="5FB29DF9">
      <w:pPr>
        <w:spacing w:line="840" w:lineRule="exact"/>
        <w:jc w:val="center"/>
        <w:rPr>
          <w:rFonts w:hint="eastAsia" w:ascii="黑体" w:hAnsi="黑体" w:eastAsia="黑体"/>
          <w:sz w:val="84"/>
          <w:szCs w:val="84"/>
        </w:rPr>
      </w:pPr>
    </w:p>
    <w:p w14:paraId="6C471AC0">
      <w:pPr>
        <w:spacing w:line="840" w:lineRule="exact"/>
        <w:jc w:val="center"/>
        <w:rPr>
          <w:rFonts w:hint="eastAsia" w:ascii="黑体" w:hAnsi="黑体" w:eastAsia="黑体"/>
          <w:sz w:val="84"/>
          <w:szCs w:val="84"/>
        </w:rPr>
      </w:pPr>
    </w:p>
    <w:p w14:paraId="34518A74">
      <w:pPr>
        <w:spacing w:line="840" w:lineRule="exact"/>
        <w:jc w:val="center"/>
        <w:rPr>
          <w:rFonts w:hint="eastAsia" w:ascii="黑体" w:hAnsi="黑体" w:eastAsia="黑体"/>
          <w:sz w:val="84"/>
          <w:szCs w:val="84"/>
        </w:rPr>
      </w:pPr>
    </w:p>
    <w:p w14:paraId="762CA02D">
      <w:pPr>
        <w:pStyle w:val="11"/>
        <w:spacing w:line="560" w:lineRule="exact"/>
        <w:jc w:val="both"/>
        <w:rPr>
          <w:rFonts w:hint="eastAsia" w:hAnsi="黑体"/>
          <w:sz w:val="32"/>
          <w:szCs w:val="32"/>
          <w:shd w:val="clear" w:color="auto" w:fill="FFFFFF"/>
        </w:rPr>
      </w:pPr>
    </w:p>
    <w:p w14:paraId="42876204">
      <w:pPr>
        <w:pStyle w:val="11"/>
        <w:keepNext w:val="0"/>
        <w:keepLines w:val="0"/>
        <w:pageBreakBefore w:val="0"/>
        <w:widowControl w:val="0"/>
        <w:kinsoku/>
        <w:wordWrap/>
        <w:overflowPunct/>
        <w:topLinePunct w:val="0"/>
        <w:bidi w:val="0"/>
        <w:snapToGrid/>
        <w:spacing w:line="540" w:lineRule="exact"/>
        <w:ind w:firstLine="640" w:firstLineChars="200"/>
        <w:jc w:val="both"/>
        <w:textAlignment w:val="auto"/>
        <w:rPr>
          <w:rFonts w:ascii="Times New Roman" w:hAnsi="Times New Roman" w:cs="Times New Roman"/>
          <w:sz w:val="32"/>
          <w:szCs w:val="32"/>
        </w:rPr>
      </w:pPr>
      <w:r>
        <w:rPr>
          <w:rFonts w:hint="eastAsia" w:hAnsi="黑体"/>
          <w:sz w:val="32"/>
          <w:szCs w:val="32"/>
          <w:shd w:val="clear" w:color="auto" w:fill="FFFFFF"/>
        </w:rPr>
        <w:t>第一部分</w:t>
      </w:r>
      <w:r>
        <w:rPr>
          <w:rFonts w:hint="eastAsia" w:eastAsiaTheme="minorEastAsia"/>
        </w:rPr>
        <w:t xml:space="preserve"> </w:t>
      </w:r>
      <w:r>
        <w:rPr>
          <w:rFonts w:hint="eastAsia" w:eastAsiaTheme="minorEastAsia"/>
          <w:sz w:val="32"/>
          <w:szCs w:val="32"/>
        </w:rPr>
        <w:t xml:space="preserve"> </w:t>
      </w:r>
      <w:r>
        <w:rPr>
          <w:rFonts w:hint="eastAsia" w:hAnsi="黑体"/>
          <w:sz w:val="32"/>
          <w:szCs w:val="32"/>
          <w:shd w:val="clear" w:color="auto" w:fill="FFFFFF"/>
        </w:rPr>
        <w:t>衡阳市人力资源和社会保障局概况</w:t>
      </w:r>
    </w:p>
    <w:p w14:paraId="71357C7E">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ascii="仿宋_GB2312" w:hAnsi="仿宋_GB2312" w:eastAsia="仿宋_GB2312" w:cs="Times New Roman"/>
          <w:sz w:val="32"/>
          <w:szCs w:val="32"/>
        </w:rPr>
        <w:t>一、</w:t>
      </w:r>
      <w:r>
        <w:rPr>
          <w:rFonts w:hint="eastAsia" w:ascii="仿宋" w:hAnsi="仿宋" w:eastAsia="仿宋" w:cs="仿宋"/>
          <w:sz w:val="32"/>
          <w:szCs w:val="32"/>
        </w:rPr>
        <w:t>部门职责</w:t>
      </w:r>
    </w:p>
    <w:p w14:paraId="15C7B1C0">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二、机构设置</w:t>
      </w:r>
    </w:p>
    <w:p w14:paraId="277BF811">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cs="Times New Roman"/>
          <w:sz w:val="32"/>
          <w:szCs w:val="32"/>
        </w:rPr>
      </w:pPr>
      <w:r>
        <w:rPr>
          <w:rFonts w:hAnsi="黑体" w:cs="Times New Roman"/>
          <w:sz w:val="32"/>
          <w:szCs w:val="32"/>
        </w:rPr>
        <w:t>第二部分</w:t>
      </w:r>
      <w:r>
        <w:rPr>
          <w:rFonts w:hint="eastAsia" w:hAnsi="黑体" w:cs="Times New Roman"/>
          <w:sz w:val="32"/>
          <w:szCs w:val="32"/>
        </w:rPr>
        <w:t xml:space="preserve">  </w:t>
      </w:r>
      <w:r>
        <w:rPr>
          <w:rFonts w:ascii="Times New Roman" w:hAnsi="Times New Roman" w:cs="Times New Roman"/>
          <w:sz w:val="32"/>
          <w:szCs w:val="32"/>
        </w:rPr>
        <w:t>2019</w:t>
      </w:r>
      <w:r>
        <w:rPr>
          <w:rFonts w:hAnsi="黑体" w:cs="Times New Roman"/>
          <w:sz w:val="32"/>
          <w:szCs w:val="32"/>
        </w:rPr>
        <w:t>年度部门决算表</w:t>
      </w:r>
    </w:p>
    <w:p w14:paraId="7859E25D">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ascii="仿宋_GB2312" w:hAnsi="仿宋_GB2312" w:eastAsia="仿宋_GB2312" w:cs="Times New Roman"/>
          <w:sz w:val="32"/>
          <w:szCs w:val="32"/>
        </w:rPr>
        <w:t>一、</w:t>
      </w:r>
      <w:r>
        <w:rPr>
          <w:rFonts w:hint="eastAsia" w:ascii="仿宋" w:hAnsi="仿宋" w:eastAsia="仿宋" w:cs="仿宋"/>
          <w:sz w:val="32"/>
          <w:szCs w:val="32"/>
        </w:rPr>
        <w:t>收入支出决算总表</w:t>
      </w:r>
    </w:p>
    <w:p w14:paraId="357181CE">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ascii="仿宋_GB2312" w:hAnsi="仿宋_GB2312" w:eastAsia="仿宋_GB2312" w:cs="Times New Roman"/>
          <w:sz w:val="32"/>
          <w:szCs w:val="32"/>
        </w:rPr>
        <w:t>二、</w:t>
      </w:r>
      <w:r>
        <w:rPr>
          <w:rFonts w:hint="eastAsia" w:ascii="仿宋" w:hAnsi="仿宋" w:eastAsia="仿宋" w:cs="仿宋"/>
          <w:sz w:val="32"/>
          <w:szCs w:val="32"/>
        </w:rPr>
        <w:t>收入决算表</w:t>
      </w:r>
    </w:p>
    <w:p w14:paraId="54B5E1BB">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14:paraId="0B39A5A2">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14:paraId="20CFE11E">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14:paraId="619E9C60">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14:paraId="289ED847">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14:paraId="4AABD112">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14:paraId="6C205A11">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cs="Times New Roman"/>
          <w:sz w:val="32"/>
          <w:szCs w:val="32"/>
        </w:rPr>
      </w:pPr>
      <w:r>
        <w:rPr>
          <w:rFonts w:hAnsi="黑体" w:cs="Times New Roman"/>
          <w:sz w:val="32"/>
          <w:szCs w:val="32"/>
        </w:rPr>
        <w:t>第三部分</w:t>
      </w:r>
      <w:r>
        <w:rPr>
          <w:rFonts w:hint="eastAsia" w:hAnsi="黑体" w:cs="Times New Roman"/>
          <w:sz w:val="32"/>
          <w:szCs w:val="32"/>
        </w:rPr>
        <w:t xml:space="preserve">  </w:t>
      </w:r>
      <w:r>
        <w:rPr>
          <w:rFonts w:ascii="Times New Roman" w:hAnsi="Times New Roman" w:cs="Times New Roman"/>
          <w:sz w:val="32"/>
          <w:szCs w:val="32"/>
        </w:rPr>
        <w:t>2019</w:t>
      </w:r>
      <w:r>
        <w:rPr>
          <w:rFonts w:hAnsi="黑体" w:cs="Times New Roman"/>
          <w:sz w:val="32"/>
          <w:szCs w:val="32"/>
        </w:rPr>
        <w:t>年度部门决算情况说明</w:t>
      </w:r>
    </w:p>
    <w:p w14:paraId="32F0327D">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ascii="仿宋_GB2312" w:hAnsi="仿宋_GB2312" w:eastAsia="仿宋_GB2312" w:cs="Times New Roman"/>
          <w:sz w:val="32"/>
          <w:szCs w:val="32"/>
        </w:rPr>
        <w:t>一、</w:t>
      </w:r>
      <w:r>
        <w:rPr>
          <w:rFonts w:hint="eastAsia" w:ascii="仿宋" w:hAnsi="仿宋" w:eastAsia="仿宋" w:cs="仿宋"/>
          <w:sz w:val="32"/>
          <w:szCs w:val="32"/>
        </w:rPr>
        <w:t>收入支出决算总体情况说明</w:t>
      </w:r>
    </w:p>
    <w:p w14:paraId="202C2E72">
      <w:pPr>
        <w:keepNext w:val="0"/>
        <w:keepLines w:val="0"/>
        <w:pageBreakBefore w:val="0"/>
        <w:widowControl w:val="0"/>
        <w:kinsoku/>
        <w:wordWrap/>
        <w:overflowPunct/>
        <w:topLinePunct w:val="0"/>
        <w:bidi w:val="0"/>
        <w:snapToGrid/>
        <w:spacing w:line="540" w:lineRule="exact"/>
        <w:ind w:firstLine="640" w:firstLineChars="200"/>
        <w:jc w:val="left"/>
        <w:textAlignment w:val="auto"/>
        <w:rPr>
          <w:rFonts w:hint="eastAsia" w:ascii="仿宋" w:hAnsi="仿宋" w:eastAsia="仿宋" w:cs="仿宋"/>
        </w:rPr>
      </w:pPr>
      <w:r>
        <w:rPr>
          <w:rFonts w:hint="eastAsia" w:ascii="仿宋" w:hAnsi="仿宋" w:eastAsia="仿宋" w:cs="仿宋"/>
        </w:rPr>
        <w:t>二、收入决算情况说明</w:t>
      </w:r>
    </w:p>
    <w:p w14:paraId="2507175F">
      <w:pPr>
        <w:keepNext w:val="0"/>
        <w:keepLines w:val="0"/>
        <w:pageBreakBefore w:val="0"/>
        <w:widowControl w:val="0"/>
        <w:kinsoku/>
        <w:wordWrap/>
        <w:overflowPunct/>
        <w:topLinePunct w:val="0"/>
        <w:autoSpaceDE w:val="0"/>
        <w:autoSpaceDN w:val="0"/>
        <w:bidi w:val="0"/>
        <w:snapToGrid/>
        <w:spacing w:line="540" w:lineRule="exact"/>
        <w:ind w:firstLine="640" w:firstLineChars="200"/>
        <w:jc w:val="left"/>
        <w:textAlignment w:val="auto"/>
        <w:rPr>
          <w:rFonts w:hint="eastAsia" w:ascii="仿宋" w:hAnsi="仿宋" w:eastAsia="仿宋" w:cs="仿宋"/>
          <w:color w:val="000000"/>
          <w:kern w:val="0"/>
        </w:rPr>
      </w:pPr>
      <w:r>
        <w:rPr>
          <w:rFonts w:hint="eastAsia" w:ascii="仿宋" w:hAnsi="仿宋" w:eastAsia="仿宋" w:cs="仿宋"/>
          <w:color w:val="000000"/>
          <w:kern w:val="0"/>
        </w:rPr>
        <w:t>三、支出决算情况说明</w:t>
      </w:r>
    </w:p>
    <w:p w14:paraId="11EB01EB">
      <w:pPr>
        <w:keepNext w:val="0"/>
        <w:keepLines w:val="0"/>
        <w:pageBreakBefore w:val="0"/>
        <w:widowControl w:val="0"/>
        <w:kinsoku/>
        <w:wordWrap/>
        <w:overflowPunct/>
        <w:topLinePunct w:val="0"/>
        <w:autoSpaceDE w:val="0"/>
        <w:autoSpaceDN w:val="0"/>
        <w:bidi w:val="0"/>
        <w:snapToGrid/>
        <w:spacing w:line="540" w:lineRule="exact"/>
        <w:ind w:firstLine="640" w:firstLineChars="200"/>
        <w:jc w:val="left"/>
        <w:textAlignment w:val="auto"/>
        <w:rPr>
          <w:rFonts w:hint="eastAsia" w:ascii="仿宋" w:hAnsi="仿宋" w:eastAsia="仿宋" w:cs="仿宋"/>
          <w:color w:val="000000"/>
          <w:kern w:val="0"/>
        </w:rPr>
      </w:pPr>
      <w:r>
        <w:rPr>
          <w:rFonts w:hint="eastAsia" w:ascii="仿宋" w:hAnsi="仿宋" w:eastAsia="仿宋" w:cs="仿宋"/>
          <w:color w:val="000000"/>
          <w:kern w:val="0"/>
        </w:rPr>
        <w:t>四、财政拨款收入支出决算总体情况说明</w:t>
      </w:r>
    </w:p>
    <w:p w14:paraId="4EB51E9E">
      <w:pPr>
        <w:keepNext w:val="0"/>
        <w:keepLines w:val="0"/>
        <w:pageBreakBefore w:val="0"/>
        <w:widowControl w:val="0"/>
        <w:kinsoku/>
        <w:wordWrap/>
        <w:overflowPunct/>
        <w:topLinePunct w:val="0"/>
        <w:autoSpaceDE w:val="0"/>
        <w:autoSpaceDN w:val="0"/>
        <w:bidi w:val="0"/>
        <w:snapToGrid/>
        <w:spacing w:line="540" w:lineRule="exact"/>
        <w:ind w:firstLine="640" w:firstLineChars="200"/>
        <w:jc w:val="left"/>
        <w:textAlignment w:val="auto"/>
        <w:rPr>
          <w:rFonts w:hint="eastAsia" w:ascii="仿宋" w:hAnsi="仿宋" w:eastAsia="仿宋" w:cs="仿宋"/>
          <w:color w:val="000000"/>
          <w:kern w:val="0"/>
        </w:rPr>
      </w:pPr>
      <w:r>
        <w:rPr>
          <w:rFonts w:hint="eastAsia" w:ascii="仿宋" w:hAnsi="仿宋" w:eastAsia="仿宋" w:cs="仿宋"/>
          <w:color w:val="000000"/>
          <w:kern w:val="0"/>
        </w:rPr>
        <w:t>五、一般公共预算财政拨款支出决算情况说明</w:t>
      </w:r>
    </w:p>
    <w:p w14:paraId="1FA1B3BE">
      <w:pPr>
        <w:keepNext w:val="0"/>
        <w:keepLines w:val="0"/>
        <w:pageBreakBefore w:val="0"/>
        <w:widowControl w:val="0"/>
        <w:kinsoku/>
        <w:wordWrap/>
        <w:overflowPunct/>
        <w:topLinePunct w:val="0"/>
        <w:autoSpaceDE w:val="0"/>
        <w:autoSpaceDN w:val="0"/>
        <w:bidi w:val="0"/>
        <w:snapToGrid/>
        <w:spacing w:line="540" w:lineRule="exact"/>
        <w:ind w:firstLine="640" w:firstLineChars="200"/>
        <w:jc w:val="left"/>
        <w:textAlignment w:val="auto"/>
        <w:rPr>
          <w:rFonts w:hint="eastAsia" w:ascii="仿宋" w:hAnsi="仿宋" w:eastAsia="仿宋" w:cs="仿宋"/>
          <w:color w:val="000000"/>
          <w:kern w:val="0"/>
        </w:rPr>
      </w:pPr>
      <w:r>
        <w:rPr>
          <w:rFonts w:hint="eastAsia" w:ascii="仿宋" w:hAnsi="仿宋" w:eastAsia="仿宋" w:cs="仿宋"/>
          <w:color w:val="000000"/>
          <w:kern w:val="0"/>
        </w:rPr>
        <w:t>六、一般公共预算财政拨款基本支出决算情况说明</w:t>
      </w:r>
    </w:p>
    <w:p w14:paraId="50E82ACE">
      <w:pPr>
        <w:keepNext w:val="0"/>
        <w:keepLines w:val="0"/>
        <w:pageBreakBefore w:val="0"/>
        <w:widowControl w:val="0"/>
        <w:kinsoku/>
        <w:wordWrap/>
        <w:overflowPunct/>
        <w:topLinePunct w:val="0"/>
        <w:autoSpaceDE w:val="0"/>
        <w:autoSpaceDN w:val="0"/>
        <w:bidi w:val="0"/>
        <w:snapToGrid/>
        <w:spacing w:line="540" w:lineRule="exact"/>
        <w:ind w:firstLine="640" w:firstLineChars="200"/>
        <w:jc w:val="left"/>
        <w:textAlignment w:val="auto"/>
        <w:rPr>
          <w:rFonts w:hint="eastAsia" w:ascii="仿宋" w:hAnsi="仿宋" w:eastAsia="仿宋" w:cs="仿宋"/>
          <w:color w:val="000000"/>
          <w:kern w:val="0"/>
        </w:rPr>
      </w:pPr>
      <w:r>
        <w:rPr>
          <w:rFonts w:hint="eastAsia" w:ascii="仿宋" w:hAnsi="仿宋" w:eastAsia="仿宋" w:cs="仿宋"/>
          <w:color w:val="000000"/>
          <w:kern w:val="0"/>
        </w:rPr>
        <w:t>七、一</w:t>
      </w:r>
      <w:r>
        <w:rPr>
          <w:rFonts w:hint="eastAsia" w:ascii="仿宋" w:hAnsi="仿宋" w:eastAsia="仿宋" w:cs="仿宋"/>
          <w:color w:val="000000"/>
          <w:spacing w:val="-11"/>
          <w:kern w:val="0"/>
        </w:rPr>
        <w:t>般公共预算财政拨款三公经费支出决算情况说</w:t>
      </w:r>
      <w:r>
        <w:rPr>
          <w:rFonts w:hint="eastAsia" w:ascii="仿宋" w:hAnsi="仿宋" w:eastAsia="仿宋" w:cs="仿宋"/>
          <w:color w:val="000000"/>
          <w:kern w:val="0"/>
        </w:rPr>
        <w:t>明</w:t>
      </w:r>
    </w:p>
    <w:p w14:paraId="2F9F16ED">
      <w:pPr>
        <w:keepNext w:val="0"/>
        <w:keepLines w:val="0"/>
        <w:pageBreakBefore w:val="0"/>
        <w:widowControl w:val="0"/>
        <w:kinsoku/>
        <w:wordWrap/>
        <w:overflowPunct/>
        <w:topLinePunct w:val="0"/>
        <w:autoSpaceDE w:val="0"/>
        <w:autoSpaceDN w:val="0"/>
        <w:bidi w:val="0"/>
        <w:snapToGrid/>
        <w:spacing w:line="540" w:lineRule="exact"/>
        <w:ind w:firstLine="640" w:firstLineChars="200"/>
        <w:jc w:val="left"/>
        <w:textAlignment w:val="auto"/>
        <w:rPr>
          <w:rFonts w:hint="eastAsia" w:ascii="仿宋" w:hAnsi="仿宋" w:eastAsia="仿宋" w:cs="仿宋"/>
          <w:color w:val="000000"/>
          <w:kern w:val="0"/>
        </w:rPr>
      </w:pPr>
      <w:r>
        <w:rPr>
          <w:rFonts w:hint="eastAsia" w:ascii="仿宋" w:hAnsi="仿宋" w:eastAsia="仿宋" w:cs="仿宋"/>
          <w:color w:val="000000"/>
          <w:kern w:val="0"/>
        </w:rPr>
        <w:t>八、政府性基金预算收入支出决算情况</w:t>
      </w:r>
    </w:p>
    <w:p w14:paraId="603BD678">
      <w:pPr>
        <w:keepNext w:val="0"/>
        <w:keepLines w:val="0"/>
        <w:pageBreakBefore w:val="0"/>
        <w:widowControl w:val="0"/>
        <w:kinsoku/>
        <w:wordWrap/>
        <w:overflowPunct/>
        <w:topLinePunct w:val="0"/>
        <w:autoSpaceDE w:val="0"/>
        <w:autoSpaceDN w:val="0"/>
        <w:bidi w:val="0"/>
        <w:snapToGrid/>
        <w:spacing w:line="540" w:lineRule="exact"/>
        <w:ind w:firstLine="640" w:firstLineChars="200"/>
        <w:jc w:val="left"/>
        <w:textAlignment w:val="auto"/>
        <w:rPr>
          <w:rFonts w:hint="eastAsia" w:ascii="仿宋" w:hAnsi="仿宋" w:eastAsia="仿宋" w:cs="仿宋"/>
          <w:color w:val="000000"/>
          <w:kern w:val="0"/>
        </w:rPr>
      </w:pPr>
      <w:r>
        <w:rPr>
          <w:rFonts w:hint="eastAsia" w:ascii="仿宋" w:hAnsi="仿宋" w:eastAsia="仿宋" w:cs="仿宋"/>
          <w:color w:val="000000"/>
          <w:kern w:val="0"/>
        </w:rPr>
        <w:t>九、预算绩效情况说明</w:t>
      </w:r>
    </w:p>
    <w:p w14:paraId="3893AA28">
      <w:pPr>
        <w:keepNext w:val="0"/>
        <w:keepLines w:val="0"/>
        <w:pageBreakBefore w:val="0"/>
        <w:widowControl w:val="0"/>
        <w:kinsoku/>
        <w:wordWrap/>
        <w:overflowPunct/>
        <w:topLinePunct w:val="0"/>
        <w:autoSpaceDE w:val="0"/>
        <w:autoSpaceDN w:val="0"/>
        <w:bidi w:val="0"/>
        <w:snapToGrid/>
        <w:spacing w:line="540" w:lineRule="exact"/>
        <w:ind w:firstLine="640" w:firstLineChars="200"/>
        <w:jc w:val="left"/>
        <w:textAlignment w:val="auto"/>
        <w:rPr>
          <w:rFonts w:hint="eastAsia" w:ascii="仿宋" w:hAnsi="仿宋" w:eastAsia="仿宋" w:cs="仿宋"/>
          <w:color w:val="000000"/>
          <w:kern w:val="0"/>
        </w:rPr>
      </w:pPr>
      <w:r>
        <w:rPr>
          <w:rFonts w:hint="eastAsia" w:ascii="仿宋" w:hAnsi="仿宋" w:eastAsia="仿宋" w:cs="仿宋"/>
          <w:color w:val="000000"/>
          <w:kern w:val="0"/>
        </w:rPr>
        <w:t>十、其他重要事项情况说明</w:t>
      </w:r>
    </w:p>
    <w:p w14:paraId="3C21E90C">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cs="Times New Roman"/>
          <w:sz w:val="32"/>
          <w:szCs w:val="32"/>
        </w:rPr>
      </w:pPr>
      <w:r>
        <w:rPr>
          <w:rFonts w:hAnsi="黑体" w:cs="Times New Roman"/>
          <w:sz w:val="32"/>
          <w:szCs w:val="32"/>
        </w:rPr>
        <w:t>第四部分名词解释</w:t>
      </w:r>
    </w:p>
    <w:p w14:paraId="367775B2">
      <w:pPr>
        <w:pStyle w:val="11"/>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cs="Times New Roman"/>
          <w:sz w:val="32"/>
          <w:szCs w:val="32"/>
        </w:rPr>
      </w:pPr>
      <w:r>
        <w:rPr>
          <w:rFonts w:hAnsi="黑体" w:cs="Times New Roman"/>
          <w:sz w:val="32"/>
          <w:szCs w:val="32"/>
        </w:rPr>
        <w:t>第五部分附件</w:t>
      </w:r>
    </w:p>
    <w:p w14:paraId="1D419DC9">
      <w:pPr>
        <w:spacing w:line="560" w:lineRule="exact"/>
        <w:rPr>
          <w:sz w:val="72"/>
          <w:szCs w:val="72"/>
        </w:rPr>
      </w:pPr>
    </w:p>
    <w:p w14:paraId="079A38FF">
      <w:pPr>
        <w:spacing w:line="560" w:lineRule="exact"/>
        <w:rPr>
          <w:sz w:val="72"/>
          <w:szCs w:val="72"/>
        </w:rPr>
      </w:pPr>
    </w:p>
    <w:p w14:paraId="0F4AD650">
      <w:pPr>
        <w:spacing w:line="560" w:lineRule="exact"/>
        <w:rPr>
          <w:sz w:val="72"/>
          <w:szCs w:val="72"/>
        </w:rPr>
      </w:pPr>
    </w:p>
    <w:p w14:paraId="557B3287">
      <w:pPr>
        <w:spacing w:line="560" w:lineRule="exact"/>
        <w:rPr>
          <w:sz w:val="72"/>
          <w:szCs w:val="72"/>
        </w:rPr>
      </w:pPr>
      <w:r>
        <w:rPr>
          <w:sz w:val="72"/>
          <w:szCs w:val="72"/>
        </w:rPr>
        <w:t xml:space="preserve"> </w:t>
      </w:r>
    </w:p>
    <w:p w14:paraId="4073D3AF">
      <w:pPr>
        <w:spacing w:line="560" w:lineRule="exact"/>
        <w:rPr>
          <w:sz w:val="72"/>
          <w:szCs w:val="72"/>
        </w:rPr>
      </w:pPr>
      <w:r>
        <w:rPr>
          <w:sz w:val="72"/>
          <w:szCs w:val="72"/>
        </w:rPr>
        <w:t xml:space="preserve"> </w:t>
      </w:r>
    </w:p>
    <w:p w14:paraId="41026127">
      <w:pPr>
        <w:spacing w:line="800" w:lineRule="exact"/>
        <w:jc w:val="center"/>
        <w:rPr>
          <w:rFonts w:hint="eastAsia" w:ascii="华文中宋" w:hAnsi="华文中宋" w:eastAsia="华文中宋" w:cs="华文中宋"/>
          <w:b/>
          <w:bCs/>
          <w:sz w:val="72"/>
          <w:szCs w:val="72"/>
        </w:rPr>
      </w:pPr>
      <w:r>
        <w:rPr>
          <w:rFonts w:hint="eastAsia" w:ascii="华文中宋" w:hAnsi="华文中宋" w:eastAsia="华文中宋" w:cs="华文中宋"/>
          <w:b/>
          <w:bCs/>
          <w:sz w:val="72"/>
          <w:szCs w:val="72"/>
        </w:rPr>
        <w:t>第</w:t>
      </w:r>
      <w:r>
        <w:rPr>
          <w:rFonts w:hint="eastAsia" w:ascii="华文中宋" w:hAnsi="华文中宋" w:eastAsia="华文中宋" w:cs="华文中宋"/>
          <w:b/>
          <w:bCs/>
          <w:sz w:val="72"/>
          <w:szCs w:val="72"/>
          <w:lang w:val="en-US" w:eastAsia="zh-CN"/>
        </w:rPr>
        <w:t>一</w:t>
      </w:r>
      <w:r>
        <w:rPr>
          <w:rFonts w:hint="eastAsia" w:ascii="华文中宋" w:hAnsi="华文中宋" w:eastAsia="华文中宋" w:cs="华文中宋"/>
          <w:b/>
          <w:bCs/>
          <w:sz w:val="72"/>
          <w:szCs w:val="72"/>
        </w:rPr>
        <w:t>部分</w:t>
      </w:r>
    </w:p>
    <w:p w14:paraId="6980C6A4">
      <w:pPr>
        <w:spacing w:line="800" w:lineRule="exact"/>
        <w:jc w:val="center"/>
        <w:rPr>
          <w:rFonts w:hint="eastAsia" w:ascii="华文中宋" w:hAnsi="华文中宋" w:eastAsia="华文中宋" w:cs="华文中宋"/>
          <w:b/>
          <w:bCs/>
          <w:sz w:val="72"/>
          <w:szCs w:val="72"/>
        </w:rPr>
      </w:pPr>
    </w:p>
    <w:p w14:paraId="4F2E7193">
      <w:pPr>
        <w:spacing w:line="800" w:lineRule="exact"/>
        <w:jc w:val="center"/>
        <w:rPr>
          <w:rFonts w:hint="eastAsia" w:ascii="华文中宋" w:hAnsi="华文中宋" w:eastAsia="华文中宋" w:cs="华文中宋"/>
          <w:b/>
          <w:bCs/>
          <w:sz w:val="72"/>
          <w:szCs w:val="72"/>
        </w:rPr>
      </w:pPr>
      <w:r>
        <w:rPr>
          <w:rFonts w:hint="eastAsia" w:ascii="华文中宋" w:hAnsi="华文中宋" w:eastAsia="华文中宋" w:cs="华文中宋"/>
          <w:b/>
          <w:bCs/>
          <w:sz w:val="72"/>
          <w:szCs w:val="72"/>
        </w:rPr>
        <w:t xml:space="preserve"> </w:t>
      </w:r>
    </w:p>
    <w:p w14:paraId="150A4232">
      <w:pPr>
        <w:spacing w:line="800" w:lineRule="exact"/>
        <w:jc w:val="center"/>
        <w:rPr>
          <w:rFonts w:hint="eastAsia" w:ascii="黑体" w:hAnsi="黑体" w:eastAsia="黑体"/>
          <w:sz w:val="52"/>
          <w:szCs w:val="52"/>
        </w:rPr>
      </w:pPr>
      <w:r>
        <w:rPr>
          <w:rFonts w:hint="eastAsia" w:ascii="华文中宋" w:hAnsi="华文中宋" w:eastAsia="华文中宋" w:cs="华文中宋"/>
          <w:b/>
          <w:bCs/>
          <w:sz w:val="52"/>
          <w:szCs w:val="52"/>
        </w:rPr>
        <w:t>衡阳市人力资源和社会保障局概况</w:t>
      </w:r>
    </w:p>
    <w:p w14:paraId="0C11AA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14:paraId="2FFD8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14:paraId="3FB9F9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14:paraId="4493CF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14:paraId="54A4A5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14:paraId="0AAF47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14:paraId="136478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14:paraId="1B426F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14:paraId="5617DF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14:paraId="1AA48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hAnsi="黑体" w:eastAsia="黑体"/>
          <w:sz w:val="32"/>
          <w:szCs w:val="32"/>
        </w:rPr>
        <w:t>一、部门职责</w:t>
      </w:r>
    </w:p>
    <w:p w14:paraId="3B5235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衡阳</w:t>
      </w:r>
      <w:r>
        <w:rPr>
          <w:rFonts w:ascii="仿宋" w:hAnsi="仿宋" w:eastAsia="仿宋"/>
          <w:sz w:val="32"/>
          <w:szCs w:val="32"/>
        </w:rPr>
        <w:t>市人力资源</w:t>
      </w:r>
      <w:r>
        <w:rPr>
          <w:rFonts w:hint="eastAsia" w:ascii="仿宋" w:hAnsi="仿宋" w:eastAsia="仿宋"/>
          <w:sz w:val="32"/>
          <w:szCs w:val="32"/>
          <w:lang w:val="en-US" w:eastAsia="zh-CN"/>
        </w:rPr>
        <w:t>和</w:t>
      </w:r>
      <w:r>
        <w:rPr>
          <w:rFonts w:ascii="仿宋" w:hAnsi="仿宋" w:eastAsia="仿宋"/>
          <w:sz w:val="32"/>
          <w:szCs w:val="32"/>
        </w:rPr>
        <w:t>社会保障局贯彻落实党中央关于人力资源和社会保障工作的方针政策和决策部署，全面落实省委、市委关于人力资源和社会保障工作的部署要求，在履行职责过程中坚持和加强党对人力资源和社会保障工作的集中统一领导。主要职责是</w:t>
      </w:r>
      <w:r>
        <w:rPr>
          <w:rFonts w:hint="eastAsia" w:ascii="仿宋" w:hAnsi="仿宋" w:eastAsia="仿宋" w:cs="宋体"/>
          <w:sz w:val="32"/>
          <w:szCs w:val="32"/>
        </w:rPr>
        <w:t>：</w:t>
      </w:r>
    </w:p>
    <w:p w14:paraId="6712085F">
      <w:pPr>
        <w:spacing w:line="560" w:lineRule="exact"/>
        <w:ind w:firstLine="640" w:firstLineChars="200"/>
        <w:rPr>
          <w:rFonts w:ascii="仿宋" w:hAnsi="仿宋" w:eastAsia="仿宋"/>
          <w:sz w:val="32"/>
          <w:szCs w:val="32"/>
        </w:rPr>
      </w:pPr>
      <w:r>
        <w:rPr>
          <w:rFonts w:ascii="仿宋" w:hAnsi="仿宋" w:eastAsia="仿宋"/>
          <w:sz w:val="32"/>
          <w:szCs w:val="32"/>
        </w:rPr>
        <w:t>（一）组织实施党和国家关于人力资源和社会保障发展方面的政策法规和发展规划，并监督检查执行情况</w:t>
      </w:r>
      <w:r>
        <w:rPr>
          <w:rFonts w:hint="eastAsia" w:ascii="仿宋" w:hAnsi="仿宋" w:eastAsia="仿宋" w:cs="宋体"/>
          <w:sz w:val="32"/>
          <w:szCs w:val="32"/>
        </w:rPr>
        <w:t>。</w:t>
      </w:r>
    </w:p>
    <w:p w14:paraId="4BFC76C9">
      <w:pPr>
        <w:spacing w:line="560" w:lineRule="exact"/>
        <w:ind w:firstLine="640" w:firstLineChars="200"/>
        <w:rPr>
          <w:rFonts w:ascii="仿宋" w:hAnsi="仿宋" w:eastAsia="仿宋"/>
          <w:sz w:val="32"/>
          <w:szCs w:val="32"/>
        </w:rPr>
      </w:pPr>
      <w:r>
        <w:rPr>
          <w:rFonts w:ascii="仿宋" w:hAnsi="仿宋" w:eastAsia="仿宋"/>
          <w:sz w:val="32"/>
          <w:szCs w:val="32"/>
        </w:rPr>
        <w:t>（二）负责拟订并组织实施全市人力资源市场发展规划，建立全市统一规范的人力资源市场，促进人力资源合理流动、有效配置。负责拟订并组织实施事业单位有关人员调配政策和特殊人员（不含涉军人员）安置政策</w:t>
      </w:r>
      <w:r>
        <w:rPr>
          <w:rFonts w:hint="eastAsia" w:ascii="仿宋" w:hAnsi="仿宋" w:eastAsia="仿宋" w:cs="宋体"/>
          <w:sz w:val="32"/>
          <w:szCs w:val="32"/>
        </w:rPr>
        <w:t>。</w:t>
      </w:r>
    </w:p>
    <w:p w14:paraId="2CCF13BD">
      <w:pPr>
        <w:spacing w:line="560" w:lineRule="exact"/>
        <w:ind w:firstLine="640" w:firstLineChars="200"/>
        <w:rPr>
          <w:rFonts w:ascii="仿宋" w:hAnsi="仿宋" w:eastAsia="仿宋"/>
          <w:sz w:val="32"/>
          <w:szCs w:val="32"/>
        </w:rPr>
      </w:pPr>
      <w:r>
        <w:rPr>
          <w:rFonts w:ascii="仿宋" w:hAnsi="仿宋" w:eastAsia="仿宋"/>
          <w:sz w:val="32"/>
          <w:szCs w:val="32"/>
        </w:rPr>
        <w:t>（三）负责促进就业工作，负责拟订统筹城乡的就业发展规划并组织实施，完善公共就业创业服务体系。牵头拟订和组织落实就业援助制度、执行职业资格证书制度和相关政策，统筹建立面向城乡劳动者的职业培训制度。牵头拟订有关高校毕业生就业规划，会同有关部门做好高校毕业生的就业指导工作。会同有关部门拟订并落实高技能人才培养和激励制度</w:t>
      </w:r>
      <w:r>
        <w:rPr>
          <w:rFonts w:hint="eastAsia" w:ascii="仿宋" w:hAnsi="仿宋" w:eastAsia="仿宋" w:cs="宋体"/>
          <w:sz w:val="32"/>
          <w:szCs w:val="32"/>
        </w:rPr>
        <w:t>。</w:t>
      </w:r>
    </w:p>
    <w:p w14:paraId="00F52217">
      <w:pPr>
        <w:spacing w:line="560" w:lineRule="exact"/>
        <w:ind w:firstLine="640" w:firstLineChars="200"/>
        <w:rPr>
          <w:rFonts w:ascii="仿宋" w:hAnsi="仿宋" w:eastAsia="仿宋"/>
          <w:sz w:val="32"/>
          <w:szCs w:val="32"/>
        </w:rPr>
      </w:pPr>
      <w:r>
        <w:rPr>
          <w:rFonts w:ascii="仿宋" w:hAnsi="仿宋" w:eastAsia="仿宋"/>
          <w:sz w:val="32"/>
          <w:szCs w:val="32"/>
        </w:rPr>
        <w:t>（四）统筹推进建立覆盖全市城乡的多层次社会保障体系。负责拟订并组织实施养老、工伤、失业保险的发展规划、标准。执行全省统一的养老、失业、工伤保险关系转续办法。会同有关部门拟订社会保险及其补充保险基金管理和监督办法并组织实施，编制全市相关社会保险基金预决算草案。负责拟订全民参保计划并建立全市统一的社会保险公共服务平台</w:t>
      </w:r>
      <w:r>
        <w:rPr>
          <w:rFonts w:hint="eastAsia" w:ascii="仿宋" w:hAnsi="仿宋" w:eastAsia="仿宋" w:cs="宋体"/>
          <w:sz w:val="32"/>
          <w:szCs w:val="32"/>
        </w:rPr>
        <w:t>。</w:t>
      </w:r>
    </w:p>
    <w:p w14:paraId="4CC67FF5">
      <w:pPr>
        <w:spacing w:line="560" w:lineRule="exact"/>
        <w:ind w:firstLine="640" w:firstLineChars="200"/>
        <w:rPr>
          <w:rFonts w:ascii="仿宋" w:hAnsi="仿宋" w:eastAsia="仿宋"/>
          <w:sz w:val="32"/>
          <w:szCs w:val="32"/>
        </w:rPr>
      </w:pPr>
      <w:r>
        <w:rPr>
          <w:rFonts w:ascii="仿宋" w:hAnsi="仿宋" w:eastAsia="仿宋"/>
          <w:sz w:val="32"/>
          <w:szCs w:val="32"/>
        </w:rPr>
        <w:t>（五）负责全市就业、失业和相关社会保险基金预测预警和信息引导，组织拟订应对预案，实施预防、调节和控制，保持就业形势稳定和社会保险基金总体收支平衡</w:t>
      </w:r>
      <w:r>
        <w:rPr>
          <w:rFonts w:hint="eastAsia" w:ascii="仿宋" w:hAnsi="仿宋" w:eastAsia="仿宋" w:cs="宋体"/>
          <w:sz w:val="32"/>
          <w:szCs w:val="32"/>
        </w:rPr>
        <w:t>。</w:t>
      </w:r>
    </w:p>
    <w:p w14:paraId="7361FEA8">
      <w:pPr>
        <w:spacing w:line="560" w:lineRule="exact"/>
        <w:ind w:firstLine="640" w:firstLineChars="200"/>
        <w:rPr>
          <w:rFonts w:ascii="仿宋" w:hAnsi="仿宋" w:eastAsia="仿宋"/>
          <w:sz w:val="32"/>
          <w:szCs w:val="32"/>
        </w:rPr>
      </w:pPr>
      <w:r>
        <w:rPr>
          <w:rFonts w:ascii="仿宋" w:hAnsi="仿宋" w:eastAsia="仿宋"/>
          <w:sz w:val="32"/>
          <w:szCs w:val="32"/>
        </w:rPr>
        <w:t>（六）统筹实施劳动、人事争议调解仲裁工作规划。负责落实劳动关系政策，完善劳动关系协商协调机制，监督实施职工工作时间、休息休假和假期制度，监督落实消除非法使用童工政策和女工、未成年工特殊劳动保护政策。组织实施劳动监察，协调劳动者维权工作，依法查处重大案件</w:t>
      </w:r>
      <w:r>
        <w:rPr>
          <w:rFonts w:hint="eastAsia" w:ascii="仿宋" w:hAnsi="仿宋" w:eastAsia="仿宋" w:cs="宋体"/>
          <w:sz w:val="32"/>
          <w:szCs w:val="32"/>
        </w:rPr>
        <w:t>。</w:t>
      </w:r>
    </w:p>
    <w:p w14:paraId="03F7F81F">
      <w:pPr>
        <w:spacing w:line="560" w:lineRule="exact"/>
        <w:ind w:firstLine="640" w:firstLineChars="200"/>
        <w:rPr>
          <w:rFonts w:ascii="仿宋" w:hAnsi="仿宋" w:eastAsia="仿宋"/>
          <w:sz w:val="32"/>
          <w:szCs w:val="32"/>
        </w:rPr>
      </w:pPr>
      <w:r>
        <w:rPr>
          <w:rFonts w:ascii="仿宋" w:hAnsi="仿宋" w:eastAsia="仿宋"/>
          <w:sz w:val="32"/>
          <w:szCs w:val="32"/>
        </w:rPr>
        <w:t>（七）落实推进深化职称制度改革，归口管理专业技术人员的职称工作。负责拟订并组织实施专业技术人员和机关事业单位工勤人员管理、继续教育和博士后管理等政策。负责高层次专业技术人才选拔和培养工作，参与高层次专业技术人才引进和管理工作。拟订并组织实施技能人才培养、评价、使用和激励制度。完善并落实职业资格制度，健全职业技能多元化评价政策</w:t>
      </w:r>
      <w:r>
        <w:rPr>
          <w:rFonts w:hint="eastAsia" w:ascii="仿宋" w:hAnsi="仿宋" w:eastAsia="仿宋" w:cs="宋体"/>
          <w:sz w:val="32"/>
          <w:szCs w:val="32"/>
        </w:rPr>
        <w:t>。</w:t>
      </w:r>
    </w:p>
    <w:p w14:paraId="51C93664">
      <w:pPr>
        <w:spacing w:line="560" w:lineRule="exact"/>
        <w:ind w:firstLine="640" w:firstLineChars="200"/>
        <w:rPr>
          <w:rFonts w:ascii="仿宋" w:hAnsi="仿宋" w:eastAsia="仿宋"/>
          <w:sz w:val="32"/>
          <w:szCs w:val="32"/>
        </w:rPr>
      </w:pPr>
      <w:r>
        <w:rPr>
          <w:rFonts w:ascii="仿宋" w:hAnsi="仿宋" w:eastAsia="仿宋"/>
          <w:sz w:val="32"/>
          <w:szCs w:val="32"/>
        </w:rPr>
        <w:t>（八）会同有关部门指导事业单位人事制度改革，按照管理权限负责规范事业单位岗位设置、公开招聘、聘用合同等人事综合管理工作。负责拟订事业单位人员和机关工勤人员管理政策</w:t>
      </w:r>
      <w:r>
        <w:rPr>
          <w:rFonts w:hint="eastAsia" w:ascii="仿宋" w:hAnsi="仿宋" w:eastAsia="仿宋" w:cs="宋体"/>
          <w:sz w:val="32"/>
          <w:szCs w:val="32"/>
        </w:rPr>
        <w:t>。</w:t>
      </w:r>
    </w:p>
    <w:p w14:paraId="74D4EEAC">
      <w:pPr>
        <w:spacing w:line="560" w:lineRule="exact"/>
        <w:ind w:firstLine="640" w:firstLineChars="200"/>
        <w:rPr>
          <w:rFonts w:ascii="仿宋" w:hAnsi="仿宋" w:eastAsia="仿宋"/>
          <w:sz w:val="32"/>
          <w:szCs w:val="32"/>
        </w:rPr>
      </w:pPr>
      <w:r>
        <w:rPr>
          <w:rFonts w:ascii="仿宋" w:hAnsi="仿宋" w:eastAsia="仿宋"/>
          <w:sz w:val="32"/>
          <w:szCs w:val="32"/>
        </w:rPr>
        <w:t>（九）会同有关部门拟订事业单位人员工资收入分配办法并组织实施，落实企事业单位人员工资标准、正常增长和支付保障机制。负责拟订全市国有企业经营者收入分配政策。会同相关部门审核事业单位、工勤人员的工资、奖金、津补贴标准和离退休费。负责拟订企事业单位人员福利和离退休政策并组织实施</w:t>
      </w:r>
      <w:r>
        <w:rPr>
          <w:rFonts w:hint="eastAsia" w:ascii="仿宋" w:hAnsi="仿宋" w:eastAsia="仿宋" w:cs="宋体"/>
          <w:sz w:val="32"/>
          <w:szCs w:val="32"/>
        </w:rPr>
        <w:t>。</w:t>
      </w:r>
    </w:p>
    <w:p w14:paraId="70E97E2A">
      <w:pPr>
        <w:spacing w:line="560" w:lineRule="exact"/>
        <w:ind w:firstLine="640" w:firstLineChars="200"/>
        <w:rPr>
          <w:rFonts w:ascii="仿宋" w:hAnsi="仿宋" w:eastAsia="仿宋"/>
          <w:sz w:val="32"/>
          <w:szCs w:val="32"/>
        </w:rPr>
      </w:pPr>
      <w:r>
        <w:rPr>
          <w:rFonts w:ascii="仿宋" w:hAnsi="仿宋" w:eastAsia="仿宋"/>
          <w:sz w:val="32"/>
          <w:szCs w:val="32"/>
        </w:rPr>
        <w:t>（十）会同有关部门拟订农民工工作的综合性政策和规划，推动相关政策落实，协调解决重点难点问题，维护农民工合法权益</w:t>
      </w:r>
      <w:r>
        <w:rPr>
          <w:rFonts w:hint="eastAsia" w:ascii="仿宋" w:hAnsi="仿宋" w:eastAsia="仿宋" w:cs="宋体"/>
          <w:sz w:val="32"/>
          <w:szCs w:val="32"/>
        </w:rPr>
        <w:t>。</w:t>
      </w:r>
    </w:p>
    <w:p w14:paraId="40A23B84">
      <w:pPr>
        <w:spacing w:line="560" w:lineRule="exact"/>
        <w:ind w:firstLine="640" w:firstLineChars="200"/>
        <w:rPr>
          <w:rFonts w:ascii="仿宋" w:hAnsi="仿宋" w:eastAsia="仿宋"/>
          <w:sz w:val="32"/>
          <w:szCs w:val="32"/>
        </w:rPr>
      </w:pPr>
      <w:r>
        <w:rPr>
          <w:rFonts w:ascii="仿宋" w:hAnsi="仿宋" w:eastAsia="仿宋"/>
          <w:sz w:val="32"/>
          <w:szCs w:val="32"/>
        </w:rPr>
        <w:t>（十一）会同有关部门组织实施国家、省级表彰奖励制度。会同有关部门拟订市级表彰奖励制度，根据授权承办市级及以上表彰奖励活动。承担全市评比达标表彰工作</w:t>
      </w:r>
      <w:r>
        <w:rPr>
          <w:rFonts w:hint="eastAsia" w:ascii="仿宋" w:hAnsi="仿宋" w:eastAsia="仿宋" w:cs="宋体"/>
          <w:sz w:val="32"/>
          <w:szCs w:val="32"/>
        </w:rPr>
        <w:t>。</w:t>
      </w:r>
    </w:p>
    <w:p w14:paraId="59996330">
      <w:pPr>
        <w:spacing w:line="560" w:lineRule="exact"/>
        <w:ind w:firstLine="640" w:firstLineChars="200"/>
        <w:rPr>
          <w:rFonts w:ascii="仿宋" w:hAnsi="仿宋" w:eastAsia="仿宋"/>
          <w:sz w:val="32"/>
          <w:szCs w:val="32"/>
        </w:rPr>
      </w:pPr>
      <w:r>
        <w:rPr>
          <w:rFonts w:ascii="仿宋" w:hAnsi="仿宋" w:eastAsia="仿宋"/>
          <w:sz w:val="32"/>
          <w:szCs w:val="32"/>
        </w:rPr>
        <w:t>（十二）负责本行业、领域的应急管理工作，对本行业、领域的安全生产工作实施监督管理</w:t>
      </w:r>
      <w:r>
        <w:rPr>
          <w:rFonts w:hint="eastAsia" w:ascii="仿宋" w:hAnsi="仿宋" w:eastAsia="仿宋" w:cs="宋体"/>
          <w:sz w:val="32"/>
          <w:szCs w:val="32"/>
        </w:rPr>
        <w:t>。</w:t>
      </w:r>
    </w:p>
    <w:p w14:paraId="12A31ABC">
      <w:pPr>
        <w:spacing w:line="560" w:lineRule="exact"/>
        <w:ind w:firstLine="640" w:firstLineChars="200"/>
        <w:rPr>
          <w:rFonts w:ascii="仿宋" w:hAnsi="仿宋" w:eastAsia="仿宋"/>
          <w:sz w:val="32"/>
          <w:szCs w:val="32"/>
        </w:rPr>
      </w:pPr>
      <w:r>
        <w:rPr>
          <w:rFonts w:ascii="仿宋" w:hAnsi="仿宋" w:eastAsia="仿宋"/>
          <w:sz w:val="32"/>
          <w:szCs w:val="32"/>
        </w:rPr>
        <w:t>（十三）完成市委、市人民政府交办的其他任务</w:t>
      </w:r>
      <w:r>
        <w:rPr>
          <w:rFonts w:hint="eastAsia" w:ascii="仿宋" w:hAnsi="仿宋" w:eastAsia="仿宋" w:cs="宋体"/>
          <w:sz w:val="32"/>
          <w:szCs w:val="32"/>
        </w:rPr>
        <w:t>。</w:t>
      </w:r>
    </w:p>
    <w:p w14:paraId="570C3BDA">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二、机构设置及决算单位构成</w:t>
      </w:r>
    </w:p>
    <w:p w14:paraId="3FC2CDFB">
      <w:pPr>
        <w:widowControl/>
        <w:spacing w:line="560" w:lineRule="exact"/>
        <w:ind w:firstLine="640" w:firstLineChars="200"/>
        <w:rPr>
          <w:rFonts w:hint="eastAsia" w:ascii="仿宋" w:hAnsi="仿宋" w:eastAsia="仿宋"/>
          <w:sz w:val="32"/>
          <w:szCs w:val="32"/>
          <w:lang w:val="en-US" w:eastAsia="zh-CN"/>
        </w:rPr>
      </w:pPr>
      <w:r>
        <w:rPr>
          <w:rFonts w:ascii="仿宋" w:hAnsi="仿宋" w:eastAsia="仿宋"/>
          <w:sz w:val="32"/>
          <w:szCs w:val="32"/>
        </w:rPr>
        <w:t>（一）内设机构设置。</w:t>
      </w:r>
      <w:r>
        <w:rPr>
          <w:rFonts w:hint="eastAsia" w:ascii="仿宋" w:hAnsi="仿宋" w:eastAsia="仿宋"/>
          <w:sz w:val="32"/>
          <w:szCs w:val="32"/>
        </w:rPr>
        <w:t>根据编委核定</w:t>
      </w:r>
      <w:r>
        <w:rPr>
          <w:rFonts w:ascii="仿宋" w:hAnsi="仿宋" w:eastAsia="仿宋"/>
          <w:sz w:val="32"/>
          <w:szCs w:val="32"/>
        </w:rPr>
        <w:t>衡阳市人力资源和社会保障局内设1</w:t>
      </w:r>
      <w:r>
        <w:rPr>
          <w:rFonts w:hint="eastAsia" w:ascii="仿宋" w:hAnsi="仿宋" w:eastAsia="仿宋"/>
          <w:sz w:val="32"/>
          <w:szCs w:val="32"/>
        </w:rPr>
        <w:t>8</w:t>
      </w:r>
      <w:r>
        <w:rPr>
          <w:rFonts w:ascii="仿宋" w:hAnsi="仿宋" w:eastAsia="仿宋"/>
          <w:sz w:val="32"/>
          <w:szCs w:val="32"/>
        </w:rPr>
        <w:t>个</w:t>
      </w:r>
      <w:r>
        <w:rPr>
          <w:rFonts w:hint="eastAsia" w:ascii="仿宋" w:hAnsi="仿宋" w:eastAsia="仿宋"/>
          <w:sz w:val="32"/>
          <w:szCs w:val="32"/>
          <w:lang w:val="en-US" w:eastAsia="zh-CN"/>
        </w:rPr>
        <w:t>业务科室分别为</w:t>
      </w:r>
      <w:r>
        <w:rPr>
          <w:rFonts w:ascii="仿宋" w:hAnsi="仿宋" w:eastAsia="仿宋"/>
          <w:sz w:val="32"/>
          <w:szCs w:val="32"/>
        </w:rPr>
        <w:t>：办公室、行政审批服务科（政策法规科）、规划财务科、就业促进与失业保险科、人力资源流动管理科、职业能力建设科、专业技术人员管理科、事业单位人事管理科、农民工工作科</w:t>
      </w:r>
      <w:r>
        <w:rPr>
          <w:rFonts w:hint="eastAsia" w:ascii="仿宋" w:hAnsi="仿宋" w:eastAsia="仿宋" w:cs="宋体"/>
          <w:sz w:val="32"/>
          <w:szCs w:val="32"/>
        </w:rPr>
        <w:t>、</w:t>
      </w:r>
      <w:r>
        <w:rPr>
          <w:rFonts w:ascii="仿宋" w:hAnsi="仿宋" w:eastAsia="仿宋"/>
          <w:sz w:val="32"/>
          <w:szCs w:val="32"/>
        </w:rPr>
        <w:t>劳动关系科、工资福利科、职工养老保险科、工伤保险科（衡阳市劳动能力鉴定工作委员会办公室）、城乡居民养老保险科</w:t>
      </w:r>
      <w:r>
        <w:rPr>
          <w:rFonts w:hint="eastAsia" w:ascii="仿宋" w:hAnsi="仿宋" w:eastAsia="仿宋" w:cs="宋体"/>
          <w:sz w:val="32"/>
          <w:szCs w:val="32"/>
        </w:rPr>
        <w:t>、</w:t>
      </w:r>
      <w:r>
        <w:rPr>
          <w:rFonts w:ascii="仿宋" w:hAnsi="仿宋" w:eastAsia="仿宋"/>
          <w:sz w:val="32"/>
          <w:szCs w:val="32"/>
        </w:rPr>
        <w:t>社会保险基金监管科、表彰奖励科</w:t>
      </w:r>
      <w:r>
        <w:rPr>
          <w:rFonts w:hint="eastAsia" w:ascii="仿宋" w:hAnsi="仿宋" w:eastAsia="仿宋" w:cs="宋体"/>
          <w:sz w:val="32"/>
          <w:szCs w:val="32"/>
        </w:rPr>
        <w:t>、</w:t>
      </w:r>
      <w:r>
        <w:rPr>
          <w:rFonts w:ascii="仿宋" w:hAnsi="仿宋" w:eastAsia="仿宋"/>
          <w:sz w:val="32"/>
          <w:szCs w:val="32"/>
        </w:rPr>
        <w:t>组织人事科、离退休人员管理服务科。下属</w:t>
      </w:r>
      <w:r>
        <w:rPr>
          <w:rFonts w:hint="eastAsia" w:ascii="仿宋" w:hAnsi="仿宋" w:eastAsia="仿宋"/>
          <w:sz w:val="32"/>
          <w:szCs w:val="32"/>
          <w:lang w:val="en-US" w:eastAsia="zh-CN"/>
        </w:rPr>
        <w:t>13个</w:t>
      </w:r>
      <w:r>
        <w:rPr>
          <w:rFonts w:ascii="仿宋" w:hAnsi="仿宋" w:eastAsia="仿宋"/>
          <w:sz w:val="32"/>
          <w:szCs w:val="32"/>
        </w:rPr>
        <w:t>事业单位</w:t>
      </w:r>
      <w:r>
        <w:rPr>
          <w:rFonts w:hint="eastAsia" w:ascii="仿宋" w:hAnsi="仿宋" w:eastAsia="仿宋"/>
          <w:sz w:val="32"/>
          <w:szCs w:val="32"/>
          <w:lang w:val="en-US" w:eastAsia="zh-CN"/>
        </w:rPr>
        <w:t>分别为：</w:t>
      </w:r>
      <w:r>
        <w:rPr>
          <w:rFonts w:ascii="仿宋" w:hAnsi="仿宋" w:eastAsia="仿宋"/>
          <w:sz w:val="32"/>
          <w:szCs w:val="32"/>
        </w:rPr>
        <w:t>劳动就业服务处、社会养老保险处、机关事业单位养老保险处、社会保险基金征缴处</w:t>
      </w:r>
      <w:r>
        <w:rPr>
          <w:rFonts w:hint="eastAsia" w:ascii="仿宋" w:hAnsi="仿宋" w:eastAsia="仿宋"/>
          <w:sz w:val="32"/>
          <w:szCs w:val="32"/>
          <w:lang w:eastAsia="zh-CN"/>
        </w:rPr>
        <w:t>、</w:t>
      </w:r>
      <w:r>
        <w:rPr>
          <w:rFonts w:ascii="仿宋" w:hAnsi="仿宋" w:eastAsia="仿宋"/>
          <w:sz w:val="32"/>
          <w:szCs w:val="32"/>
        </w:rPr>
        <w:t>工伤保险基金管理中心、劳动人事争议仲裁院、劳动保障监察支队</w:t>
      </w:r>
      <w:r>
        <w:rPr>
          <w:rFonts w:hint="eastAsia" w:ascii="仿宋" w:hAnsi="仿宋" w:eastAsia="仿宋"/>
          <w:sz w:val="32"/>
          <w:szCs w:val="32"/>
          <w:lang w:eastAsia="zh-CN"/>
        </w:rPr>
        <w:t>、</w:t>
      </w:r>
      <w:r>
        <w:rPr>
          <w:rFonts w:ascii="仿宋" w:hAnsi="仿宋" w:eastAsia="仿宋"/>
          <w:sz w:val="32"/>
          <w:szCs w:val="32"/>
        </w:rPr>
        <w:t>人力资源服务中心</w:t>
      </w:r>
      <w:r>
        <w:rPr>
          <w:rFonts w:hint="eastAsia" w:ascii="仿宋" w:hAnsi="仿宋" w:eastAsia="仿宋"/>
          <w:sz w:val="32"/>
          <w:szCs w:val="32"/>
          <w:lang w:eastAsia="zh-CN"/>
        </w:rPr>
        <w:t>、</w:t>
      </w:r>
      <w:r>
        <w:rPr>
          <w:rFonts w:ascii="仿宋" w:hAnsi="仿宋" w:eastAsia="仿宋"/>
          <w:sz w:val="32"/>
          <w:szCs w:val="32"/>
        </w:rPr>
        <w:t>人事考试指导中心、职业技能鉴定管理中心、人力资源和社会保障信息中心、城乡居民养老保险处</w:t>
      </w:r>
      <w:r>
        <w:rPr>
          <w:rFonts w:hint="eastAsia" w:ascii="仿宋" w:hAnsi="仿宋" w:eastAsia="仿宋"/>
          <w:sz w:val="32"/>
          <w:szCs w:val="32"/>
          <w:lang w:eastAsia="zh-CN"/>
        </w:rPr>
        <w:t>、</w:t>
      </w:r>
      <w:r>
        <w:rPr>
          <w:rFonts w:ascii="仿宋" w:hAnsi="仿宋" w:eastAsia="仿宋"/>
          <w:sz w:val="32"/>
          <w:szCs w:val="32"/>
        </w:rPr>
        <w:t>干部培训中心</w:t>
      </w:r>
      <w:r>
        <w:rPr>
          <w:rFonts w:hint="eastAsia" w:ascii="仿宋" w:hAnsi="仿宋" w:eastAsia="仿宋"/>
          <w:sz w:val="32"/>
          <w:szCs w:val="32"/>
          <w:lang w:eastAsia="zh-CN"/>
        </w:rPr>
        <w:t>。</w:t>
      </w:r>
    </w:p>
    <w:p w14:paraId="116445D0">
      <w:pPr>
        <w:widowControl/>
        <w:spacing w:line="560" w:lineRule="exact"/>
        <w:ind w:firstLine="640" w:firstLineChars="200"/>
        <w:rPr>
          <w:rFonts w:ascii="仿宋" w:hAnsi="仿宋" w:eastAsia="仿宋"/>
          <w:sz w:val="32"/>
          <w:szCs w:val="32"/>
        </w:rPr>
      </w:pPr>
      <w:r>
        <w:rPr>
          <w:rFonts w:ascii="仿宋" w:hAnsi="仿宋" w:eastAsia="仿宋"/>
          <w:sz w:val="32"/>
          <w:szCs w:val="32"/>
        </w:rPr>
        <w:t>（二）决算单位构成。</w:t>
      </w:r>
      <w:r>
        <w:rPr>
          <w:rFonts w:hint="eastAsia" w:ascii="仿宋" w:hAnsi="仿宋" w:eastAsia="仿宋"/>
          <w:sz w:val="32"/>
          <w:szCs w:val="32"/>
        </w:rPr>
        <w:t>本部门</w:t>
      </w:r>
      <w:r>
        <w:rPr>
          <w:rFonts w:hint="eastAsia" w:ascii="仿宋" w:hAnsi="仿宋" w:eastAsia="仿宋"/>
          <w:sz w:val="32"/>
          <w:szCs w:val="32"/>
          <w:lang w:val="en-US" w:eastAsia="zh-CN"/>
        </w:rPr>
        <w:t>决</w:t>
      </w:r>
      <w:r>
        <w:rPr>
          <w:rFonts w:hint="eastAsia" w:ascii="仿宋" w:hAnsi="仿宋" w:eastAsia="仿宋"/>
          <w:sz w:val="32"/>
          <w:szCs w:val="32"/>
        </w:rPr>
        <w:t>算为汇总决算，纳入编制范围的决算单位包括</w:t>
      </w:r>
      <w:r>
        <w:rPr>
          <w:rFonts w:ascii="仿宋" w:hAnsi="仿宋" w:eastAsia="仿宋"/>
          <w:sz w:val="32"/>
          <w:szCs w:val="32"/>
        </w:rPr>
        <w:t>：市人力资源和社会保障局本级、劳动就业服务处、社会养老保险处、机关事业单位养老保险处、人力资源服务中心、社会保险基金征缴处、干部培训中心、工伤保险基金管理中心、劳动人事争议仲裁院、劳动保障监察支队、人事考试指导中心、职业技能鉴定管理中心、人力资源和社会保障信息中心、城乡居民养老保险处十三个局属事业单位。</w:t>
      </w:r>
    </w:p>
    <w:p w14:paraId="048806E4">
      <w:pPr>
        <w:widowControl/>
        <w:spacing w:before="100" w:beforeAutospacing="1" w:after="100" w:afterAutospacing="1"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14:paraId="2031D895">
      <w:pPr>
        <w:widowControl/>
        <w:spacing w:line="560" w:lineRule="exact"/>
        <w:jc w:val="left"/>
        <w:rPr>
          <w:rFonts w:ascii="仿宋" w:hAnsi="仿宋" w:eastAsia="仿宋"/>
          <w:sz w:val="32"/>
          <w:szCs w:val="32"/>
        </w:rPr>
        <w:sectPr>
          <w:pgSz w:w="11906" w:h="16838"/>
          <w:pgMar w:top="1440" w:right="1803" w:bottom="1440" w:left="1803" w:header="720" w:footer="720" w:gutter="0"/>
          <w:cols w:space="720" w:num="1"/>
          <w:docGrid w:type="lines" w:linePitch="436" w:charSpace="0"/>
        </w:sectPr>
      </w:pPr>
    </w:p>
    <w:p w14:paraId="104A013D">
      <w:pPr>
        <w:spacing w:line="560" w:lineRule="exact"/>
        <w:rPr>
          <w:sz w:val="72"/>
          <w:szCs w:val="72"/>
        </w:rPr>
      </w:pPr>
      <w:r>
        <w:rPr>
          <w:sz w:val="72"/>
          <w:szCs w:val="72"/>
        </w:rPr>
        <w:t xml:space="preserve"> </w:t>
      </w:r>
    </w:p>
    <w:p w14:paraId="580F2A33">
      <w:pPr>
        <w:spacing w:line="560" w:lineRule="exact"/>
        <w:rPr>
          <w:sz w:val="72"/>
          <w:szCs w:val="72"/>
        </w:rPr>
      </w:pPr>
    </w:p>
    <w:p w14:paraId="1D955298">
      <w:pPr>
        <w:spacing w:line="560" w:lineRule="exact"/>
        <w:rPr>
          <w:sz w:val="72"/>
          <w:szCs w:val="72"/>
        </w:rPr>
      </w:pPr>
    </w:p>
    <w:p w14:paraId="0830A526">
      <w:pPr>
        <w:spacing w:line="560" w:lineRule="exact"/>
        <w:rPr>
          <w:sz w:val="72"/>
          <w:szCs w:val="72"/>
        </w:rPr>
      </w:pPr>
      <w:r>
        <w:rPr>
          <w:sz w:val="72"/>
          <w:szCs w:val="72"/>
        </w:rPr>
        <w:t xml:space="preserve"> </w:t>
      </w:r>
    </w:p>
    <w:p w14:paraId="28D39557">
      <w:pPr>
        <w:spacing w:line="560" w:lineRule="exact"/>
        <w:rPr>
          <w:sz w:val="72"/>
          <w:szCs w:val="72"/>
        </w:rPr>
      </w:pPr>
      <w:r>
        <w:rPr>
          <w:sz w:val="72"/>
          <w:szCs w:val="72"/>
        </w:rPr>
        <w:t xml:space="preserve"> </w:t>
      </w:r>
    </w:p>
    <w:p w14:paraId="72B74C9E">
      <w:pPr>
        <w:spacing w:line="800" w:lineRule="exact"/>
        <w:jc w:val="center"/>
        <w:rPr>
          <w:rFonts w:hint="eastAsia" w:ascii="华文中宋" w:hAnsi="华文中宋" w:eastAsia="华文中宋" w:cs="华文中宋"/>
          <w:b/>
          <w:bCs/>
          <w:sz w:val="72"/>
          <w:szCs w:val="72"/>
        </w:rPr>
      </w:pPr>
      <w:r>
        <w:rPr>
          <w:rFonts w:hint="eastAsia" w:ascii="华文中宋" w:hAnsi="华文中宋" w:eastAsia="华文中宋" w:cs="华文中宋"/>
          <w:b/>
          <w:bCs/>
          <w:sz w:val="72"/>
          <w:szCs w:val="72"/>
        </w:rPr>
        <w:t>第二部分</w:t>
      </w:r>
    </w:p>
    <w:p w14:paraId="65035298">
      <w:pPr>
        <w:spacing w:line="800" w:lineRule="exact"/>
        <w:jc w:val="center"/>
        <w:rPr>
          <w:rFonts w:hint="eastAsia" w:ascii="华文中宋" w:hAnsi="华文中宋" w:eastAsia="华文中宋" w:cs="华文中宋"/>
          <w:b/>
          <w:bCs/>
          <w:sz w:val="72"/>
          <w:szCs w:val="72"/>
        </w:rPr>
      </w:pPr>
      <w:r>
        <w:rPr>
          <w:rFonts w:hint="eastAsia" w:ascii="华文中宋" w:hAnsi="华文中宋" w:eastAsia="华文中宋" w:cs="华文中宋"/>
          <w:b/>
          <w:bCs/>
          <w:sz w:val="72"/>
          <w:szCs w:val="72"/>
        </w:rPr>
        <w:t xml:space="preserve"> </w:t>
      </w:r>
    </w:p>
    <w:p w14:paraId="679E80D2">
      <w:pPr>
        <w:spacing w:line="800" w:lineRule="exact"/>
        <w:jc w:val="center"/>
        <w:rPr>
          <w:rFonts w:hint="eastAsia" w:ascii="华文中宋" w:hAnsi="华文中宋" w:eastAsia="华文中宋" w:cs="华文中宋"/>
          <w:b/>
          <w:bCs/>
          <w:sz w:val="72"/>
          <w:szCs w:val="72"/>
        </w:rPr>
      </w:pPr>
    </w:p>
    <w:p w14:paraId="01C303C8">
      <w:pPr>
        <w:spacing w:line="800" w:lineRule="exact"/>
        <w:jc w:val="center"/>
        <w:rPr>
          <w:rFonts w:hint="eastAsia" w:ascii="华文中宋" w:hAnsi="华文中宋" w:eastAsia="华文中宋" w:cs="华文中宋"/>
          <w:b/>
          <w:bCs/>
          <w:sz w:val="72"/>
          <w:szCs w:val="72"/>
        </w:rPr>
      </w:pPr>
      <w:r>
        <w:rPr>
          <w:rFonts w:hint="eastAsia" w:ascii="华文中宋" w:hAnsi="华文中宋" w:eastAsia="华文中宋" w:cs="华文中宋"/>
          <w:b/>
          <w:bCs/>
          <w:sz w:val="72"/>
          <w:szCs w:val="72"/>
          <w:lang w:val="en-US" w:eastAsia="zh-CN"/>
        </w:rPr>
        <w:t>2019年度</w:t>
      </w:r>
      <w:r>
        <w:rPr>
          <w:rFonts w:hint="eastAsia" w:ascii="华文中宋" w:hAnsi="华文中宋" w:eastAsia="华文中宋" w:cs="华文中宋"/>
          <w:b/>
          <w:bCs/>
          <w:sz w:val="72"/>
          <w:szCs w:val="72"/>
        </w:rPr>
        <w:t>部门决算表</w:t>
      </w:r>
    </w:p>
    <w:p w14:paraId="7B410AF5">
      <w:pPr>
        <w:spacing w:line="800" w:lineRule="exact"/>
        <w:jc w:val="center"/>
        <w:rPr>
          <w:sz w:val="72"/>
          <w:szCs w:val="72"/>
        </w:rPr>
      </w:pPr>
      <w:r>
        <w:rPr>
          <w:sz w:val="72"/>
          <w:szCs w:val="72"/>
        </w:rPr>
        <w:t xml:space="preserve"> </w:t>
      </w:r>
    </w:p>
    <w:p w14:paraId="085C9EC9">
      <w:pPr>
        <w:spacing w:line="560" w:lineRule="exact"/>
        <w:jc w:val="center"/>
        <w:rPr>
          <w:sz w:val="72"/>
          <w:szCs w:val="72"/>
        </w:rPr>
      </w:pPr>
      <w:r>
        <w:rPr>
          <w:sz w:val="72"/>
          <w:szCs w:val="72"/>
        </w:rPr>
        <w:t xml:space="preserve"> </w:t>
      </w:r>
    </w:p>
    <w:p w14:paraId="086683B3">
      <w:pPr>
        <w:widowControl/>
        <w:spacing w:line="560" w:lineRule="exact"/>
        <w:jc w:val="left"/>
        <w:rPr>
          <w:rFonts w:hAnsi="黑体" w:eastAsia="黑体"/>
          <w:sz w:val="36"/>
          <w:szCs w:val="36"/>
        </w:rPr>
        <w:sectPr>
          <w:pgSz w:w="11906" w:h="16838"/>
          <w:pgMar w:top="1440" w:right="1803" w:bottom="1440" w:left="1803" w:header="720" w:footer="720" w:gutter="0"/>
          <w:cols w:space="720" w:num="1"/>
          <w:docGrid w:type="lines" w:linePitch="436" w:charSpace="0"/>
        </w:sectPr>
      </w:pPr>
    </w:p>
    <w:p w14:paraId="3B2675D5">
      <w:pPr>
        <w:autoSpaceDE w:val="0"/>
        <w:spacing w:line="560" w:lineRule="exact"/>
        <w:jc w:val="center"/>
        <w:rPr>
          <w:rFonts w:eastAsia="黑体"/>
          <w:sz w:val="36"/>
          <w:szCs w:val="36"/>
        </w:rPr>
      </w:pPr>
      <w:r>
        <w:rPr>
          <w:rFonts w:ascii="黑体" w:hAnsi="黑体" w:eastAsia="黑体"/>
          <w:sz w:val="36"/>
          <w:szCs w:val="36"/>
        </w:rPr>
        <w:t>收入支出决算总表</w:t>
      </w:r>
    </w:p>
    <w:p w14:paraId="242D265A">
      <w:pPr>
        <w:keepNext w:val="0"/>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color w:val="000000"/>
          <w:kern w:val="0"/>
          <w:sz w:val="21"/>
          <w:szCs w:val="21"/>
        </w:rPr>
      </w:pPr>
      <w:r>
        <w:rPr>
          <w:rFonts w:ascii="仿宋_GB2312" w:hAnsi="仿宋_GB2312"/>
          <w:color w:val="000000"/>
          <w:kern w:val="0"/>
          <w:sz w:val="21"/>
          <w:szCs w:val="21"/>
        </w:rPr>
        <w:t xml:space="preserve">部门：  </w:t>
      </w:r>
      <w:r>
        <w:rPr>
          <w:rFonts w:hint="eastAsia" w:ascii="仿宋_GB2312" w:hAnsi="仿宋_GB2312"/>
          <w:color w:val="000000"/>
          <w:kern w:val="0"/>
          <w:sz w:val="21"/>
          <w:szCs w:val="21"/>
        </w:rPr>
        <w:t>衡阳市人力资源和社会保障局</w:t>
      </w:r>
      <w:r>
        <w:rPr>
          <w:rFonts w:ascii="仿宋_GB2312" w:hAnsi="仿宋_GB2312"/>
          <w:color w:val="000000"/>
          <w:kern w:val="0"/>
          <w:sz w:val="21"/>
          <w:szCs w:val="21"/>
        </w:rPr>
        <w:t xml:space="preserve">                                                </w:t>
      </w:r>
      <w:r>
        <w:rPr>
          <w:rFonts w:hint="eastAsia" w:ascii="仿宋_GB2312" w:hAnsi="仿宋_GB2312"/>
          <w:color w:val="000000"/>
          <w:kern w:val="0"/>
          <w:sz w:val="21"/>
          <w:szCs w:val="21"/>
          <w:lang w:val="en-US" w:eastAsia="zh-CN"/>
        </w:rPr>
        <w:t xml:space="preserve">  </w:t>
      </w:r>
      <w:r>
        <w:rPr>
          <w:rFonts w:ascii="仿宋_GB2312" w:hAnsi="仿宋_GB2312"/>
          <w:color w:val="000000"/>
          <w:kern w:val="0"/>
          <w:sz w:val="21"/>
          <w:szCs w:val="21"/>
        </w:rPr>
        <w:t xml:space="preserve">                                  </w:t>
      </w:r>
      <w:r>
        <w:rPr>
          <w:rFonts w:hint="eastAsia" w:ascii="仿宋_GB2312" w:hAnsi="仿宋_GB2312"/>
          <w:color w:val="000000"/>
          <w:kern w:val="0"/>
          <w:sz w:val="21"/>
          <w:szCs w:val="21"/>
          <w:lang w:val="en-US" w:eastAsia="zh-CN"/>
        </w:rPr>
        <w:t xml:space="preserve">  </w:t>
      </w:r>
      <w:r>
        <w:rPr>
          <w:rFonts w:ascii="仿宋_GB2312" w:hAnsi="仿宋_GB2312"/>
          <w:color w:val="000000"/>
          <w:kern w:val="0"/>
          <w:sz w:val="21"/>
          <w:szCs w:val="21"/>
        </w:rPr>
        <w:t xml:space="preserve">    公开</w:t>
      </w:r>
      <w:r>
        <w:rPr>
          <w:color w:val="000000"/>
          <w:kern w:val="0"/>
          <w:sz w:val="21"/>
          <w:szCs w:val="21"/>
        </w:rPr>
        <w:t>01</w:t>
      </w:r>
      <w:r>
        <w:rPr>
          <w:rFonts w:hint="eastAsia" w:ascii="宋体" w:hAnsi="宋体" w:eastAsia="宋体" w:cs="宋体"/>
          <w:color w:val="000000"/>
          <w:kern w:val="0"/>
          <w:sz w:val="21"/>
          <w:szCs w:val="21"/>
        </w:rPr>
        <w:t>表</w:t>
      </w:r>
    </w:p>
    <w:p w14:paraId="771FA7E1">
      <w:pPr>
        <w:keepNext w:val="0"/>
        <w:keepLines w:val="0"/>
        <w:pageBreakBefore w:val="0"/>
        <w:widowControl/>
        <w:kinsoku/>
        <w:wordWrap/>
        <w:overflowPunct/>
        <w:topLinePunct w:val="0"/>
        <w:autoSpaceDE/>
        <w:autoSpaceDN/>
        <w:bidi w:val="0"/>
        <w:adjustRightInd/>
        <w:snapToGrid/>
        <w:spacing w:line="240" w:lineRule="auto"/>
        <w:ind w:right="0"/>
        <w:jc w:val="right"/>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金额单位：万元</w:t>
      </w:r>
    </w:p>
    <w:tbl>
      <w:tblPr>
        <w:tblStyle w:val="5"/>
        <w:tblpPr w:leftFromText="180" w:rightFromText="180" w:vertAnchor="text" w:horzAnchor="page" w:tblpX="1207" w:tblpY="62"/>
        <w:tblOverlap w:val="never"/>
        <w:tblW w:w="14480" w:type="dxa"/>
        <w:tblInd w:w="0" w:type="dxa"/>
        <w:shd w:val="clear" w:color="auto" w:fill="auto"/>
        <w:tblLayout w:type="autofit"/>
        <w:tblCellMar>
          <w:top w:w="0" w:type="dxa"/>
          <w:left w:w="0" w:type="dxa"/>
          <w:bottom w:w="0" w:type="dxa"/>
          <w:right w:w="0" w:type="dxa"/>
        </w:tblCellMar>
      </w:tblPr>
      <w:tblGrid>
        <w:gridCol w:w="5128"/>
        <w:gridCol w:w="716"/>
        <w:gridCol w:w="1396"/>
        <w:gridCol w:w="4641"/>
        <w:gridCol w:w="880"/>
        <w:gridCol w:w="1719"/>
      </w:tblGrid>
      <w:tr w14:paraId="6017A824">
        <w:tblPrEx>
          <w:shd w:val="clear" w:color="auto" w:fill="auto"/>
          <w:tblCellMar>
            <w:top w:w="0" w:type="dxa"/>
            <w:left w:w="0" w:type="dxa"/>
            <w:bottom w:w="0" w:type="dxa"/>
            <w:right w:w="0" w:type="dxa"/>
          </w:tblCellMar>
        </w:tblPrEx>
        <w:trPr>
          <w:trHeight w:val="429" w:hRule="atLeast"/>
        </w:trPr>
        <w:tc>
          <w:tcPr>
            <w:tcW w:w="72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06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240" w:type="dxa"/>
            <w:gridSpan w:val="3"/>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FF3DC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7ABE2B96">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32A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9C74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C96E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4EBE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D531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3AFAE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14:paraId="34A99D4A">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0C3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ED0FA26">
            <w:pPr>
              <w:jc w:val="center"/>
              <w:rPr>
                <w:rFonts w:hint="eastAsia" w:ascii="宋体" w:hAnsi="宋体" w:eastAsia="宋体" w:cs="宋体"/>
                <w:i w:val="0"/>
                <w:color w:val="000000"/>
                <w:sz w:val="22"/>
                <w:szCs w:val="22"/>
                <w:u w:val="none"/>
              </w:rPr>
            </w:pP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2AD2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772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E55C9C">
            <w:pPr>
              <w:jc w:val="center"/>
              <w:rPr>
                <w:rFonts w:hint="eastAsia" w:ascii="宋体" w:hAnsi="宋体" w:eastAsia="宋体" w:cs="宋体"/>
                <w:i w:val="0"/>
                <w:color w:val="000000"/>
                <w:sz w:val="22"/>
                <w:szCs w:val="22"/>
                <w:u w:val="none"/>
              </w:rPr>
            </w:pP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7A8F2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68037576">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1AEA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3AB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30AC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5,859.36</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CF44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62E49C">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D1C0D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638.25</w:t>
            </w:r>
          </w:p>
        </w:tc>
      </w:tr>
      <w:tr w14:paraId="168AE4DF">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0DA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FA0EB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4002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198D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11109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3FB7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5,970.83</w:t>
            </w:r>
          </w:p>
        </w:tc>
      </w:tr>
      <w:tr w14:paraId="55BB03D4">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156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689DC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633D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9.19</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E9C4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三、卫生健康支出</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B8517F">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25D9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448.32</w:t>
            </w:r>
          </w:p>
        </w:tc>
      </w:tr>
      <w:tr w14:paraId="751ED9ED">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56F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D6B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47CFF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24169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四、农林水支出</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0F7BD6">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B86C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0.73</w:t>
            </w:r>
          </w:p>
        </w:tc>
      </w:tr>
      <w:tr w14:paraId="12CC0A80">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778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FD75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1B91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FD388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五、住房保障支出</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34F0FC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C500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198.92</w:t>
            </w:r>
          </w:p>
        </w:tc>
      </w:tr>
      <w:tr w14:paraId="32956EAF">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3AD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9B172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EDCDD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19AD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六、其他支出</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6470C2">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18FC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24CB6AA">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417A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295D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7A757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1,072.55</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76B4D8B">
            <w:pPr>
              <w:jc w:val="left"/>
              <w:rPr>
                <w:rFonts w:hint="eastAsia" w:ascii="宋体" w:hAnsi="宋体" w:eastAsia="宋体" w:cs="宋体"/>
                <w:i w:val="0"/>
                <w:color w:val="000000"/>
                <w:sz w:val="22"/>
                <w:szCs w:val="22"/>
                <w:u w:val="none"/>
              </w:rPr>
            </w:pP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E475A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5D7ECE">
            <w:pPr>
              <w:jc w:val="right"/>
              <w:rPr>
                <w:rFonts w:hint="eastAsia" w:ascii="宋体" w:hAnsi="宋体" w:eastAsia="宋体" w:cs="宋体"/>
                <w:i w:val="0"/>
                <w:color w:val="000000"/>
                <w:sz w:val="22"/>
                <w:szCs w:val="22"/>
                <w:u w:val="none"/>
              </w:rPr>
            </w:pPr>
          </w:p>
        </w:tc>
      </w:tr>
      <w:tr w14:paraId="3F436806">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9B4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045D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9C3B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6,968.11</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3342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A9D7EF">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EAB7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7,257.05</w:t>
            </w:r>
          </w:p>
        </w:tc>
      </w:tr>
      <w:tr w14:paraId="3072BEEC">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88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0864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A8B2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CFE7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40632B">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163C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45.10</w:t>
            </w:r>
          </w:p>
        </w:tc>
      </w:tr>
      <w:tr w14:paraId="3A3C9CBC">
        <w:tblPrEx>
          <w:tblCellMar>
            <w:top w:w="0" w:type="dxa"/>
            <w:left w:w="0" w:type="dxa"/>
            <w:bottom w:w="0" w:type="dxa"/>
            <w:right w:w="0" w:type="dxa"/>
          </w:tblCellMar>
        </w:tblPrEx>
        <w:trPr>
          <w:trHeight w:val="429"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5B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9F8309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6AEC80">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535.07</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FA5B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0DB278">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0959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r>
      <w:tr w14:paraId="21A94C0F">
        <w:tblPrEx>
          <w:tblCellMar>
            <w:top w:w="0" w:type="dxa"/>
            <w:left w:w="0" w:type="dxa"/>
            <w:bottom w:w="0" w:type="dxa"/>
            <w:right w:w="0" w:type="dxa"/>
          </w:tblCellMar>
        </w:tblPrEx>
        <w:trPr>
          <w:trHeight w:val="438" w:hRule="atLeast"/>
        </w:trPr>
        <w:tc>
          <w:tcPr>
            <w:tcW w:w="512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CB39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b/>
                <w:i w:val="0"/>
                <w:color w:val="000000"/>
                <w:kern w:val="0"/>
                <w:sz w:val="22"/>
                <w:szCs w:val="22"/>
                <w:u w:val="none"/>
                <w:lang w:val="en-US" w:eastAsia="zh-CN" w:bidi="ar"/>
              </w:rPr>
              <w:t>总计</w:t>
            </w:r>
          </w:p>
        </w:tc>
        <w:tc>
          <w:tcPr>
            <w:tcW w:w="7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4D022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w:t>
            </w:r>
          </w:p>
        </w:tc>
        <w:tc>
          <w:tcPr>
            <w:tcW w:w="139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AC92C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7503.18</w:t>
            </w:r>
          </w:p>
        </w:tc>
        <w:tc>
          <w:tcPr>
            <w:tcW w:w="46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40FA2D7">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b/>
                <w:i w:val="0"/>
                <w:color w:val="000000"/>
                <w:kern w:val="0"/>
                <w:sz w:val="22"/>
                <w:szCs w:val="22"/>
                <w:u w:val="none"/>
                <w:lang w:val="en-US" w:eastAsia="zh-CN" w:bidi="ar"/>
              </w:rPr>
              <w:t>总计</w:t>
            </w:r>
          </w:p>
        </w:tc>
        <w:tc>
          <w:tcPr>
            <w:tcW w:w="88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4D8FBA">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w:t>
            </w:r>
          </w:p>
        </w:tc>
        <w:tc>
          <w:tcPr>
            <w:tcW w:w="17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E95074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7503.18</w:t>
            </w:r>
          </w:p>
        </w:tc>
      </w:tr>
    </w:tbl>
    <w:p w14:paraId="38CF290B">
      <w:pPr>
        <w:widowControl/>
        <w:spacing w:line="400" w:lineRule="exact"/>
        <w:jc w:val="left"/>
      </w:pPr>
      <w:r>
        <w:rPr>
          <w:rFonts w:ascii="仿宋_GB2312" w:hAnsi="仿宋_GB2312"/>
          <w:kern w:val="0"/>
          <w:sz w:val="21"/>
          <w:szCs w:val="21"/>
        </w:rPr>
        <w:t>注：本表反映部门本年度的总收支和年末结转结余情况</w:t>
      </w:r>
      <w:r>
        <w:rPr>
          <w:rFonts w:hint="eastAsia" w:ascii="宋体" w:hAnsi="宋体" w:eastAsia="宋体" w:cs="宋体"/>
          <w:kern w:val="0"/>
          <w:sz w:val="21"/>
          <w:szCs w:val="21"/>
        </w:rPr>
        <w:t>。</w:t>
      </w:r>
    </w:p>
    <w:p w14:paraId="67C2A06A">
      <w:pPr>
        <w:widowControl/>
        <w:spacing w:line="560" w:lineRule="exact"/>
        <w:jc w:val="left"/>
        <w:rPr>
          <w:rFonts w:ascii="黑体" w:hAnsi="黑体" w:eastAsia="黑体"/>
          <w:color w:val="000000"/>
          <w:kern w:val="0"/>
          <w:sz w:val="36"/>
          <w:szCs w:val="36"/>
        </w:rPr>
        <w:sectPr>
          <w:pgSz w:w="16838" w:h="11906" w:orient="landscape"/>
          <w:pgMar w:top="1803" w:right="1440" w:bottom="1134" w:left="1440" w:header="720" w:footer="720" w:gutter="0"/>
          <w:cols w:space="720" w:num="1"/>
          <w:docGrid w:type="lines" w:linePitch="448" w:charSpace="0"/>
        </w:sectPr>
      </w:pPr>
    </w:p>
    <w:p w14:paraId="0734DF62">
      <w:pPr>
        <w:widowControl/>
        <w:spacing w:line="560" w:lineRule="exact"/>
        <w:jc w:val="center"/>
        <w:rPr>
          <w:rFonts w:ascii="黑体" w:hAnsi="黑体" w:eastAsia="黑体"/>
          <w:color w:val="000000"/>
          <w:kern w:val="0"/>
          <w:sz w:val="36"/>
          <w:szCs w:val="36"/>
        </w:rPr>
      </w:pPr>
      <w:r>
        <w:rPr>
          <w:rFonts w:hint="eastAsia" w:ascii="黑体" w:hAnsi="黑体" w:eastAsia="黑体"/>
          <w:color w:val="000000"/>
          <w:kern w:val="0"/>
          <w:sz w:val="36"/>
          <w:szCs w:val="36"/>
        </w:rPr>
        <w:t>收入决算表</w:t>
      </w:r>
    </w:p>
    <w:p w14:paraId="1974B779">
      <w:pPr>
        <w:widowControl/>
        <w:spacing w:line="560" w:lineRule="exact"/>
        <w:ind w:right="630"/>
        <w:jc w:val="both"/>
        <w:rPr>
          <w:color w:val="000000"/>
          <w:kern w:val="0"/>
          <w:sz w:val="21"/>
          <w:szCs w:val="21"/>
        </w:rPr>
      </w:pPr>
      <w:r>
        <w:rPr>
          <w:color w:val="000000"/>
          <w:kern w:val="0"/>
          <w:sz w:val="21"/>
          <w:szCs w:val="21"/>
        </w:rPr>
        <w:t xml:space="preserve"> </w:t>
      </w:r>
    </w:p>
    <w:tbl>
      <w:tblPr>
        <w:tblStyle w:val="5"/>
        <w:tblW w:w="14054" w:type="dxa"/>
        <w:tblInd w:w="0" w:type="dxa"/>
        <w:shd w:val="clear" w:color="auto" w:fill="auto"/>
        <w:tblLayout w:type="autofit"/>
        <w:tblCellMar>
          <w:top w:w="0" w:type="dxa"/>
          <w:left w:w="0" w:type="dxa"/>
          <w:bottom w:w="0" w:type="dxa"/>
          <w:right w:w="0" w:type="dxa"/>
        </w:tblCellMar>
      </w:tblPr>
      <w:tblGrid>
        <w:gridCol w:w="389"/>
        <w:gridCol w:w="343"/>
        <w:gridCol w:w="371"/>
        <w:gridCol w:w="3559"/>
        <w:gridCol w:w="1477"/>
        <w:gridCol w:w="1269"/>
        <w:gridCol w:w="1311"/>
        <w:gridCol w:w="1255"/>
        <w:gridCol w:w="1269"/>
        <w:gridCol w:w="1173"/>
        <w:gridCol w:w="1638"/>
      </w:tblGrid>
      <w:tr w14:paraId="50344809">
        <w:tblPrEx>
          <w:shd w:val="clear" w:color="auto" w:fill="auto"/>
          <w:tblCellMar>
            <w:top w:w="0" w:type="dxa"/>
            <w:left w:w="0" w:type="dxa"/>
            <w:bottom w:w="0" w:type="dxa"/>
            <w:right w:w="0" w:type="dxa"/>
          </w:tblCellMar>
        </w:tblPrEx>
        <w:trPr>
          <w:trHeight w:val="100" w:hRule="atLeast"/>
        </w:trPr>
        <w:tc>
          <w:tcPr>
            <w:tcW w:w="389" w:type="dxa"/>
            <w:tcBorders>
              <w:top w:val="nil"/>
              <w:left w:val="nil"/>
              <w:bottom w:val="nil"/>
              <w:right w:val="nil"/>
            </w:tcBorders>
            <w:shd w:val="clear" w:color="auto" w:fill="auto"/>
            <w:noWrap/>
            <w:tcMar>
              <w:top w:w="12" w:type="dxa"/>
              <w:left w:w="12" w:type="dxa"/>
              <w:right w:w="12" w:type="dxa"/>
            </w:tcMar>
            <w:vAlign w:val="bottom"/>
          </w:tcPr>
          <w:p w14:paraId="60ADC95E">
            <w:pPr>
              <w:rPr>
                <w:rFonts w:hint="eastAsia" w:ascii="Arial" w:hAnsi="Arial" w:cs="Arial"/>
                <w:i w:val="0"/>
                <w:color w:val="000000"/>
                <w:sz w:val="22"/>
                <w:szCs w:val="22"/>
                <w:u w:val="none"/>
              </w:rPr>
            </w:pPr>
          </w:p>
        </w:tc>
        <w:tc>
          <w:tcPr>
            <w:tcW w:w="343" w:type="dxa"/>
            <w:tcBorders>
              <w:top w:val="nil"/>
              <w:left w:val="nil"/>
              <w:bottom w:val="nil"/>
              <w:right w:val="nil"/>
            </w:tcBorders>
            <w:shd w:val="clear" w:color="auto" w:fill="auto"/>
            <w:noWrap/>
            <w:tcMar>
              <w:top w:w="12" w:type="dxa"/>
              <w:left w:w="12" w:type="dxa"/>
              <w:right w:w="12" w:type="dxa"/>
            </w:tcMar>
            <w:vAlign w:val="bottom"/>
          </w:tcPr>
          <w:p w14:paraId="138F8C2D">
            <w:pPr>
              <w:rPr>
                <w:rFonts w:hint="default" w:ascii="Arial" w:hAnsi="Arial" w:cs="Arial"/>
                <w:i w:val="0"/>
                <w:color w:val="000000"/>
                <w:sz w:val="22"/>
                <w:szCs w:val="22"/>
                <w:u w:val="none"/>
              </w:rPr>
            </w:pPr>
          </w:p>
        </w:tc>
        <w:tc>
          <w:tcPr>
            <w:tcW w:w="371" w:type="dxa"/>
            <w:tcBorders>
              <w:top w:val="nil"/>
              <w:left w:val="nil"/>
              <w:bottom w:val="nil"/>
              <w:right w:val="nil"/>
            </w:tcBorders>
            <w:shd w:val="clear" w:color="auto" w:fill="auto"/>
            <w:noWrap/>
            <w:tcMar>
              <w:top w:w="12" w:type="dxa"/>
              <w:left w:w="12" w:type="dxa"/>
              <w:right w:w="12" w:type="dxa"/>
            </w:tcMar>
            <w:vAlign w:val="bottom"/>
          </w:tcPr>
          <w:p w14:paraId="417EF894">
            <w:pPr>
              <w:rPr>
                <w:rFonts w:hint="default" w:ascii="Arial" w:hAnsi="Arial" w:cs="Arial"/>
                <w:i w:val="0"/>
                <w:color w:val="000000"/>
                <w:sz w:val="22"/>
                <w:szCs w:val="22"/>
                <w:u w:val="none"/>
              </w:rPr>
            </w:pPr>
          </w:p>
        </w:tc>
        <w:tc>
          <w:tcPr>
            <w:tcW w:w="3559" w:type="dxa"/>
            <w:tcBorders>
              <w:top w:val="nil"/>
              <w:left w:val="nil"/>
              <w:bottom w:val="nil"/>
              <w:right w:val="nil"/>
            </w:tcBorders>
            <w:shd w:val="clear" w:color="auto" w:fill="auto"/>
            <w:noWrap/>
            <w:tcMar>
              <w:top w:w="12" w:type="dxa"/>
              <w:left w:w="12" w:type="dxa"/>
              <w:right w:w="12" w:type="dxa"/>
            </w:tcMar>
            <w:vAlign w:val="bottom"/>
          </w:tcPr>
          <w:p w14:paraId="66D07464">
            <w:pPr>
              <w:rPr>
                <w:rFonts w:hint="default" w:ascii="Arial" w:hAnsi="Arial" w:cs="Arial"/>
                <w:i w:val="0"/>
                <w:color w:val="000000"/>
                <w:sz w:val="22"/>
                <w:szCs w:val="22"/>
                <w:u w:val="none"/>
              </w:rPr>
            </w:pPr>
          </w:p>
        </w:tc>
        <w:tc>
          <w:tcPr>
            <w:tcW w:w="1477" w:type="dxa"/>
            <w:tcBorders>
              <w:top w:val="nil"/>
              <w:left w:val="nil"/>
              <w:bottom w:val="nil"/>
              <w:right w:val="nil"/>
            </w:tcBorders>
            <w:shd w:val="clear" w:color="auto" w:fill="auto"/>
            <w:noWrap/>
            <w:tcMar>
              <w:top w:w="12" w:type="dxa"/>
              <w:left w:w="12" w:type="dxa"/>
              <w:right w:w="12" w:type="dxa"/>
            </w:tcMar>
            <w:vAlign w:val="bottom"/>
          </w:tcPr>
          <w:p w14:paraId="152D0199">
            <w:pPr>
              <w:rPr>
                <w:rFonts w:hint="default" w:ascii="Arial" w:hAnsi="Arial" w:cs="Arial"/>
                <w:i w:val="0"/>
                <w:color w:val="000000"/>
                <w:sz w:val="22"/>
                <w:szCs w:val="22"/>
                <w:u w:val="none"/>
              </w:rPr>
            </w:pPr>
          </w:p>
        </w:tc>
        <w:tc>
          <w:tcPr>
            <w:tcW w:w="1269" w:type="dxa"/>
            <w:tcBorders>
              <w:top w:val="nil"/>
              <w:left w:val="nil"/>
              <w:bottom w:val="nil"/>
              <w:right w:val="nil"/>
            </w:tcBorders>
            <w:shd w:val="clear" w:color="auto" w:fill="auto"/>
            <w:noWrap/>
            <w:tcMar>
              <w:top w:w="12" w:type="dxa"/>
              <w:left w:w="12" w:type="dxa"/>
              <w:right w:w="12" w:type="dxa"/>
            </w:tcMar>
            <w:vAlign w:val="bottom"/>
          </w:tcPr>
          <w:p w14:paraId="10DB2E12">
            <w:pPr>
              <w:rPr>
                <w:rFonts w:hint="default" w:ascii="Arial" w:hAnsi="Arial" w:cs="Arial"/>
                <w:i w:val="0"/>
                <w:color w:val="000000"/>
                <w:sz w:val="22"/>
                <w:szCs w:val="22"/>
                <w:u w:val="none"/>
              </w:rPr>
            </w:pPr>
          </w:p>
        </w:tc>
        <w:tc>
          <w:tcPr>
            <w:tcW w:w="1311" w:type="dxa"/>
            <w:tcBorders>
              <w:top w:val="nil"/>
              <w:left w:val="nil"/>
              <w:bottom w:val="nil"/>
              <w:right w:val="nil"/>
            </w:tcBorders>
            <w:shd w:val="clear" w:color="auto" w:fill="auto"/>
            <w:noWrap/>
            <w:tcMar>
              <w:top w:w="12" w:type="dxa"/>
              <w:left w:w="12" w:type="dxa"/>
              <w:right w:w="12" w:type="dxa"/>
            </w:tcMar>
            <w:vAlign w:val="bottom"/>
          </w:tcPr>
          <w:p w14:paraId="4A0A23FF">
            <w:pPr>
              <w:rPr>
                <w:rFonts w:hint="default" w:ascii="Arial" w:hAnsi="Arial" w:cs="Arial"/>
                <w:i w:val="0"/>
                <w:color w:val="000000"/>
                <w:sz w:val="22"/>
                <w:szCs w:val="22"/>
                <w:u w:val="none"/>
              </w:rPr>
            </w:pPr>
          </w:p>
        </w:tc>
        <w:tc>
          <w:tcPr>
            <w:tcW w:w="1255" w:type="dxa"/>
            <w:tcBorders>
              <w:top w:val="nil"/>
              <w:left w:val="nil"/>
              <w:bottom w:val="nil"/>
              <w:right w:val="nil"/>
            </w:tcBorders>
            <w:shd w:val="clear" w:color="auto" w:fill="auto"/>
            <w:noWrap/>
            <w:tcMar>
              <w:top w:w="12" w:type="dxa"/>
              <w:left w:w="12" w:type="dxa"/>
              <w:right w:w="12" w:type="dxa"/>
            </w:tcMar>
            <w:vAlign w:val="bottom"/>
          </w:tcPr>
          <w:p w14:paraId="332AD380">
            <w:pPr>
              <w:rPr>
                <w:rFonts w:hint="default" w:ascii="Arial" w:hAnsi="Arial" w:cs="Arial"/>
                <w:i w:val="0"/>
                <w:color w:val="000000"/>
                <w:sz w:val="22"/>
                <w:szCs w:val="22"/>
                <w:u w:val="none"/>
              </w:rPr>
            </w:pPr>
          </w:p>
        </w:tc>
        <w:tc>
          <w:tcPr>
            <w:tcW w:w="1269" w:type="dxa"/>
            <w:tcBorders>
              <w:top w:val="nil"/>
              <w:left w:val="nil"/>
              <w:bottom w:val="nil"/>
              <w:right w:val="nil"/>
            </w:tcBorders>
            <w:shd w:val="clear" w:color="auto" w:fill="auto"/>
            <w:noWrap/>
            <w:tcMar>
              <w:top w:w="12" w:type="dxa"/>
              <w:left w:w="12" w:type="dxa"/>
              <w:right w:w="12" w:type="dxa"/>
            </w:tcMar>
            <w:vAlign w:val="bottom"/>
          </w:tcPr>
          <w:p w14:paraId="4F5637EE">
            <w:pPr>
              <w:rPr>
                <w:rFonts w:hint="default" w:ascii="Arial" w:hAnsi="Arial" w:cs="Arial"/>
                <w:i w:val="0"/>
                <w:color w:val="000000"/>
                <w:sz w:val="22"/>
                <w:szCs w:val="22"/>
                <w:u w:val="none"/>
              </w:rPr>
            </w:pPr>
          </w:p>
        </w:tc>
        <w:tc>
          <w:tcPr>
            <w:tcW w:w="1173" w:type="dxa"/>
            <w:tcBorders>
              <w:top w:val="nil"/>
              <w:left w:val="nil"/>
              <w:bottom w:val="nil"/>
              <w:right w:val="nil"/>
            </w:tcBorders>
            <w:shd w:val="clear" w:color="auto" w:fill="auto"/>
            <w:noWrap/>
            <w:tcMar>
              <w:top w:w="12" w:type="dxa"/>
              <w:left w:w="12" w:type="dxa"/>
              <w:right w:w="12" w:type="dxa"/>
            </w:tcMar>
            <w:vAlign w:val="bottom"/>
          </w:tcPr>
          <w:p w14:paraId="6B89D151">
            <w:pPr>
              <w:rPr>
                <w:rFonts w:hint="default" w:ascii="Arial" w:hAnsi="Arial" w:cs="Arial"/>
                <w:i w:val="0"/>
                <w:color w:val="000000"/>
                <w:sz w:val="22"/>
                <w:szCs w:val="22"/>
                <w:u w:val="none"/>
              </w:rPr>
            </w:pPr>
          </w:p>
        </w:tc>
        <w:tc>
          <w:tcPr>
            <w:tcW w:w="1638" w:type="dxa"/>
            <w:tcBorders>
              <w:top w:val="nil"/>
              <w:left w:val="nil"/>
              <w:bottom w:val="nil"/>
              <w:right w:val="nil"/>
            </w:tcBorders>
            <w:shd w:val="clear" w:color="auto" w:fill="auto"/>
            <w:noWrap/>
            <w:tcMar>
              <w:top w:w="12" w:type="dxa"/>
              <w:left w:w="12" w:type="dxa"/>
              <w:right w:w="12" w:type="dxa"/>
            </w:tcMar>
            <w:vAlign w:val="bottom"/>
          </w:tcPr>
          <w:p w14:paraId="42046F0F">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2841C256">
        <w:tblPrEx>
          <w:tblCellMar>
            <w:top w:w="0" w:type="dxa"/>
            <w:left w:w="0" w:type="dxa"/>
            <w:bottom w:w="0" w:type="dxa"/>
            <w:right w:w="0" w:type="dxa"/>
          </w:tblCellMar>
        </w:tblPrEx>
        <w:trPr>
          <w:trHeight w:val="100" w:hRule="atLeast"/>
        </w:trPr>
        <w:tc>
          <w:tcPr>
            <w:tcW w:w="0" w:type="auto"/>
            <w:gridSpan w:val="5"/>
            <w:tcBorders>
              <w:top w:val="nil"/>
              <w:left w:val="nil"/>
              <w:bottom w:val="nil"/>
              <w:right w:val="nil"/>
            </w:tcBorders>
            <w:shd w:val="clear" w:color="auto" w:fill="auto"/>
            <w:noWrap/>
            <w:tcMar>
              <w:top w:w="12" w:type="dxa"/>
              <w:left w:w="12" w:type="dxa"/>
              <w:right w:w="12" w:type="dxa"/>
            </w:tcMar>
            <w:vAlign w:val="bottom"/>
          </w:tcPr>
          <w:p w14:paraId="79BCE2BF">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部门：衡阳市人力资源和社会保障局</w:t>
            </w:r>
          </w:p>
        </w:tc>
        <w:tc>
          <w:tcPr>
            <w:tcW w:w="0" w:type="auto"/>
            <w:tcBorders>
              <w:top w:val="nil"/>
              <w:left w:val="nil"/>
              <w:bottom w:val="nil"/>
              <w:right w:val="nil"/>
            </w:tcBorders>
            <w:shd w:val="clear" w:color="auto" w:fill="auto"/>
            <w:noWrap/>
            <w:tcMar>
              <w:top w:w="12" w:type="dxa"/>
              <w:left w:w="12" w:type="dxa"/>
              <w:right w:w="12" w:type="dxa"/>
            </w:tcMar>
            <w:vAlign w:val="bottom"/>
          </w:tcPr>
          <w:p w14:paraId="096A0662">
            <w:pPr>
              <w:rPr>
                <w:rFonts w:hint="default" w:ascii="Arial" w:hAnsi="Arial" w:cs="Arial"/>
                <w:i w:val="0"/>
                <w:color w:val="000000"/>
                <w:sz w:val="22"/>
                <w:szCs w:val="22"/>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2F45E99C">
            <w:pPr>
              <w:rPr>
                <w:rFonts w:hint="default" w:ascii="Arial" w:hAnsi="Arial" w:cs="Arial"/>
                <w:i w:val="0"/>
                <w:color w:val="000000"/>
                <w:sz w:val="22"/>
                <w:szCs w:val="22"/>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5EE9283D">
            <w:pPr>
              <w:rPr>
                <w:rFonts w:hint="default" w:ascii="Arial" w:hAnsi="Arial" w:cs="Arial"/>
                <w:i w:val="0"/>
                <w:color w:val="000000"/>
                <w:sz w:val="22"/>
                <w:szCs w:val="22"/>
                <w:u w:val="none"/>
              </w:rPr>
            </w:pPr>
          </w:p>
        </w:tc>
        <w:tc>
          <w:tcPr>
            <w:tcW w:w="1269" w:type="dxa"/>
            <w:tcBorders>
              <w:top w:val="nil"/>
              <w:left w:val="nil"/>
              <w:bottom w:val="nil"/>
              <w:right w:val="nil"/>
            </w:tcBorders>
            <w:shd w:val="clear" w:color="auto" w:fill="auto"/>
            <w:noWrap/>
            <w:tcMar>
              <w:top w:w="12" w:type="dxa"/>
              <w:left w:w="12" w:type="dxa"/>
              <w:right w:w="12" w:type="dxa"/>
            </w:tcMar>
            <w:vAlign w:val="bottom"/>
          </w:tcPr>
          <w:p w14:paraId="6C82ADF6">
            <w:pPr>
              <w:rPr>
                <w:rFonts w:hint="default" w:ascii="Arial" w:hAnsi="Arial" w:cs="Arial"/>
                <w:i w:val="0"/>
                <w:color w:val="000000"/>
                <w:sz w:val="22"/>
                <w:szCs w:val="22"/>
                <w:u w:val="none"/>
              </w:rPr>
            </w:pPr>
          </w:p>
        </w:tc>
        <w:tc>
          <w:tcPr>
            <w:tcW w:w="1173" w:type="dxa"/>
            <w:tcBorders>
              <w:top w:val="nil"/>
              <w:left w:val="nil"/>
              <w:bottom w:val="nil"/>
              <w:right w:val="nil"/>
            </w:tcBorders>
            <w:shd w:val="clear" w:color="auto" w:fill="auto"/>
            <w:noWrap/>
            <w:tcMar>
              <w:top w:w="12" w:type="dxa"/>
              <w:left w:w="12" w:type="dxa"/>
              <w:right w:w="12" w:type="dxa"/>
            </w:tcMar>
            <w:vAlign w:val="bottom"/>
          </w:tcPr>
          <w:p w14:paraId="5E1AD7BE">
            <w:pPr>
              <w:rPr>
                <w:rFonts w:hint="default" w:ascii="Arial" w:hAnsi="Arial" w:cs="Arial"/>
                <w:i w:val="0"/>
                <w:color w:val="000000"/>
                <w:sz w:val="22"/>
                <w:szCs w:val="22"/>
                <w:u w:val="none"/>
              </w:rPr>
            </w:pPr>
          </w:p>
        </w:tc>
        <w:tc>
          <w:tcPr>
            <w:tcW w:w="1638" w:type="dxa"/>
            <w:tcBorders>
              <w:top w:val="nil"/>
              <w:left w:val="nil"/>
              <w:bottom w:val="nil"/>
              <w:right w:val="nil"/>
            </w:tcBorders>
            <w:shd w:val="clear" w:color="auto" w:fill="auto"/>
            <w:noWrap/>
            <w:tcMar>
              <w:top w:w="12" w:type="dxa"/>
              <w:left w:w="12" w:type="dxa"/>
              <w:right w:w="12" w:type="dxa"/>
            </w:tcMar>
            <w:vAlign w:val="bottom"/>
          </w:tcPr>
          <w:p w14:paraId="307E940C">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5AAE7EA8">
        <w:tblPrEx>
          <w:tblCellMar>
            <w:top w:w="0" w:type="dxa"/>
            <w:left w:w="0" w:type="dxa"/>
            <w:bottom w:w="0" w:type="dxa"/>
            <w:right w:w="0" w:type="dxa"/>
          </w:tblCellMar>
        </w:tblPrEx>
        <w:trPr>
          <w:trHeight w:val="103" w:hRule="atLeast"/>
        </w:trPr>
        <w:tc>
          <w:tcPr>
            <w:tcW w:w="46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338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77"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D63CB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269"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C3B15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311"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2C1B4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255"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7DE64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269"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63EDF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173"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2215D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638"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32A13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14:paraId="6D6B2C36">
        <w:tblPrEx>
          <w:tblCellMar>
            <w:top w:w="0" w:type="dxa"/>
            <w:left w:w="0" w:type="dxa"/>
            <w:bottom w:w="0" w:type="dxa"/>
            <w:right w:w="0" w:type="dxa"/>
          </w:tblCellMar>
        </w:tblPrEx>
        <w:trPr>
          <w:trHeight w:val="312" w:hRule="atLeast"/>
        </w:trPr>
        <w:tc>
          <w:tcPr>
            <w:tcW w:w="1103"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B7E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559" w:type="dxa"/>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2D504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7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3D748F4">
            <w:pPr>
              <w:jc w:val="center"/>
              <w:rPr>
                <w:rFonts w:hint="eastAsia" w:ascii="宋体" w:hAnsi="宋体" w:eastAsia="宋体" w:cs="宋体"/>
                <w:i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2BDEF0B">
            <w:pPr>
              <w:jc w:val="center"/>
              <w:rPr>
                <w:rFonts w:hint="eastAsia" w:ascii="宋体" w:hAnsi="宋体" w:eastAsia="宋体" w:cs="宋体"/>
                <w:i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204E895">
            <w:pPr>
              <w:jc w:val="center"/>
              <w:rPr>
                <w:rFonts w:hint="eastAsia" w:ascii="宋体" w:hAnsi="宋体" w:eastAsia="宋体" w:cs="宋体"/>
                <w:i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CD4172E">
            <w:pPr>
              <w:jc w:val="center"/>
              <w:rPr>
                <w:rFonts w:hint="eastAsia" w:ascii="宋体" w:hAnsi="宋体" w:eastAsia="宋体" w:cs="宋体"/>
                <w:i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BD7A42D">
            <w:pPr>
              <w:jc w:val="center"/>
              <w:rPr>
                <w:rFonts w:hint="eastAsia" w:ascii="宋体" w:hAnsi="宋体" w:eastAsia="宋体" w:cs="宋体"/>
                <w:i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8FC345C">
            <w:pPr>
              <w:jc w:val="center"/>
              <w:rPr>
                <w:rFonts w:hint="eastAsia" w:ascii="宋体" w:hAnsi="宋体" w:eastAsia="宋体" w:cs="宋体"/>
                <w:i w:val="0"/>
                <w:color w:val="000000"/>
                <w:sz w:val="22"/>
                <w:szCs w:val="22"/>
                <w:u w:val="none"/>
              </w:rPr>
            </w:pPr>
          </w:p>
        </w:tc>
        <w:tc>
          <w:tcPr>
            <w:tcW w:w="163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7ED163C">
            <w:pPr>
              <w:jc w:val="center"/>
              <w:rPr>
                <w:rFonts w:hint="eastAsia" w:ascii="宋体" w:hAnsi="宋体" w:eastAsia="宋体" w:cs="宋体"/>
                <w:i w:val="0"/>
                <w:color w:val="000000"/>
                <w:sz w:val="22"/>
                <w:szCs w:val="22"/>
                <w:u w:val="none"/>
              </w:rPr>
            </w:pPr>
          </w:p>
        </w:tc>
      </w:tr>
      <w:tr w14:paraId="2BA55725">
        <w:tblPrEx>
          <w:tblCellMar>
            <w:top w:w="0" w:type="dxa"/>
            <w:left w:w="0" w:type="dxa"/>
            <w:bottom w:w="0" w:type="dxa"/>
            <w:right w:w="0" w:type="dxa"/>
          </w:tblCellMar>
        </w:tblPrEx>
        <w:trPr>
          <w:trHeight w:val="312" w:hRule="atLeast"/>
        </w:trPr>
        <w:tc>
          <w:tcPr>
            <w:tcW w:w="1103"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DD3541">
            <w:pPr>
              <w:jc w:val="center"/>
              <w:rPr>
                <w:rFonts w:hint="eastAsia" w:ascii="宋体" w:hAnsi="宋体" w:eastAsia="宋体" w:cs="宋体"/>
                <w:i w:val="0"/>
                <w:color w:val="000000"/>
                <w:sz w:val="22"/>
                <w:szCs w:val="22"/>
                <w:u w:val="none"/>
              </w:rPr>
            </w:pPr>
          </w:p>
        </w:tc>
        <w:tc>
          <w:tcPr>
            <w:tcW w:w="3559"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C86C92">
            <w:pPr>
              <w:jc w:val="center"/>
              <w:rPr>
                <w:rFonts w:hint="eastAsia" w:ascii="宋体" w:hAnsi="宋体" w:eastAsia="宋体" w:cs="宋体"/>
                <w:i w:val="0"/>
                <w:color w:val="000000"/>
                <w:sz w:val="22"/>
                <w:szCs w:val="22"/>
                <w:u w:val="none"/>
              </w:rPr>
            </w:pPr>
          </w:p>
        </w:tc>
        <w:tc>
          <w:tcPr>
            <w:tcW w:w="147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EE59D52">
            <w:pPr>
              <w:jc w:val="center"/>
              <w:rPr>
                <w:rFonts w:hint="eastAsia" w:ascii="宋体" w:hAnsi="宋体" w:eastAsia="宋体" w:cs="宋体"/>
                <w:i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B1DB939">
            <w:pPr>
              <w:jc w:val="center"/>
              <w:rPr>
                <w:rFonts w:hint="eastAsia" w:ascii="宋体" w:hAnsi="宋体" w:eastAsia="宋体" w:cs="宋体"/>
                <w:i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A2CBF4C">
            <w:pPr>
              <w:jc w:val="center"/>
              <w:rPr>
                <w:rFonts w:hint="eastAsia" w:ascii="宋体" w:hAnsi="宋体" w:eastAsia="宋体" w:cs="宋体"/>
                <w:i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9F55913">
            <w:pPr>
              <w:jc w:val="center"/>
              <w:rPr>
                <w:rFonts w:hint="eastAsia" w:ascii="宋体" w:hAnsi="宋体" w:eastAsia="宋体" w:cs="宋体"/>
                <w:i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D488B5C">
            <w:pPr>
              <w:jc w:val="center"/>
              <w:rPr>
                <w:rFonts w:hint="eastAsia" w:ascii="宋体" w:hAnsi="宋体" w:eastAsia="宋体" w:cs="宋体"/>
                <w:i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E2028D1">
            <w:pPr>
              <w:jc w:val="center"/>
              <w:rPr>
                <w:rFonts w:hint="eastAsia" w:ascii="宋体" w:hAnsi="宋体" w:eastAsia="宋体" w:cs="宋体"/>
                <w:i w:val="0"/>
                <w:color w:val="000000"/>
                <w:sz w:val="22"/>
                <w:szCs w:val="22"/>
                <w:u w:val="none"/>
              </w:rPr>
            </w:pPr>
          </w:p>
        </w:tc>
        <w:tc>
          <w:tcPr>
            <w:tcW w:w="163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B26BA79">
            <w:pPr>
              <w:jc w:val="center"/>
              <w:rPr>
                <w:rFonts w:hint="eastAsia" w:ascii="宋体" w:hAnsi="宋体" w:eastAsia="宋体" w:cs="宋体"/>
                <w:i w:val="0"/>
                <w:color w:val="000000"/>
                <w:sz w:val="22"/>
                <w:szCs w:val="22"/>
                <w:u w:val="none"/>
              </w:rPr>
            </w:pPr>
          </w:p>
        </w:tc>
      </w:tr>
      <w:tr w14:paraId="12388BE9">
        <w:tblPrEx>
          <w:tblCellMar>
            <w:top w:w="0" w:type="dxa"/>
            <w:left w:w="0" w:type="dxa"/>
            <w:bottom w:w="0" w:type="dxa"/>
            <w:right w:w="0" w:type="dxa"/>
          </w:tblCellMar>
        </w:tblPrEx>
        <w:trPr>
          <w:trHeight w:val="312" w:hRule="atLeast"/>
        </w:trPr>
        <w:tc>
          <w:tcPr>
            <w:tcW w:w="1103"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D74C2">
            <w:pPr>
              <w:jc w:val="center"/>
              <w:rPr>
                <w:rFonts w:hint="eastAsia" w:ascii="宋体" w:hAnsi="宋体" w:eastAsia="宋体" w:cs="宋体"/>
                <w:i w:val="0"/>
                <w:color w:val="000000"/>
                <w:sz w:val="22"/>
                <w:szCs w:val="22"/>
                <w:u w:val="none"/>
              </w:rPr>
            </w:pPr>
          </w:p>
        </w:tc>
        <w:tc>
          <w:tcPr>
            <w:tcW w:w="3559"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BCB2910">
            <w:pPr>
              <w:jc w:val="center"/>
              <w:rPr>
                <w:rFonts w:hint="eastAsia" w:ascii="宋体" w:hAnsi="宋体" w:eastAsia="宋体" w:cs="宋体"/>
                <w:i w:val="0"/>
                <w:color w:val="000000"/>
                <w:sz w:val="22"/>
                <w:szCs w:val="22"/>
                <w:u w:val="none"/>
              </w:rPr>
            </w:pPr>
          </w:p>
        </w:tc>
        <w:tc>
          <w:tcPr>
            <w:tcW w:w="147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4660A54">
            <w:pPr>
              <w:jc w:val="center"/>
              <w:rPr>
                <w:rFonts w:hint="eastAsia" w:ascii="宋体" w:hAnsi="宋体" w:eastAsia="宋体" w:cs="宋体"/>
                <w:i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D091660">
            <w:pPr>
              <w:jc w:val="center"/>
              <w:rPr>
                <w:rFonts w:hint="eastAsia" w:ascii="宋体" w:hAnsi="宋体" w:eastAsia="宋体" w:cs="宋体"/>
                <w:i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6970421">
            <w:pPr>
              <w:jc w:val="center"/>
              <w:rPr>
                <w:rFonts w:hint="eastAsia" w:ascii="宋体" w:hAnsi="宋体" w:eastAsia="宋体" w:cs="宋体"/>
                <w:i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9DCE246">
            <w:pPr>
              <w:jc w:val="center"/>
              <w:rPr>
                <w:rFonts w:hint="eastAsia" w:ascii="宋体" w:hAnsi="宋体" w:eastAsia="宋体" w:cs="宋体"/>
                <w:i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6C50B0B">
            <w:pPr>
              <w:jc w:val="center"/>
              <w:rPr>
                <w:rFonts w:hint="eastAsia" w:ascii="宋体" w:hAnsi="宋体" w:eastAsia="宋体" w:cs="宋体"/>
                <w:i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191731F">
            <w:pPr>
              <w:jc w:val="center"/>
              <w:rPr>
                <w:rFonts w:hint="eastAsia" w:ascii="宋体" w:hAnsi="宋体" w:eastAsia="宋体" w:cs="宋体"/>
                <w:i w:val="0"/>
                <w:color w:val="000000"/>
                <w:sz w:val="22"/>
                <w:szCs w:val="22"/>
                <w:u w:val="none"/>
              </w:rPr>
            </w:pPr>
          </w:p>
        </w:tc>
        <w:tc>
          <w:tcPr>
            <w:tcW w:w="163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C4A81BB">
            <w:pPr>
              <w:jc w:val="center"/>
              <w:rPr>
                <w:rFonts w:hint="eastAsia" w:ascii="宋体" w:hAnsi="宋体" w:eastAsia="宋体" w:cs="宋体"/>
                <w:i w:val="0"/>
                <w:color w:val="000000"/>
                <w:sz w:val="22"/>
                <w:szCs w:val="22"/>
                <w:u w:val="none"/>
              </w:rPr>
            </w:pPr>
          </w:p>
        </w:tc>
      </w:tr>
      <w:tr w14:paraId="0B3449DF">
        <w:tblPrEx>
          <w:tblCellMar>
            <w:top w:w="0" w:type="dxa"/>
            <w:left w:w="0" w:type="dxa"/>
            <w:bottom w:w="0" w:type="dxa"/>
            <w:right w:w="0" w:type="dxa"/>
          </w:tblCellMar>
        </w:tblPrEx>
        <w:trPr>
          <w:trHeight w:val="103" w:hRule="atLeast"/>
        </w:trPr>
        <w:tc>
          <w:tcPr>
            <w:tcW w:w="4662" w:type="dxa"/>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01D9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1F916B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41A62B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6CDAB1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169C8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14FB60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152EF9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3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708417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78151584">
        <w:tblPrEx>
          <w:tblCellMar>
            <w:top w:w="0" w:type="dxa"/>
            <w:left w:w="0" w:type="dxa"/>
            <w:bottom w:w="0" w:type="dxa"/>
            <w:right w:w="0" w:type="dxa"/>
          </w:tblCellMar>
        </w:tblPrEx>
        <w:trPr>
          <w:trHeight w:val="103" w:hRule="atLeast"/>
        </w:trPr>
        <w:tc>
          <w:tcPr>
            <w:tcW w:w="4662" w:type="dxa"/>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27E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D74E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6,968.11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8491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5,859.36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C3106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B12C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EA6FF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B866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A132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1,072.55</w:t>
            </w:r>
          </w:p>
        </w:tc>
      </w:tr>
      <w:tr w14:paraId="64E356DF">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3EAB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90680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7A06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651.79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EE16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651.79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C4A0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C05E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C89A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5E8D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66F4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EB662DB">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6DF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3D74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人力资源事务</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E533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583.29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11F7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583.29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5352F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5EA2F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5A1C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738E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3C71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96A51DB">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749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2011002</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261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DE2D2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3BA31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958F6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DC1B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30F2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4207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EF2F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3050559">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0B0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2011008</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91ED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引进人才费用</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D1A8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E362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C900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AF44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A1E3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BCEC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5DD7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AD6A3B7">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01B8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2011050</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99F4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113F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24B5E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1E0D3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9FFA1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BAB4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D2A8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CCCC4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4FB150D">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52A1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2011099</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53C2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其他人力资源事务支出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C5EC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7195D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C44A3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9306B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671B2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D4B2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CF75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FA34B11">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F8C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9E28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3662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7EA7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7C6F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FB92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277E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AE4D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197B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502CD28">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C9D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2011105</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7086A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派驻派出机构</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22AF7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4F3DD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EDB6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568B2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6D714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AE6D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C064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D63640A">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FC7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D66F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A248E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B153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2CA6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C97F5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8CEE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A3BA7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9D10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BB4EFF8">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9B3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2013204</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BE977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公务员事务</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9DC7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5397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8575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422A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51433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C8AC5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198AC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646AD46">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094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ADE35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65A5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5,624.73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2DFF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4,557.98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DDF8F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96E2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CB571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5346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EFB00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1,030.55</w:t>
            </w:r>
          </w:p>
        </w:tc>
      </w:tr>
      <w:tr w14:paraId="1766C3B0">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F3C4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AF6E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9FAC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5,273.74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FA991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4,206.99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38ED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3C4CC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3674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7D74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EF348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1,030.55</w:t>
            </w:r>
          </w:p>
        </w:tc>
      </w:tr>
      <w:tr w14:paraId="487E006B">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CBF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2080101</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34220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1007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1,458.96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668C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1,458.96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0728D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BB7C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3986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4C76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6E93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117F373">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92A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2080102</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3DAEB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5FE1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6A90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F79B4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A578C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1C79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7527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517A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E0BF9CD">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5C99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2080105</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73AB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劳动保障监察</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A483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214.53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B119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214.53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2931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FC0D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5202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152FA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C8414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8A28C52">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B8A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2080108</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BC73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信息化建设</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F288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458A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5C92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51C6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2B55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F79D8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CBA5D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ED829D2">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1AF9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2080109</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8546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6226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1,734.60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9909B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1,578.64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56AE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200C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CF32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46A1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9394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119.76</w:t>
            </w:r>
          </w:p>
        </w:tc>
      </w:tr>
      <w:tr w14:paraId="5C885488">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B7C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2080110</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B4A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劳动关系和维权</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8DE0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F48F0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AA40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23A2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824B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4C25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0D5F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5611A2D">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462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2080111</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E9AC2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公共就业服务和职业技能鉴定机构</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13A88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80.36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1374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80.36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E0BC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DB8DD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F0FB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DF8A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AB1A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223D8AB">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B35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4398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其他人力资源和社会保障管理事务支出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45D8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1,200.79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17C2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5007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2CF6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F9C5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908B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0B2E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910.79</w:t>
            </w:r>
          </w:p>
        </w:tc>
      </w:tr>
      <w:tr w14:paraId="44E13480">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F5E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E53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41C7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66C4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36A32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62E78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82D3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B9E50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A6E9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20E68D0">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CF0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96D8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78D9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E6E6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2860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F1B1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A279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3B6F4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CB402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3047F1C">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F53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B92A8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903D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D3B3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76E5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14F9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E49BE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D07CA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3192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3F2A339">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A398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2080701</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6EF4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就业创业服务补贴</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C16BF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CDA0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FF92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19357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389A5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62F20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EC66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5E83AA3">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22C3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85F5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E473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F82E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45AD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08768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4DD47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8EF0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2EA0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r>
      <w:tr w14:paraId="40F70D8C">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8425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FC384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49877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ECE9A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A4C3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D68EF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35B3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6ADD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7674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00692BD">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F88A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3D3A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3F067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EE57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DDAC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03643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76608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8042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9D7C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88011EB">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CFB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1649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2631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39FA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C9D61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E65E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635ED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C23DE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1F3D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A41592B">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5DDD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25C0C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4AEC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2C68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32C4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B0B8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C979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3B21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72A6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9FE1355">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094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920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E93B3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85BB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071D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DCE00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9851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9CEC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7925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6DAA8B5">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9C55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56F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2AEA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018A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964D3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B81D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33AB0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D88B5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334B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r>
      <w:tr w14:paraId="619E1C11">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63D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9587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5052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A823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613D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7E38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9835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1C3FD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BC0E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r>
      <w:tr w14:paraId="740DA015">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52B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1128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8427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14830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4CBD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B7F8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BA98D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871B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2988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44BF3B3">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DB0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047B4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普惠金融发展支出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332EF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66F0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15D5B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CE8F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EB17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1F19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136A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7E6A5A6">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F39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2130804</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920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创业担保贷款贴息</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1FED0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A8CC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BC29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AA6B9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CBBB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DB41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E2D8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9AF7C70">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A2BA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792F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67D7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1847C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8742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51540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C3CF6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E515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29A8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EC91621">
        <w:tblPrEx>
          <w:shd w:val="clear" w:color="auto" w:fill="auto"/>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D38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1A75D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DEC8D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FC285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CBCDA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931F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4BA0E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7A0EF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A0B9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FCA3A2F">
        <w:tblPrEx>
          <w:tblCellMar>
            <w:top w:w="0" w:type="dxa"/>
            <w:left w:w="0" w:type="dxa"/>
            <w:bottom w:w="0" w:type="dxa"/>
            <w:right w:w="0" w:type="dxa"/>
          </w:tblCellMar>
        </w:tblPrEx>
        <w:trPr>
          <w:trHeight w:val="10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ADD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5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594E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47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4953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4B7E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906D4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BBF6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5310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851F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1D09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E63CE31">
        <w:tblPrEx>
          <w:tblCellMar>
            <w:top w:w="0" w:type="dxa"/>
            <w:left w:w="0" w:type="dxa"/>
            <w:bottom w:w="0" w:type="dxa"/>
            <w:right w:w="0" w:type="dxa"/>
          </w:tblCellMar>
        </w:tblPrEx>
        <w:trPr>
          <w:trHeight w:val="103" w:hRule="atLeast"/>
        </w:trPr>
        <w:tc>
          <w:tcPr>
            <w:tcW w:w="0" w:type="auto"/>
            <w:gridSpan w:val="11"/>
            <w:tcBorders>
              <w:top w:val="nil"/>
              <w:left w:val="nil"/>
              <w:bottom w:val="nil"/>
              <w:right w:val="nil"/>
            </w:tcBorders>
            <w:shd w:val="clear" w:color="auto" w:fill="auto"/>
            <w:noWrap/>
            <w:tcMar>
              <w:top w:w="12" w:type="dxa"/>
              <w:left w:w="12" w:type="dxa"/>
              <w:right w:w="12" w:type="dxa"/>
            </w:tcMar>
            <w:vAlign w:val="center"/>
          </w:tcPr>
          <w:p w14:paraId="6D5E4F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14:paraId="3372E193">
      <w:pPr>
        <w:widowControl/>
        <w:spacing w:line="560" w:lineRule="exact"/>
        <w:ind w:right="630"/>
        <w:jc w:val="both"/>
        <w:rPr>
          <w:color w:val="000000"/>
          <w:kern w:val="0"/>
          <w:sz w:val="21"/>
          <w:szCs w:val="21"/>
        </w:rPr>
      </w:pPr>
      <w:r>
        <w:rPr>
          <w:color w:val="000000"/>
          <w:kern w:val="0"/>
          <w:sz w:val="21"/>
          <w:szCs w:val="21"/>
        </w:rPr>
        <w:t xml:space="preserve">                                                                                                    </w:t>
      </w:r>
    </w:p>
    <w:p w14:paraId="3C475B21">
      <w:pPr>
        <w:widowControl/>
        <w:spacing w:line="560" w:lineRule="exact"/>
        <w:rPr>
          <w:rFonts w:eastAsia="方正小标宋_GBK"/>
          <w:color w:val="000000"/>
          <w:kern w:val="0"/>
          <w:sz w:val="36"/>
          <w:szCs w:val="36"/>
        </w:rPr>
      </w:pPr>
      <w:r>
        <w:rPr>
          <w:rFonts w:eastAsia="方正小标宋_GBK"/>
          <w:color w:val="000000"/>
          <w:kern w:val="0"/>
          <w:sz w:val="36"/>
          <w:szCs w:val="36"/>
        </w:rPr>
        <w:t xml:space="preserve"> </w:t>
      </w:r>
    </w:p>
    <w:p w14:paraId="4712765B">
      <w:pPr>
        <w:widowControl/>
        <w:spacing w:line="560" w:lineRule="exact"/>
        <w:rPr>
          <w:rFonts w:eastAsia="方正小标宋_GBK"/>
          <w:color w:val="000000"/>
          <w:kern w:val="0"/>
          <w:sz w:val="36"/>
          <w:szCs w:val="36"/>
        </w:rPr>
      </w:pPr>
    </w:p>
    <w:p w14:paraId="71047E78">
      <w:pPr>
        <w:widowControl/>
        <w:spacing w:line="560" w:lineRule="exact"/>
        <w:rPr>
          <w:rFonts w:eastAsia="方正小标宋_GBK"/>
          <w:color w:val="000000"/>
          <w:kern w:val="0"/>
          <w:sz w:val="36"/>
          <w:szCs w:val="36"/>
        </w:rPr>
      </w:pPr>
    </w:p>
    <w:p w14:paraId="183263B1">
      <w:pPr>
        <w:widowControl/>
        <w:spacing w:line="560" w:lineRule="exact"/>
        <w:rPr>
          <w:rFonts w:eastAsia="方正小标宋_GBK"/>
          <w:color w:val="000000"/>
          <w:kern w:val="0"/>
          <w:sz w:val="36"/>
          <w:szCs w:val="36"/>
        </w:rPr>
      </w:pPr>
    </w:p>
    <w:p w14:paraId="458F0281">
      <w:pPr>
        <w:widowControl/>
        <w:spacing w:line="560" w:lineRule="exact"/>
        <w:jc w:val="center"/>
        <w:rPr>
          <w:rFonts w:hint="eastAsia" w:ascii="黑体" w:hAnsi="黑体" w:eastAsia="黑体"/>
          <w:color w:val="000000"/>
          <w:kern w:val="0"/>
          <w:sz w:val="36"/>
          <w:szCs w:val="36"/>
        </w:rPr>
      </w:pPr>
    </w:p>
    <w:p w14:paraId="43D4BC83">
      <w:pPr>
        <w:widowControl/>
        <w:spacing w:line="560" w:lineRule="exact"/>
        <w:jc w:val="center"/>
        <w:rPr>
          <w:rFonts w:hint="eastAsia" w:ascii="黑体" w:hAnsi="黑体" w:eastAsia="黑体"/>
          <w:color w:val="000000"/>
          <w:kern w:val="0"/>
          <w:sz w:val="36"/>
          <w:szCs w:val="36"/>
        </w:rPr>
      </w:pPr>
    </w:p>
    <w:p w14:paraId="0882FF8A">
      <w:pPr>
        <w:widowControl/>
        <w:spacing w:line="560" w:lineRule="exact"/>
        <w:jc w:val="center"/>
        <w:rPr>
          <w:rFonts w:ascii="黑体" w:hAnsi="黑体" w:eastAsia="黑体"/>
          <w:color w:val="000000"/>
          <w:kern w:val="0"/>
          <w:sz w:val="36"/>
          <w:szCs w:val="36"/>
        </w:rPr>
      </w:pPr>
      <w:r>
        <w:rPr>
          <w:rFonts w:hint="eastAsia" w:ascii="黑体" w:hAnsi="黑体" w:eastAsia="黑体"/>
          <w:color w:val="000000"/>
          <w:kern w:val="0"/>
          <w:sz w:val="36"/>
          <w:szCs w:val="36"/>
        </w:rPr>
        <w:t xml:space="preserve"> </w:t>
      </w:r>
    </w:p>
    <w:p w14:paraId="1A778914">
      <w:pPr>
        <w:widowControl/>
        <w:spacing w:line="560" w:lineRule="exact"/>
        <w:jc w:val="center"/>
        <w:rPr>
          <w:rFonts w:hint="eastAsia" w:ascii="黑体" w:hAnsi="黑体" w:eastAsia="黑体"/>
          <w:color w:val="000000"/>
          <w:kern w:val="0"/>
          <w:sz w:val="36"/>
          <w:szCs w:val="36"/>
        </w:rPr>
      </w:pPr>
      <w:r>
        <w:rPr>
          <w:rFonts w:hint="eastAsia" w:ascii="黑体" w:hAnsi="黑体" w:eastAsia="黑体"/>
          <w:color w:val="000000"/>
          <w:kern w:val="0"/>
          <w:sz w:val="36"/>
          <w:szCs w:val="36"/>
        </w:rPr>
        <w:t>支出决算表</w:t>
      </w:r>
    </w:p>
    <w:tbl>
      <w:tblPr>
        <w:tblStyle w:val="5"/>
        <w:tblW w:w="13955" w:type="dxa"/>
        <w:tblInd w:w="0" w:type="dxa"/>
        <w:shd w:val="clear" w:color="auto" w:fill="auto"/>
        <w:tblLayout w:type="autofit"/>
        <w:tblCellMar>
          <w:top w:w="0" w:type="dxa"/>
          <w:left w:w="0" w:type="dxa"/>
          <w:bottom w:w="0" w:type="dxa"/>
          <w:right w:w="0" w:type="dxa"/>
        </w:tblCellMar>
      </w:tblPr>
      <w:tblGrid>
        <w:gridCol w:w="360"/>
        <w:gridCol w:w="360"/>
        <w:gridCol w:w="241"/>
        <w:gridCol w:w="3878"/>
        <w:gridCol w:w="1521"/>
        <w:gridCol w:w="1547"/>
        <w:gridCol w:w="1304"/>
        <w:gridCol w:w="1317"/>
        <w:gridCol w:w="1495"/>
        <w:gridCol w:w="1932"/>
      </w:tblGrid>
      <w:tr w14:paraId="49292B65">
        <w:tblPrEx>
          <w:tblCellMar>
            <w:top w:w="0" w:type="dxa"/>
            <w:left w:w="0" w:type="dxa"/>
            <w:bottom w:w="0" w:type="dxa"/>
            <w:right w:w="0" w:type="dxa"/>
          </w:tblCellMar>
        </w:tblPrEx>
        <w:trPr>
          <w:trHeight w:val="534" w:hRule="atLeast"/>
        </w:trPr>
        <w:tc>
          <w:tcPr>
            <w:tcW w:w="360" w:type="dxa"/>
            <w:tcBorders>
              <w:top w:val="nil"/>
              <w:left w:val="nil"/>
              <w:bottom w:val="nil"/>
              <w:right w:val="nil"/>
            </w:tcBorders>
            <w:shd w:val="clear" w:color="auto" w:fill="auto"/>
            <w:noWrap/>
            <w:tcMar>
              <w:top w:w="12" w:type="dxa"/>
              <w:left w:w="12" w:type="dxa"/>
              <w:right w:w="12" w:type="dxa"/>
            </w:tcMar>
            <w:vAlign w:val="bottom"/>
          </w:tcPr>
          <w:p w14:paraId="4DF9508B">
            <w:pPr>
              <w:rPr>
                <w:rFonts w:hint="eastAsia" w:ascii="Arial" w:hAnsi="Arial" w:cs="Arial"/>
                <w:i w:val="0"/>
                <w:color w:val="000000"/>
                <w:sz w:val="19"/>
                <w:szCs w:val="19"/>
                <w:u w:val="none"/>
              </w:rPr>
            </w:pPr>
          </w:p>
        </w:tc>
        <w:tc>
          <w:tcPr>
            <w:tcW w:w="360" w:type="dxa"/>
            <w:tcBorders>
              <w:top w:val="nil"/>
              <w:left w:val="nil"/>
              <w:bottom w:val="nil"/>
              <w:right w:val="nil"/>
            </w:tcBorders>
            <w:shd w:val="clear" w:color="auto" w:fill="auto"/>
            <w:noWrap/>
            <w:tcMar>
              <w:top w:w="12" w:type="dxa"/>
              <w:left w:w="12" w:type="dxa"/>
              <w:right w:w="12" w:type="dxa"/>
            </w:tcMar>
            <w:vAlign w:val="bottom"/>
          </w:tcPr>
          <w:p w14:paraId="7FBCFAAF">
            <w:pPr>
              <w:rPr>
                <w:rFonts w:hint="default" w:ascii="Arial" w:hAnsi="Arial" w:cs="Arial"/>
                <w:i w:val="0"/>
                <w:color w:val="000000"/>
                <w:sz w:val="19"/>
                <w:szCs w:val="19"/>
                <w:u w:val="none"/>
              </w:rPr>
            </w:pPr>
          </w:p>
        </w:tc>
        <w:tc>
          <w:tcPr>
            <w:tcW w:w="241" w:type="dxa"/>
            <w:tcBorders>
              <w:top w:val="nil"/>
              <w:left w:val="nil"/>
              <w:bottom w:val="nil"/>
              <w:right w:val="nil"/>
            </w:tcBorders>
            <w:shd w:val="clear" w:color="auto" w:fill="auto"/>
            <w:noWrap/>
            <w:tcMar>
              <w:top w:w="12" w:type="dxa"/>
              <w:left w:w="12" w:type="dxa"/>
              <w:right w:w="12" w:type="dxa"/>
            </w:tcMar>
            <w:vAlign w:val="bottom"/>
          </w:tcPr>
          <w:p w14:paraId="7B2A48E3">
            <w:pPr>
              <w:rPr>
                <w:rFonts w:hint="default" w:ascii="Arial" w:hAnsi="Arial" w:cs="Arial"/>
                <w:i w:val="0"/>
                <w:color w:val="000000"/>
                <w:sz w:val="19"/>
                <w:szCs w:val="19"/>
                <w:u w:val="none"/>
              </w:rPr>
            </w:pPr>
          </w:p>
        </w:tc>
        <w:tc>
          <w:tcPr>
            <w:tcW w:w="3878" w:type="dxa"/>
            <w:tcBorders>
              <w:top w:val="nil"/>
              <w:left w:val="nil"/>
              <w:bottom w:val="nil"/>
              <w:right w:val="nil"/>
            </w:tcBorders>
            <w:shd w:val="clear" w:color="auto" w:fill="auto"/>
            <w:noWrap/>
            <w:tcMar>
              <w:top w:w="12" w:type="dxa"/>
              <w:left w:w="12" w:type="dxa"/>
              <w:right w:w="12" w:type="dxa"/>
            </w:tcMar>
            <w:vAlign w:val="bottom"/>
          </w:tcPr>
          <w:p w14:paraId="66BE7475">
            <w:pPr>
              <w:rPr>
                <w:rFonts w:hint="default" w:ascii="Arial" w:hAnsi="Arial" w:cs="Arial"/>
                <w:i w:val="0"/>
                <w:color w:val="000000"/>
                <w:sz w:val="19"/>
                <w:szCs w:val="19"/>
                <w:u w:val="none"/>
              </w:rPr>
            </w:pPr>
          </w:p>
        </w:tc>
        <w:tc>
          <w:tcPr>
            <w:tcW w:w="1521" w:type="dxa"/>
            <w:tcBorders>
              <w:top w:val="nil"/>
              <w:left w:val="nil"/>
              <w:bottom w:val="nil"/>
              <w:right w:val="nil"/>
            </w:tcBorders>
            <w:shd w:val="clear" w:color="auto" w:fill="auto"/>
            <w:noWrap/>
            <w:tcMar>
              <w:top w:w="12" w:type="dxa"/>
              <w:left w:w="12" w:type="dxa"/>
              <w:right w:w="12" w:type="dxa"/>
            </w:tcMar>
            <w:vAlign w:val="bottom"/>
          </w:tcPr>
          <w:p w14:paraId="10F4CD83">
            <w:pPr>
              <w:rPr>
                <w:rFonts w:hint="default" w:ascii="Arial" w:hAnsi="Arial" w:cs="Arial"/>
                <w:i w:val="0"/>
                <w:color w:val="000000"/>
                <w:sz w:val="19"/>
                <w:szCs w:val="19"/>
                <w:u w:val="none"/>
              </w:rPr>
            </w:pPr>
          </w:p>
        </w:tc>
        <w:tc>
          <w:tcPr>
            <w:tcW w:w="1547" w:type="dxa"/>
            <w:tcBorders>
              <w:top w:val="nil"/>
              <w:left w:val="nil"/>
              <w:bottom w:val="nil"/>
              <w:right w:val="nil"/>
            </w:tcBorders>
            <w:shd w:val="clear" w:color="auto" w:fill="auto"/>
            <w:noWrap/>
            <w:tcMar>
              <w:top w:w="12" w:type="dxa"/>
              <w:left w:w="12" w:type="dxa"/>
              <w:right w:w="12" w:type="dxa"/>
            </w:tcMar>
            <w:vAlign w:val="bottom"/>
          </w:tcPr>
          <w:p w14:paraId="5E54E2B4">
            <w:pPr>
              <w:rPr>
                <w:rFonts w:hint="default" w:ascii="Arial" w:hAnsi="Arial" w:cs="Arial"/>
                <w:i w:val="0"/>
                <w:color w:val="000000"/>
                <w:sz w:val="19"/>
                <w:szCs w:val="19"/>
                <w:u w:val="none"/>
              </w:rPr>
            </w:pPr>
          </w:p>
        </w:tc>
        <w:tc>
          <w:tcPr>
            <w:tcW w:w="1304" w:type="dxa"/>
            <w:tcBorders>
              <w:top w:val="nil"/>
              <w:left w:val="nil"/>
              <w:bottom w:val="nil"/>
              <w:right w:val="nil"/>
            </w:tcBorders>
            <w:shd w:val="clear" w:color="auto" w:fill="auto"/>
            <w:noWrap/>
            <w:tcMar>
              <w:top w:w="12" w:type="dxa"/>
              <w:left w:w="12" w:type="dxa"/>
              <w:right w:w="12" w:type="dxa"/>
            </w:tcMar>
            <w:vAlign w:val="bottom"/>
          </w:tcPr>
          <w:p w14:paraId="28C4494E">
            <w:pPr>
              <w:rPr>
                <w:rFonts w:hint="default" w:ascii="Arial" w:hAnsi="Arial" w:cs="Arial"/>
                <w:i w:val="0"/>
                <w:color w:val="000000"/>
                <w:sz w:val="19"/>
                <w:szCs w:val="19"/>
                <w:u w:val="none"/>
              </w:rPr>
            </w:pPr>
          </w:p>
        </w:tc>
        <w:tc>
          <w:tcPr>
            <w:tcW w:w="1317" w:type="dxa"/>
            <w:tcBorders>
              <w:top w:val="nil"/>
              <w:left w:val="nil"/>
              <w:bottom w:val="nil"/>
              <w:right w:val="nil"/>
            </w:tcBorders>
            <w:shd w:val="clear" w:color="auto" w:fill="auto"/>
            <w:noWrap/>
            <w:tcMar>
              <w:top w:w="12" w:type="dxa"/>
              <w:left w:w="12" w:type="dxa"/>
              <w:right w:w="12" w:type="dxa"/>
            </w:tcMar>
            <w:vAlign w:val="bottom"/>
          </w:tcPr>
          <w:p w14:paraId="513E4A02">
            <w:pPr>
              <w:rPr>
                <w:rFonts w:hint="default" w:ascii="Arial" w:hAnsi="Arial" w:cs="Arial"/>
                <w:i w:val="0"/>
                <w:color w:val="000000"/>
                <w:sz w:val="19"/>
                <w:szCs w:val="19"/>
                <w:u w:val="none"/>
              </w:rPr>
            </w:pPr>
          </w:p>
        </w:tc>
        <w:tc>
          <w:tcPr>
            <w:tcW w:w="1495" w:type="dxa"/>
            <w:tcBorders>
              <w:top w:val="nil"/>
              <w:left w:val="nil"/>
              <w:bottom w:val="nil"/>
              <w:right w:val="nil"/>
            </w:tcBorders>
            <w:shd w:val="clear" w:color="auto" w:fill="auto"/>
            <w:noWrap/>
            <w:tcMar>
              <w:top w:w="12" w:type="dxa"/>
              <w:left w:w="12" w:type="dxa"/>
              <w:right w:w="12" w:type="dxa"/>
            </w:tcMar>
            <w:vAlign w:val="bottom"/>
          </w:tcPr>
          <w:p w14:paraId="728834B1">
            <w:pPr>
              <w:rPr>
                <w:rFonts w:hint="default" w:ascii="Arial" w:hAnsi="Arial" w:cs="Arial"/>
                <w:i w:val="0"/>
                <w:color w:val="000000"/>
                <w:sz w:val="19"/>
                <w:szCs w:val="19"/>
                <w:u w:val="none"/>
              </w:rPr>
            </w:pPr>
          </w:p>
        </w:tc>
        <w:tc>
          <w:tcPr>
            <w:tcW w:w="1932" w:type="dxa"/>
            <w:tcBorders>
              <w:top w:val="nil"/>
              <w:left w:val="nil"/>
              <w:bottom w:val="nil"/>
              <w:right w:val="nil"/>
            </w:tcBorders>
            <w:shd w:val="clear" w:color="auto" w:fill="auto"/>
            <w:noWrap/>
            <w:tcMar>
              <w:top w:w="12" w:type="dxa"/>
              <w:left w:w="12" w:type="dxa"/>
              <w:right w:w="12" w:type="dxa"/>
            </w:tcMar>
            <w:vAlign w:val="bottom"/>
          </w:tcPr>
          <w:p w14:paraId="65B0A8B8">
            <w:pPr>
              <w:keepNext w:val="0"/>
              <w:keepLines w:val="0"/>
              <w:widowControl/>
              <w:suppressLineNumbers w:val="0"/>
              <w:jc w:val="right"/>
              <w:textAlignment w:val="bottom"/>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公开03表</w:t>
            </w:r>
          </w:p>
        </w:tc>
      </w:tr>
      <w:tr w14:paraId="308D637E">
        <w:tblPrEx>
          <w:shd w:val="clear" w:color="auto" w:fill="auto"/>
          <w:tblCellMar>
            <w:top w:w="0" w:type="dxa"/>
            <w:left w:w="0" w:type="dxa"/>
            <w:bottom w:w="0" w:type="dxa"/>
            <w:right w:w="0" w:type="dxa"/>
          </w:tblCellMar>
        </w:tblPrEx>
        <w:trPr>
          <w:trHeight w:val="534" w:hRule="atLeast"/>
        </w:trPr>
        <w:tc>
          <w:tcPr>
            <w:tcW w:w="0" w:type="auto"/>
            <w:gridSpan w:val="5"/>
            <w:tcBorders>
              <w:top w:val="nil"/>
              <w:left w:val="nil"/>
              <w:bottom w:val="nil"/>
              <w:right w:val="nil"/>
            </w:tcBorders>
            <w:shd w:val="clear" w:color="auto" w:fill="auto"/>
            <w:noWrap/>
            <w:tcMar>
              <w:top w:w="12" w:type="dxa"/>
              <w:left w:w="12" w:type="dxa"/>
              <w:right w:w="12" w:type="dxa"/>
            </w:tcMar>
            <w:vAlign w:val="bottom"/>
          </w:tcPr>
          <w:p w14:paraId="4EAB6491">
            <w:pPr>
              <w:keepNext w:val="0"/>
              <w:keepLines w:val="0"/>
              <w:widowControl/>
              <w:suppressLineNumbers w:val="0"/>
              <w:jc w:val="left"/>
              <w:textAlignment w:val="bottom"/>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部门：衡阳市人力资源和社会保障局</w:t>
            </w:r>
          </w:p>
        </w:tc>
        <w:tc>
          <w:tcPr>
            <w:tcW w:w="0" w:type="auto"/>
            <w:tcBorders>
              <w:top w:val="nil"/>
              <w:left w:val="nil"/>
              <w:bottom w:val="nil"/>
              <w:right w:val="nil"/>
            </w:tcBorders>
            <w:shd w:val="clear" w:color="auto" w:fill="auto"/>
            <w:noWrap/>
            <w:tcMar>
              <w:top w:w="12" w:type="dxa"/>
              <w:left w:w="12" w:type="dxa"/>
              <w:right w:w="12" w:type="dxa"/>
            </w:tcMar>
            <w:vAlign w:val="bottom"/>
          </w:tcPr>
          <w:p w14:paraId="4BC8395D">
            <w:pPr>
              <w:rPr>
                <w:rFonts w:hint="default" w:ascii="Arial" w:hAnsi="Arial" w:cs="Arial"/>
                <w:i w:val="0"/>
                <w:color w:val="000000"/>
                <w:sz w:val="19"/>
                <w:szCs w:val="19"/>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1DC2B1DC">
            <w:pPr>
              <w:rPr>
                <w:rFonts w:hint="default" w:ascii="Arial" w:hAnsi="Arial" w:cs="Arial"/>
                <w:i w:val="0"/>
                <w:color w:val="000000"/>
                <w:sz w:val="19"/>
                <w:szCs w:val="19"/>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3B169C31">
            <w:pPr>
              <w:rPr>
                <w:rFonts w:hint="default" w:ascii="Arial" w:hAnsi="Arial" w:cs="Arial"/>
                <w:i w:val="0"/>
                <w:color w:val="000000"/>
                <w:sz w:val="19"/>
                <w:szCs w:val="19"/>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5C2481D1">
            <w:pPr>
              <w:rPr>
                <w:rFonts w:hint="default" w:ascii="Arial" w:hAnsi="Arial" w:cs="Arial"/>
                <w:i w:val="0"/>
                <w:color w:val="000000"/>
                <w:sz w:val="19"/>
                <w:szCs w:val="19"/>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466D599B">
            <w:pPr>
              <w:keepNext w:val="0"/>
              <w:keepLines w:val="0"/>
              <w:widowControl/>
              <w:suppressLineNumbers w:val="0"/>
              <w:jc w:val="right"/>
              <w:textAlignment w:val="bottom"/>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金额单位：万元</w:t>
            </w:r>
          </w:p>
        </w:tc>
      </w:tr>
      <w:tr w14:paraId="296B5277">
        <w:tblPrEx>
          <w:shd w:val="clear" w:color="auto" w:fill="auto"/>
          <w:tblCellMar>
            <w:top w:w="0" w:type="dxa"/>
            <w:left w:w="0" w:type="dxa"/>
            <w:bottom w:w="0" w:type="dxa"/>
            <w:right w:w="0" w:type="dxa"/>
          </w:tblCellMar>
        </w:tblPrEx>
        <w:trPr>
          <w:trHeight w:val="54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E529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项目</w:t>
            </w:r>
          </w:p>
        </w:tc>
        <w:tc>
          <w:tcPr>
            <w:tcW w:w="1521"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389160D">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本年支出合计</w:t>
            </w:r>
          </w:p>
        </w:tc>
        <w:tc>
          <w:tcPr>
            <w:tcW w:w="1547"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D776F8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基本支出</w:t>
            </w:r>
          </w:p>
        </w:tc>
        <w:tc>
          <w:tcPr>
            <w:tcW w:w="1304"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DF343C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项目支出</w:t>
            </w:r>
          </w:p>
        </w:tc>
        <w:tc>
          <w:tcPr>
            <w:tcW w:w="1317"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29107AC">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上缴上级支出</w:t>
            </w:r>
          </w:p>
        </w:tc>
        <w:tc>
          <w:tcPr>
            <w:tcW w:w="1495"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7716651">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经营支出</w:t>
            </w:r>
          </w:p>
        </w:tc>
        <w:tc>
          <w:tcPr>
            <w:tcW w:w="1932"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EB86C6B">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对附属单位补助支出</w:t>
            </w:r>
          </w:p>
        </w:tc>
      </w:tr>
      <w:tr w14:paraId="0E6462D9">
        <w:tblPrEx>
          <w:shd w:val="clear" w:color="auto" w:fill="auto"/>
          <w:tblCellMar>
            <w:top w:w="0" w:type="dxa"/>
            <w:left w:w="0" w:type="dxa"/>
            <w:bottom w:w="0" w:type="dxa"/>
            <w:right w:w="0" w:type="dxa"/>
          </w:tblCellMar>
        </w:tblPrEx>
        <w:trPr>
          <w:trHeight w:val="388" w:hRule="atLeast"/>
        </w:trPr>
        <w:tc>
          <w:tcPr>
            <w:tcW w:w="961"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454C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3337D5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科目名称</w:t>
            </w:r>
          </w:p>
        </w:tc>
        <w:tc>
          <w:tcPr>
            <w:tcW w:w="152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5DDB584">
            <w:pPr>
              <w:jc w:val="center"/>
              <w:rPr>
                <w:rFonts w:hint="eastAsia" w:ascii="宋体" w:hAnsi="宋体" w:eastAsia="宋体" w:cs="宋体"/>
                <w:i w:val="0"/>
                <w:color w:val="000000"/>
                <w:sz w:val="19"/>
                <w:szCs w:val="19"/>
                <w:u w:val="none"/>
              </w:rPr>
            </w:pPr>
          </w:p>
        </w:tc>
        <w:tc>
          <w:tcPr>
            <w:tcW w:w="154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BAE44B8">
            <w:pPr>
              <w:jc w:val="center"/>
              <w:rPr>
                <w:rFonts w:hint="eastAsia" w:ascii="宋体" w:hAnsi="宋体" w:eastAsia="宋体" w:cs="宋体"/>
                <w:i w:val="0"/>
                <w:color w:val="000000"/>
                <w:sz w:val="19"/>
                <w:szCs w:val="19"/>
                <w:u w:val="none"/>
              </w:rPr>
            </w:pPr>
          </w:p>
        </w:tc>
        <w:tc>
          <w:tcPr>
            <w:tcW w:w="130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9AB857A">
            <w:pPr>
              <w:jc w:val="center"/>
              <w:rPr>
                <w:rFonts w:hint="eastAsia" w:ascii="宋体" w:hAnsi="宋体" w:eastAsia="宋体" w:cs="宋体"/>
                <w:i w:val="0"/>
                <w:color w:val="000000"/>
                <w:sz w:val="19"/>
                <w:szCs w:val="19"/>
                <w:u w:val="none"/>
              </w:rPr>
            </w:pPr>
          </w:p>
        </w:tc>
        <w:tc>
          <w:tcPr>
            <w:tcW w:w="131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B94DB2F">
            <w:pPr>
              <w:jc w:val="center"/>
              <w:rPr>
                <w:rFonts w:hint="eastAsia" w:ascii="宋体" w:hAnsi="宋体" w:eastAsia="宋体" w:cs="宋体"/>
                <w:i w:val="0"/>
                <w:color w:val="000000"/>
                <w:sz w:val="19"/>
                <w:szCs w:val="19"/>
                <w:u w:val="none"/>
              </w:rPr>
            </w:pPr>
          </w:p>
        </w:tc>
        <w:tc>
          <w:tcPr>
            <w:tcW w:w="149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A08834F">
            <w:pPr>
              <w:jc w:val="center"/>
              <w:rPr>
                <w:rFonts w:hint="eastAsia" w:ascii="宋体" w:hAnsi="宋体" w:eastAsia="宋体" w:cs="宋体"/>
                <w:i w:val="0"/>
                <w:color w:val="000000"/>
                <w:sz w:val="19"/>
                <w:szCs w:val="19"/>
                <w:u w:val="none"/>
              </w:rPr>
            </w:pPr>
          </w:p>
        </w:tc>
        <w:tc>
          <w:tcPr>
            <w:tcW w:w="1932"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FCBE293">
            <w:pPr>
              <w:jc w:val="center"/>
              <w:rPr>
                <w:rFonts w:hint="eastAsia" w:ascii="宋体" w:hAnsi="宋体" w:eastAsia="宋体" w:cs="宋体"/>
                <w:i w:val="0"/>
                <w:color w:val="000000"/>
                <w:sz w:val="19"/>
                <w:szCs w:val="19"/>
                <w:u w:val="none"/>
              </w:rPr>
            </w:pPr>
          </w:p>
        </w:tc>
      </w:tr>
      <w:tr w14:paraId="3478CFB1">
        <w:tblPrEx>
          <w:shd w:val="clear" w:color="auto" w:fill="auto"/>
          <w:tblCellMar>
            <w:top w:w="0" w:type="dxa"/>
            <w:left w:w="0" w:type="dxa"/>
            <w:bottom w:w="0" w:type="dxa"/>
            <w:right w:w="0" w:type="dxa"/>
          </w:tblCellMar>
        </w:tblPrEx>
        <w:trPr>
          <w:trHeight w:val="388" w:hRule="atLeast"/>
        </w:trPr>
        <w:tc>
          <w:tcPr>
            <w:tcW w:w="961"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5DC37">
            <w:pPr>
              <w:jc w:val="center"/>
              <w:rPr>
                <w:rFonts w:hint="eastAsia" w:ascii="宋体" w:hAnsi="宋体" w:eastAsia="宋体" w:cs="宋体"/>
                <w:i w:val="0"/>
                <w:color w:val="000000"/>
                <w:sz w:val="19"/>
                <w:szCs w:val="19"/>
                <w:u w:val="none"/>
              </w:rPr>
            </w:pPr>
          </w:p>
        </w:tc>
        <w:tc>
          <w:tcPr>
            <w:tcW w:w="0" w:type="auto"/>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276A145">
            <w:pPr>
              <w:jc w:val="center"/>
              <w:rPr>
                <w:rFonts w:hint="eastAsia" w:ascii="宋体" w:hAnsi="宋体" w:eastAsia="宋体" w:cs="宋体"/>
                <w:i w:val="0"/>
                <w:color w:val="000000"/>
                <w:sz w:val="19"/>
                <w:szCs w:val="19"/>
                <w:u w:val="none"/>
              </w:rPr>
            </w:pPr>
          </w:p>
        </w:tc>
        <w:tc>
          <w:tcPr>
            <w:tcW w:w="152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328E832">
            <w:pPr>
              <w:jc w:val="center"/>
              <w:rPr>
                <w:rFonts w:hint="eastAsia" w:ascii="宋体" w:hAnsi="宋体" w:eastAsia="宋体" w:cs="宋体"/>
                <w:i w:val="0"/>
                <w:color w:val="000000"/>
                <w:sz w:val="19"/>
                <w:szCs w:val="19"/>
                <w:u w:val="none"/>
              </w:rPr>
            </w:pPr>
          </w:p>
        </w:tc>
        <w:tc>
          <w:tcPr>
            <w:tcW w:w="154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20BB5D7">
            <w:pPr>
              <w:jc w:val="center"/>
              <w:rPr>
                <w:rFonts w:hint="eastAsia" w:ascii="宋体" w:hAnsi="宋体" w:eastAsia="宋体" w:cs="宋体"/>
                <w:i w:val="0"/>
                <w:color w:val="000000"/>
                <w:sz w:val="19"/>
                <w:szCs w:val="19"/>
                <w:u w:val="none"/>
              </w:rPr>
            </w:pPr>
          </w:p>
        </w:tc>
        <w:tc>
          <w:tcPr>
            <w:tcW w:w="130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F1E77A0">
            <w:pPr>
              <w:jc w:val="center"/>
              <w:rPr>
                <w:rFonts w:hint="eastAsia" w:ascii="宋体" w:hAnsi="宋体" w:eastAsia="宋体" w:cs="宋体"/>
                <w:i w:val="0"/>
                <w:color w:val="000000"/>
                <w:sz w:val="19"/>
                <w:szCs w:val="19"/>
                <w:u w:val="none"/>
              </w:rPr>
            </w:pPr>
          </w:p>
        </w:tc>
        <w:tc>
          <w:tcPr>
            <w:tcW w:w="131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A6B524E">
            <w:pPr>
              <w:jc w:val="center"/>
              <w:rPr>
                <w:rFonts w:hint="eastAsia" w:ascii="宋体" w:hAnsi="宋体" w:eastAsia="宋体" w:cs="宋体"/>
                <w:i w:val="0"/>
                <w:color w:val="000000"/>
                <w:sz w:val="19"/>
                <w:szCs w:val="19"/>
                <w:u w:val="none"/>
              </w:rPr>
            </w:pPr>
          </w:p>
        </w:tc>
        <w:tc>
          <w:tcPr>
            <w:tcW w:w="149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B271507">
            <w:pPr>
              <w:jc w:val="center"/>
              <w:rPr>
                <w:rFonts w:hint="eastAsia" w:ascii="宋体" w:hAnsi="宋体" w:eastAsia="宋体" w:cs="宋体"/>
                <w:i w:val="0"/>
                <w:color w:val="000000"/>
                <w:sz w:val="19"/>
                <w:szCs w:val="19"/>
                <w:u w:val="none"/>
              </w:rPr>
            </w:pPr>
          </w:p>
        </w:tc>
        <w:tc>
          <w:tcPr>
            <w:tcW w:w="1932"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55BA3D6">
            <w:pPr>
              <w:jc w:val="center"/>
              <w:rPr>
                <w:rFonts w:hint="eastAsia" w:ascii="宋体" w:hAnsi="宋体" w:eastAsia="宋体" w:cs="宋体"/>
                <w:i w:val="0"/>
                <w:color w:val="000000"/>
                <w:sz w:val="19"/>
                <w:szCs w:val="19"/>
                <w:u w:val="none"/>
              </w:rPr>
            </w:pPr>
          </w:p>
        </w:tc>
      </w:tr>
      <w:tr w14:paraId="463E1126">
        <w:tblPrEx>
          <w:tblCellMar>
            <w:top w:w="0" w:type="dxa"/>
            <w:left w:w="0" w:type="dxa"/>
            <w:bottom w:w="0" w:type="dxa"/>
            <w:right w:w="0" w:type="dxa"/>
          </w:tblCellMar>
        </w:tblPrEx>
        <w:trPr>
          <w:trHeight w:val="388" w:hRule="atLeast"/>
        </w:trPr>
        <w:tc>
          <w:tcPr>
            <w:tcW w:w="961"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983A8">
            <w:pPr>
              <w:jc w:val="center"/>
              <w:rPr>
                <w:rFonts w:hint="eastAsia" w:ascii="宋体" w:hAnsi="宋体" w:eastAsia="宋体" w:cs="宋体"/>
                <w:i w:val="0"/>
                <w:color w:val="000000"/>
                <w:sz w:val="19"/>
                <w:szCs w:val="19"/>
                <w:u w:val="none"/>
              </w:rPr>
            </w:pPr>
          </w:p>
        </w:tc>
        <w:tc>
          <w:tcPr>
            <w:tcW w:w="0" w:type="auto"/>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F8B9FA">
            <w:pPr>
              <w:jc w:val="center"/>
              <w:rPr>
                <w:rFonts w:hint="eastAsia" w:ascii="宋体" w:hAnsi="宋体" w:eastAsia="宋体" w:cs="宋体"/>
                <w:i w:val="0"/>
                <w:color w:val="000000"/>
                <w:sz w:val="19"/>
                <w:szCs w:val="19"/>
                <w:u w:val="none"/>
              </w:rPr>
            </w:pPr>
          </w:p>
        </w:tc>
        <w:tc>
          <w:tcPr>
            <w:tcW w:w="152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89BE3BC">
            <w:pPr>
              <w:jc w:val="center"/>
              <w:rPr>
                <w:rFonts w:hint="eastAsia" w:ascii="宋体" w:hAnsi="宋体" w:eastAsia="宋体" w:cs="宋体"/>
                <w:i w:val="0"/>
                <w:color w:val="000000"/>
                <w:sz w:val="19"/>
                <w:szCs w:val="19"/>
                <w:u w:val="none"/>
              </w:rPr>
            </w:pPr>
          </w:p>
        </w:tc>
        <w:tc>
          <w:tcPr>
            <w:tcW w:w="154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7B5FCEE">
            <w:pPr>
              <w:jc w:val="center"/>
              <w:rPr>
                <w:rFonts w:hint="eastAsia" w:ascii="宋体" w:hAnsi="宋体" w:eastAsia="宋体" w:cs="宋体"/>
                <w:i w:val="0"/>
                <w:color w:val="000000"/>
                <w:sz w:val="19"/>
                <w:szCs w:val="19"/>
                <w:u w:val="none"/>
              </w:rPr>
            </w:pPr>
          </w:p>
        </w:tc>
        <w:tc>
          <w:tcPr>
            <w:tcW w:w="130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F1B64D4">
            <w:pPr>
              <w:jc w:val="center"/>
              <w:rPr>
                <w:rFonts w:hint="eastAsia" w:ascii="宋体" w:hAnsi="宋体" w:eastAsia="宋体" w:cs="宋体"/>
                <w:i w:val="0"/>
                <w:color w:val="000000"/>
                <w:sz w:val="19"/>
                <w:szCs w:val="19"/>
                <w:u w:val="none"/>
              </w:rPr>
            </w:pPr>
          </w:p>
        </w:tc>
        <w:tc>
          <w:tcPr>
            <w:tcW w:w="131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ACADFDA">
            <w:pPr>
              <w:jc w:val="center"/>
              <w:rPr>
                <w:rFonts w:hint="eastAsia" w:ascii="宋体" w:hAnsi="宋体" w:eastAsia="宋体" w:cs="宋体"/>
                <w:i w:val="0"/>
                <w:color w:val="000000"/>
                <w:sz w:val="19"/>
                <w:szCs w:val="19"/>
                <w:u w:val="none"/>
              </w:rPr>
            </w:pPr>
          </w:p>
        </w:tc>
        <w:tc>
          <w:tcPr>
            <w:tcW w:w="149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3FAA536">
            <w:pPr>
              <w:jc w:val="center"/>
              <w:rPr>
                <w:rFonts w:hint="eastAsia" w:ascii="宋体" w:hAnsi="宋体" w:eastAsia="宋体" w:cs="宋体"/>
                <w:i w:val="0"/>
                <w:color w:val="000000"/>
                <w:sz w:val="19"/>
                <w:szCs w:val="19"/>
                <w:u w:val="none"/>
              </w:rPr>
            </w:pPr>
          </w:p>
        </w:tc>
        <w:tc>
          <w:tcPr>
            <w:tcW w:w="1932"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F2DF9C9">
            <w:pPr>
              <w:jc w:val="center"/>
              <w:rPr>
                <w:rFonts w:hint="eastAsia" w:ascii="宋体" w:hAnsi="宋体" w:eastAsia="宋体" w:cs="宋体"/>
                <w:i w:val="0"/>
                <w:color w:val="000000"/>
                <w:sz w:val="19"/>
                <w:szCs w:val="19"/>
                <w:u w:val="none"/>
              </w:rPr>
            </w:pPr>
          </w:p>
        </w:tc>
      </w:tr>
      <w:tr w14:paraId="599D27A6">
        <w:tblPrEx>
          <w:tblCellMar>
            <w:top w:w="0" w:type="dxa"/>
            <w:left w:w="0" w:type="dxa"/>
            <w:bottom w:w="0" w:type="dxa"/>
            <w:right w:w="0" w:type="dxa"/>
          </w:tblCellMar>
        </w:tblPrEx>
        <w:trPr>
          <w:trHeight w:val="546"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2145F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栏次</w:t>
            </w:r>
          </w:p>
        </w:tc>
        <w:tc>
          <w:tcPr>
            <w:tcW w:w="152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5DDCF47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154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2AC7890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w:t>
            </w:r>
          </w:p>
        </w:tc>
        <w:tc>
          <w:tcPr>
            <w:tcW w:w="130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3237BA4C">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w:t>
            </w:r>
          </w:p>
        </w:tc>
        <w:tc>
          <w:tcPr>
            <w:tcW w:w="131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21A1CEFD">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w:t>
            </w:r>
          </w:p>
        </w:tc>
        <w:tc>
          <w:tcPr>
            <w:tcW w:w="149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76DDEC9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w:t>
            </w:r>
          </w:p>
        </w:tc>
        <w:tc>
          <w:tcPr>
            <w:tcW w:w="193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5CCFF9B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6</w:t>
            </w:r>
          </w:p>
        </w:tc>
      </w:tr>
      <w:tr w14:paraId="09682301">
        <w:tblPrEx>
          <w:shd w:val="clear" w:color="auto" w:fill="auto"/>
          <w:tblCellMar>
            <w:top w:w="0" w:type="dxa"/>
            <w:left w:w="0" w:type="dxa"/>
            <w:bottom w:w="0" w:type="dxa"/>
            <w:right w:w="0" w:type="dxa"/>
          </w:tblCellMar>
        </w:tblPrEx>
        <w:trPr>
          <w:trHeight w:val="546"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42C5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038E0F">
            <w:pPr>
              <w:keepNext w:val="0"/>
              <w:keepLines w:val="0"/>
              <w:widowControl/>
              <w:suppressLineNumbers w:val="0"/>
              <w:jc w:val="right"/>
              <w:textAlignment w:val="center"/>
              <w:rPr>
                <w:rFonts w:hint="eastAsia" w:ascii="宋体" w:hAnsi="宋体" w:eastAsia="宋体" w:cs="宋体"/>
                <w:b/>
                <w:i w:val="0"/>
                <w:color w:val="000000"/>
                <w:sz w:val="19"/>
                <w:szCs w:val="19"/>
                <w:u w:val="none"/>
              </w:rPr>
            </w:pPr>
            <w:r>
              <w:rPr>
                <w:rFonts w:hint="eastAsia" w:ascii="宋体" w:hAnsi="宋体" w:eastAsia="宋体" w:cs="宋体"/>
                <w:b/>
                <w:i w:val="0"/>
                <w:color w:val="000000"/>
                <w:kern w:val="0"/>
                <w:sz w:val="19"/>
                <w:szCs w:val="19"/>
                <w:u w:val="none"/>
                <w:lang w:val="en-US" w:eastAsia="zh-CN" w:bidi="ar"/>
              </w:rPr>
              <w:t>7,257.05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5D0EFF">
            <w:pPr>
              <w:keepNext w:val="0"/>
              <w:keepLines w:val="0"/>
              <w:widowControl/>
              <w:suppressLineNumbers w:val="0"/>
              <w:jc w:val="right"/>
              <w:textAlignment w:val="center"/>
              <w:rPr>
                <w:rFonts w:hint="eastAsia" w:ascii="宋体" w:hAnsi="宋体" w:eastAsia="宋体" w:cs="宋体"/>
                <w:b/>
                <w:i w:val="0"/>
                <w:color w:val="000000"/>
                <w:sz w:val="19"/>
                <w:szCs w:val="19"/>
                <w:u w:val="none"/>
              </w:rPr>
            </w:pPr>
            <w:r>
              <w:rPr>
                <w:rFonts w:hint="eastAsia" w:ascii="宋体" w:hAnsi="宋体" w:eastAsia="宋体" w:cs="宋体"/>
                <w:b/>
                <w:i w:val="0"/>
                <w:color w:val="000000"/>
                <w:kern w:val="0"/>
                <w:sz w:val="19"/>
                <w:szCs w:val="19"/>
                <w:u w:val="none"/>
                <w:lang w:val="en-US" w:eastAsia="zh-CN" w:bidi="ar"/>
              </w:rPr>
              <w:t>6,257.61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5A2D24E">
            <w:pPr>
              <w:keepNext w:val="0"/>
              <w:keepLines w:val="0"/>
              <w:widowControl/>
              <w:suppressLineNumbers w:val="0"/>
              <w:jc w:val="right"/>
              <w:textAlignment w:val="center"/>
              <w:rPr>
                <w:rFonts w:hint="eastAsia" w:ascii="宋体" w:hAnsi="宋体" w:eastAsia="宋体" w:cs="宋体"/>
                <w:b/>
                <w:i w:val="0"/>
                <w:color w:val="000000"/>
                <w:sz w:val="19"/>
                <w:szCs w:val="19"/>
                <w:u w:val="none"/>
              </w:rPr>
            </w:pPr>
            <w:r>
              <w:rPr>
                <w:rFonts w:hint="eastAsia" w:ascii="宋体" w:hAnsi="宋体" w:eastAsia="宋体" w:cs="宋体"/>
                <w:b/>
                <w:i w:val="0"/>
                <w:color w:val="000000"/>
                <w:kern w:val="0"/>
                <w:sz w:val="19"/>
                <w:szCs w:val="19"/>
                <w:u w:val="none"/>
                <w:lang w:val="en-US" w:eastAsia="zh-CN" w:bidi="ar"/>
              </w:rPr>
              <w:t>999.44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F58660">
            <w:pPr>
              <w:keepNext w:val="0"/>
              <w:keepLines w:val="0"/>
              <w:widowControl/>
              <w:suppressLineNumbers w:val="0"/>
              <w:jc w:val="right"/>
              <w:textAlignment w:val="center"/>
              <w:rPr>
                <w:rFonts w:hint="eastAsia" w:ascii="宋体" w:hAnsi="宋体" w:eastAsia="宋体" w:cs="宋体"/>
                <w:b/>
                <w:i w:val="0"/>
                <w:color w:val="000000"/>
                <w:sz w:val="19"/>
                <w:szCs w:val="19"/>
                <w:u w:val="none"/>
              </w:rPr>
            </w:pPr>
            <w:r>
              <w:rPr>
                <w:rFonts w:hint="eastAsia" w:ascii="宋体" w:hAnsi="宋体" w:eastAsia="宋体" w:cs="宋体"/>
                <w:b/>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FCFD737">
            <w:pPr>
              <w:keepNext w:val="0"/>
              <w:keepLines w:val="0"/>
              <w:widowControl/>
              <w:suppressLineNumbers w:val="0"/>
              <w:jc w:val="right"/>
              <w:textAlignment w:val="center"/>
              <w:rPr>
                <w:rFonts w:hint="eastAsia" w:ascii="宋体" w:hAnsi="宋体" w:eastAsia="宋体" w:cs="宋体"/>
                <w:b/>
                <w:i w:val="0"/>
                <w:color w:val="000000"/>
                <w:sz w:val="19"/>
                <w:szCs w:val="19"/>
                <w:u w:val="none"/>
              </w:rPr>
            </w:pPr>
            <w:r>
              <w:rPr>
                <w:rFonts w:hint="eastAsia" w:ascii="宋体" w:hAnsi="宋体" w:eastAsia="宋体" w:cs="宋体"/>
                <w:b/>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3439E8A">
            <w:pPr>
              <w:keepNext w:val="0"/>
              <w:keepLines w:val="0"/>
              <w:widowControl/>
              <w:suppressLineNumbers w:val="0"/>
              <w:jc w:val="right"/>
              <w:textAlignment w:val="center"/>
              <w:rPr>
                <w:rFonts w:hint="eastAsia" w:ascii="宋体" w:hAnsi="宋体" w:eastAsia="宋体" w:cs="宋体"/>
                <w:b/>
                <w:i w:val="0"/>
                <w:color w:val="000000"/>
                <w:sz w:val="19"/>
                <w:szCs w:val="19"/>
                <w:u w:val="none"/>
              </w:rPr>
            </w:pPr>
            <w:r>
              <w:rPr>
                <w:rFonts w:hint="eastAsia" w:ascii="宋体" w:hAnsi="宋体" w:eastAsia="宋体" w:cs="宋体"/>
                <w:b/>
                <w:i w:val="0"/>
                <w:color w:val="000000"/>
                <w:kern w:val="0"/>
                <w:sz w:val="19"/>
                <w:szCs w:val="19"/>
                <w:u w:val="none"/>
                <w:lang w:val="en-US" w:eastAsia="zh-CN" w:bidi="ar"/>
              </w:rPr>
              <w:t>0.00</w:t>
            </w:r>
          </w:p>
        </w:tc>
      </w:tr>
      <w:tr w14:paraId="06E7E274">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BEB3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25D7C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FB3131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638.25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6D087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362.32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24E74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275.93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F2E7B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3B292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BBFD1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21FAABD0">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0DC1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20110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3BDF9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人力资源事务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19420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569.75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FD275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362.32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184906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207.43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6F63EE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494A3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768486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096B1AE7">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E89E3">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2011002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0163D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8C0A7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124.30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24B5B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31C39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124.30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4B9C8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3B37C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C419B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6144C7DB">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6946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2011008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129D00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引进人才费用</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600D33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2522A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2E534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2A8A9A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8EB32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B5436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05D744F3">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BB37D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2011050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BFA8D7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196D1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362.32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C9262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362.32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1F2D30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16B52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F7BCE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2195A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36396DEF">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6AABA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2011099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60F3F4">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其他人力资源事务支出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21891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73.13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6CA17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056E82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73.13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FCB54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71137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D4248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60772777">
        <w:tblPrEx>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059FD3">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40479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C14FF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543E5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94D97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658BA3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D3022A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4FD280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166D3D0F">
        <w:tblPrEx>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614A53">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2011105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FD5C03">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派驻派出机构</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5AC51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DB6A58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DE4E1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414CE8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34F397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2FD53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54B728F2">
        <w:tblPrEx>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1808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EDA4A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C7CE2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DA3A8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AF4F8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74194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F8572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960E5B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CE8E34F">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EDF8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2013204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E5F2F55">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公务员事务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4F375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E0DAF7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54D41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EC586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1927D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2FBA7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6E4A54D2">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808D84">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B35038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F9E18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5,970.83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191D1D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5,248.05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4E3E72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722.78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3438F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1721D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00299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5877E1A2">
        <w:tblPrEx>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8F4A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2FD5E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BE1A3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5,619.84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D3A695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4,897.06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CECFA0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722.78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8F5CB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4F6EC6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7C5CF0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97B85F2">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B65F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2080101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EE21165">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65E78A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1,608.18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03B590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1,608.18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623A28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5B3F8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CCFCB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A120D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496F3D4A">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DED81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2080102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DA7880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48A5D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326.63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29CF1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6C865F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326.63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A3844D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81158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F1B98B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13F4D7E6">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BA508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2080105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98EA9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劳动保障监察</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C311CA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238.01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13978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212.97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8020E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49A7D9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C817A9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BA54A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46625073">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525A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2080108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7B7875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信息化建设</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BD24D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139.40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4857DD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119.64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6D5C1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19.76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0044A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DBAA2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B4EF21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6965D4F8">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2B5F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2080109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B951D4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社会保险经办机构</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284926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1,774.34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E1A722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1,774.34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4E65B6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A119DD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FD1272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D7CA2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59DA9365">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FB90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2080110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AA333A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劳动关系和维权</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C959C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119.62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34EBFA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119.62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4AFB42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22F57E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93B6F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82863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6AC2058C">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A4048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2080111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301700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公共就业服务和职业技能鉴定机构</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ADA391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85.76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97E66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85.76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826C5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90442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E02F18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A87543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4298A26">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8690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2080199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89B95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其他人力资源和社会保障管理事务支出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E6279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1,327.91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22F1D1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976.56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85B8F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351.36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1F715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B8B62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AB263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23D7BA1C">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D120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151B2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68361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F94F1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5A2B8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0C8C5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1AA88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3EC11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12786471">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88D4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9DC10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AF6D2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BE87E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5DE6B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53DDA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0E6C5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150ED0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54617D43">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3ED44">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3D91AE3">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就业补助</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C64E45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75646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52608B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965A3A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AF016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498F9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46AF8465">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7BC6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2080701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E7969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就业创业服务补贴</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11EB9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A1B99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FD4A4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96521C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1B7FE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317A6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6BEF91EA">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408E4">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31EB0F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2A64C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448.32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7EFB68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448.32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35D8C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30E08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51E04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4FEDD1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14B08BE4">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DE98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12D255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DA287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418.85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10B0DB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418.85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DB1D4E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D04B5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4AF1D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53F47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3B56CDD6">
        <w:tblPrEx>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4996B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B2B24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B78DF4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92.12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1E966B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92.12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CC3362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C3A05E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1F6660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3EBA55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3146EADA">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44C7F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1278B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7AD3E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170.59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EFF0F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170.59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A9EDF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D8939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0DAFD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67C99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36AE50FC">
        <w:tblPrEx>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7139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57AEB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14F72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112.04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B32DF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112.04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62580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9C611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5838F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1F962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339B58A2">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F832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99353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479B5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44.10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5341F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44.10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4BE0C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2FD9D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83D5B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49309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D9AB4FB">
        <w:tblPrEx>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0E413">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96336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451C2B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29.47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35F79E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29.47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38DCDC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E35C2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D9E90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223DA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027CD1F">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FE0C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5A7DF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98B790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29.47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4B6FD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29.47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E72CA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EB360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7D313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0C664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3DAB19B7">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17BE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EAA904">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5A5CA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0B43BC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AD7F49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C3173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DD1DF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9CAB0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B575417">
        <w:tblPrEx>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0422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21308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36463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普惠金融发展支出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E29C75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F85A6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9A22F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20C12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40BB5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1AB48B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1FD68949">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F7C0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2130804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F7830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创业担保贷款贴息</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7B837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6B881C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64B8A8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2D89BD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C7492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60C3E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3A0C00EE">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FCE5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6B832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A9521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9E337E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F1202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EC2DB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67B413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DA7233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02909970">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1497D3">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5C178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3773B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F27DC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CBE14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D1026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EA6FE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B9BE1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663013B7">
        <w:tblPrEx>
          <w:shd w:val="clear" w:color="auto" w:fill="auto"/>
          <w:tblCellMar>
            <w:top w:w="0" w:type="dxa"/>
            <w:left w:w="0" w:type="dxa"/>
            <w:bottom w:w="0" w:type="dxa"/>
            <w:right w:w="0" w:type="dxa"/>
          </w:tblCellMar>
        </w:tblPrEx>
        <w:trPr>
          <w:trHeight w:val="54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8A889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C3139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6833CB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450DEB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7232D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E2B02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91550C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D650D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2F253057">
        <w:tblPrEx>
          <w:tblCellMar>
            <w:top w:w="0" w:type="dxa"/>
            <w:left w:w="0" w:type="dxa"/>
            <w:bottom w:w="0" w:type="dxa"/>
            <w:right w:w="0" w:type="dxa"/>
          </w:tblCellMar>
        </w:tblPrEx>
        <w:trPr>
          <w:trHeight w:val="546" w:hRule="atLeast"/>
        </w:trPr>
        <w:tc>
          <w:tcPr>
            <w:tcW w:w="0" w:type="auto"/>
            <w:gridSpan w:val="10"/>
            <w:tcBorders>
              <w:top w:val="nil"/>
              <w:left w:val="nil"/>
              <w:bottom w:val="nil"/>
              <w:right w:val="nil"/>
            </w:tcBorders>
            <w:shd w:val="clear" w:color="auto" w:fill="auto"/>
            <w:noWrap/>
            <w:tcMar>
              <w:top w:w="12" w:type="dxa"/>
              <w:left w:w="12" w:type="dxa"/>
              <w:right w:w="12" w:type="dxa"/>
            </w:tcMar>
            <w:vAlign w:val="center"/>
          </w:tcPr>
          <w:p w14:paraId="1E6F150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注：本表反映部门本年度各项支出情况。</w:t>
            </w:r>
          </w:p>
        </w:tc>
      </w:tr>
    </w:tbl>
    <w:p w14:paraId="549999BA">
      <w:pPr>
        <w:widowControl/>
        <w:autoSpaceDE w:val="0"/>
        <w:spacing w:line="560" w:lineRule="exact"/>
        <w:jc w:val="both"/>
        <w:rPr>
          <w:rFonts w:hint="eastAsia" w:ascii="黑体" w:hAnsi="黑体" w:eastAsia="黑体"/>
          <w:color w:val="000000"/>
          <w:kern w:val="0"/>
          <w:sz w:val="36"/>
          <w:szCs w:val="36"/>
        </w:rPr>
      </w:pPr>
    </w:p>
    <w:p w14:paraId="64FFD462">
      <w:pPr>
        <w:widowControl/>
        <w:autoSpaceDE w:val="0"/>
        <w:spacing w:line="560" w:lineRule="exact"/>
        <w:jc w:val="center"/>
        <w:rPr>
          <w:rFonts w:hint="eastAsia" w:ascii="黑体" w:hAnsi="黑体" w:eastAsia="黑体"/>
          <w:color w:val="000000"/>
          <w:kern w:val="0"/>
          <w:sz w:val="36"/>
          <w:szCs w:val="36"/>
        </w:rPr>
      </w:pPr>
      <w:r>
        <w:rPr>
          <w:rFonts w:hint="eastAsia" w:ascii="黑体" w:hAnsi="黑体" w:eastAsia="黑体"/>
          <w:color w:val="000000"/>
          <w:kern w:val="0"/>
          <w:sz w:val="36"/>
          <w:szCs w:val="36"/>
        </w:rPr>
        <w:t>财政拨款收入支出决算总表</w:t>
      </w:r>
    </w:p>
    <w:tbl>
      <w:tblPr>
        <w:tblStyle w:val="5"/>
        <w:tblW w:w="13876" w:type="dxa"/>
        <w:tblInd w:w="0" w:type="dxa"/>
        <w:shd w:val="clear" w:color="auto" w:fill="auto"/>
        <w:tblLayout w:type="autofit"/>
        <w:tblCellMar>
          <w:top w:w="0" w:type="dxa"/>
          <w:left w:w="0" w:type="dxa"/>
          <w:bottom w:w="0" w:type="dxa"/>
          <w:right w:w="0" w:type="dxa"/>
        </w:tblCellMar>
      </w:tblPr>
      <w:tblGrid>
        <w:gridCol w:w="3785"/>
        <w:gridCol w:w="505"/>
        <w:gridCol w:w="1154"/>
        <w:gridCol w:w="3197"/>
        <w:gridCol w:w="687"/>
        <w:gridCol w:w="1394"/>
        <w:gridCol w:w="1450"/>
        <w:gridCol w:w="1704"/>
      </w:tblGrid>
      <w:tr w14:paraId="279E8AB0">
        <w:tblPrEx>
          <w:shd w:val="clear" w:color="auto" w:fill="auto"/>
          <w:tblCellMar>
            <w:top w:w="0" w:type="dxa"/>
            <w:left w:w="0" w:type="dxa"/>
            <w:bottom w:w="0" w:type="dxa"/>
            <w:right w:w="0" w:type="dxa"/>
          </w:tblCellMar>
        </w:tblPrEx>
        <w:trPr>
          <w:trHeight w:val="159" w:hRule="atLeast"/>
        </w:trPr>
        <w:tc>
          <w:tcPr>
            <w:tcW w:w="3785" w:type="dxa"/>
            <w:tcBorders>
              <w:top w:val="nil"/>
              <w:left w:val="nil"/>
              <w:bottom w:val="nil"/>
              <w:right w:val="nil"/>
            </w:tcBorders>
            <w:shd w:val="clear" w:color="auto" w:fill="auto"/>
            <w:noWrap/>
            <w:tcMar>
              <w:top w:w="12" w:type="dxa"/>
              <w:left w:w="12" w:type="dxa"/>
              <w:right w:w="12" w:type="dxa"/>
            </w:tcMar>
            <w:vAlign w:val="bottom"/>
          </w:tcPr>
          <w:p w14:paraId="2057B1CB">
            <w:pPr>
              <w:keepNext w:val="0"/>
              <w:keepLines w:val="0"/>
              <w:pageBreakBefore w:val="0"/>
              <w:widowControl/>
              <w:kinsoku/>
              <w:wordWrap/>
              <w:overflowPunct/>
              <w:topLinePunct w:val="0"/>
              <w:autoSpaceDE/>
              <w:autoSpaceDN/>
              <w:bidi w:val="0"/>
              <w:adjustRightInd/>
              <w:snapToGrid/>
              <w:spacing w:line="240" w:lineRule="exact"/>
              <w:rPr>
                <w:rFonts w:hint="eastAsia" w:ascii="Arial" w:hAnsi="Arial" w:cs="Arial"/>
                <w:i w:val="0"/>
                <w:color w:val="000000"/>
                <w:sz w:val="20"/>
                <w:szCs w:val="20"/>
                <w:u w:val="none"/>
              </w:rPr>
            </w:pPr>
          </w:p>
        </w:tc>
        <w:tc>
          <w:tcPr>
            <w:tcW w:w="505" w:type="dxa"/>
            <w:tcBorders>
              <w:top w:val="nil"/>
              <w:left w:val="nil"/>
              <w:bottom w:val="nil"/>
              <w:right w:val="nil"/>
            </w:tcBorders>
            <w:shd w:val="clear" w:color="auto" w:fill="auto"/>
            <w:noWrap/>
            <w:tcMar>
              <w:top w:w="12" w:type="dxa"/>
              <w:left w:w="12" w:type="dxa"/>
              <w:right w:w="12" w:type="dxa"/>
            </w:tcMar>
            <w:vAlign w:val="bottom"/>
          </w:tcPr>
          <w:p w14:paraId="0A4DB279">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1154" w:type="dxa"/>
            <w:tcBorders>
              <w:top w:val="nil"/>
              <w:left w:val="nil"/>
              <w:bottom w:val="nil"/>
              <w:right w:val="nil"/>
            </w:tcBorders>
            <w:shd w:val="clear" w:color="auto" w:fill="auto"/>
            <w:noWrap/>
            <w:tcMar>
              <w:top w:w="12" w:type="dxa"/>
              <w:left w:w="12" w:type="dxa"/>
              <w:right w:w="12" w:type="dxa"/>
            </w:tcMar>
            <w:vAlign w:val="bottom"/>
          </w:tcPr>
          <w:p w14:paraId="4C198A5C">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3197" w:type="dxa"/>
            <w:tcBorders>
              <w:top w:val="nil"/>
              <w:left w:val="nil"/>
              <w:bottom w:val="nil"/>
              <w:right w:val="nil"/>
            </w:tcBorders>
            <w:shd w:val="clear" w:color="auto" w:fill="auto"/>
            <w:noWrap/>
            <w:tcMar>
              <w:top w:w="12" w:type="dxa"/>
              <w:left w:w="12" w:type="dxa"/>
              <w:right w:w="12" w:type="dxa"/>
            </w:tcMar>
            <w:vAlign w:val="bottom"/>
          </w:tcPr>
          <w:p w14:paraId="6A30AFD9">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687" w:type="dxa"/>
            <w:tcBorders>
              <w:top w:val="nil"/>
              <w:left w:val="nil"/>
              <w:bottom w:val="nil"/>
              <w:right w:val="nil"/>
            </w:tcBorders>
            <w:shd w:val="clear" w:color="auto" w:fill="auto"/>
            <w:noWrap/>
            <w:tcMar>
              <w:top w:w="12" w:type="dxa"/>
              <w:left w:w="12" w:type="dxa"/>
              <w:right w:w="12" w:type="dxa"/>
            </w:tcMar>
            <w:vAlign w:val="bottom"/>
          </w:tcPr>
          <w:p w14:paraId="1AEA65AD">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1394" w:type="dxa"/>
            <w:tcBorders>
              <w:top w:val="nil"/>
              <w:left w:val="nil"/>
              <w:bottom w:val="nil"/>
              <w:right w:val="nil"/>
            </w:tcBorders>
            <w:shd w:val="clear" w:color="auto" w:fill="auto"/>
            <w:noWrap/>
            <w:tcMar>
              <w:top w:w="12" w:type="dxa"/>
              <w:left w:w="12" w:type="dxa"/>
              <w:right w:w="12" w:type="dxa"/>
            </w:tcMar>
            <w:vAlign w:val="bottom"/>
          </w:tcPr>
          <w:p w14:paraId="7C819C35">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1450" w:type="dxa"/>
            <w:tcBorders>
              <w:top w:val="nil"/>
              <w:left w:val="nil"/>
              <w:bottom w:val="nil"/>
              <w:right w:val="nil"/>
            </w:tcBorders>
            <w:shd w:val="clear" w:color="auto" w:fill="auto"/>
            <w:noWrap/>
            <w:tcMar>
              <w:top w:w="12" w:type="dxa"/>
              <w:left w:w="12" w:type="dxa"/>
              <w:right w:w="12" w:type="dxa"/>
            </w:tcMar>
            <w:vAlign w:val="bottom"/>
          </w:tcPr>
          <w:p w14:paraId="3B9054C3">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1704" w:type="dxa"/>
            <w:tcBorders>
              <w:top w:val="nil"/>
              <w:left w:val="nil"/>
              <w:bottom w:val="nil"/>
              <w:right w:val="nil"/>
            </w:tcBorders>
            <w:shd w:val="clear" w:color="auto" w:fill="auto"/>
            <w:noWrap/>
            <w:tcMar>
              <w:top w:w="12" w:type="dxa"/>
              <w:left w:w="12" w:type="dxa"/>
              <w:right w:w="12" w:type="dxa"/>
            </w:tcMar>
            <w:vAlign w:val="bottom"/>
          </w:tcPr>
          <w:p w14:paraId="10404A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14:paraId="4C4EA81D">
        <w:tblPrEx>
          <w:shd w:val="clear" w:color="auto" w:fill="auto"/>
          <w:tblCellMar>
            <w:top w:w="0" w:type="dxa"/>
            <w:left w:w="0" w:type="dxa"/>
            <w:bottom w:w="0" w:type="dxa"/>
            <w:right w:w="0" w:type="dxa"/>
          </w:tblCellMar>
        </w:tblPrEx>
        <w:trPr>
          <w:trHeight w:val="276" w:hRule="atLeast"/>
        </w:trPr>
        <w:tc>
          <w:tcPr>
            <w:tcW w:w="0" w:type="auto"/>
            <w:tcBorders>
              <w:top w:val="nil"/>
              <w:left w:val="nil"/>
              <w:bottom w:val="nil"/>
              <w:right w:val="nil"/>
            </w:tcBorders>
            <w:shd w:val="clear" w:color="auto" w:fill="auto"/>
            <w:noWrap/>
            <w:tcMar>
              <w:top w:w="12" w:type="dxa"/>
              <w:left w:w="12" w:type="dxa"/>
              <w:right w:w="12" w:type="dxa"/>
            </w:tcMar>
            <w:vAlign w:val="bottom"/>
          </w:tcPr>
          <w:p w14:paraId="014A3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部门：衡阳市人力资源和社会保障局</w:t>
            </w:r>
          </w:p>
        </w:tc>
        <w:tc>
          <w:tcPr>
            <w:tcW w:w="0" w:type="auto"/>
            <w:tcBorders>
              <w:top w:val="nil"/>
              <w:left w:val="nil"/>
              <w:bottom w:val="nil"/>
              <w:right w:val="nil"/>
            </w:tcBorders>
            <w:shd w:val="clear" w:color="auto" w:fill="auto"/>
            <w:noWrap/>
            <w:tcMar>
              <w:top w:w="12" w:type="dxa"/>
              <w:left w:w="12" w:type="dxa"/>
              <w:right w:w="12" w:type="dxa"/>
            </w:tcMar>
            <w:vAlign w:val="bottom"/>
          </w:tcPr>
          <w:p w14:paraId="70BB9E1C">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069477F0">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3197" w:type="dxa"/>
            <w:tcBorders>
              <w:top w:val="nil"/>
              <w:left w:val="nil"/>
              <w:bottom w:val="nil"/>
              <w:right w:val="nil"/>
            </w:tcBorders>
            <w:shd w:val="clear" w:color="auto" w:fill="auto"/>
            <w:noWrap/>
            <w:tcMar>
              <w:top w:w="12" w:type="dxa"/>
              <w:left w:w="12" w:type="dxa"/>
              <w:right w:w="12" w:type="dxa"/>
            </w:tcMar>
            <w:vAlign w:val="bottom"/>
          </w:tcPr>
          <w:p w14:paraId="144F6451">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687" w:type="dxa"/>
            <w:tcBorders>
              <w:top w:val="nil"/>
              <w:left w:val="nil"/>
              <w:bottom w:val="nil"/>
              <w:right w:val="nil"/>
            </w:tcBorders>
            <w:shd w:val="clear" w:color="auto" w:fill="auto"/>
            <w:noWrap/>
            <w:tcMar>
              <w:top w:w="12" w:type="dxa"/>
              <w:left w:w="12" w:type="dxa"/>
              <w:right w:w="12" w:type="dxa"/>
            </w:tcMar>
            <w:vAlign w:val="bottom"/>
          </w:tcPr>
          <w:p w14:paraId="27966CF5">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5EF28505">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5324143D">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06C191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4471250A">
        <w:tblPrEx>
          <w:shd w:val="clear" w:color="auto" w:fill="auto"/>
          <w:tblCellMar>
            <w:top w:w="0" w:type="dxa"/>
            <w:left w:w="0" w:type="dxa"/>
            <w:bottom w:w="0" w:type="dxa"/>
            <w:right w:w="0" w:type="dxa"/>
          </w:tblCellMar>
        </w:tblPrEx>
        <w:trPr>
          <w:trHeight w:val="16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DD14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0" w:type="auto"/>
            <w:gridSpan w:val="5"/>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A6AB2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1ABFFAD6">
        <w:tblPrEx>
          <w:tblCellMar>
            <w:top w:w="0" w:type="dxa"/>
            <w:left w:w="0" w:type="dxa"/>
            <w:bottom w:w="0" w:type="dxa"/>
            <w:right w:w="0" w:type="dxa"/>
          </w:tblCellMar>
        </w:tblPrEx>
        <w:trPr>
          <w:trHeight w:val="312" w:hRule="atLeast"/>
        </w:trPr>
        <w:tc>
          <w:tcPr>
            <w:tcW w:w="3785"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24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05"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63134B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5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39C2D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19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16FD2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8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1FDC53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FA59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5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2710C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70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70F3B4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14:paraId="3F1984D0">
        <w:tblPrEx>
          <w:shd w:val="clear" w:color="auto" w:fill="auto"/>
          <w:tblCellMar>
            <w:top w:w="0" w:type="dxa"/>
            <w:left w:w="0" w:type="dxa"/>
            <w:bottom w:w="0" w:type="dxa"/>
            <w:right w:w="0" w:type="dxa"/>
          </w:tblCellMar>
        </w:tblPrEx>
        <w:trPr>
          <w:trHeight w:val="312" w:hRule="atLeast"/>
        </w:trPr>
        <w:tc>
          <w:tcPr>
            <w:tcW w:w="3785"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43095">
            <w:pPr>
              <w:jc w:val="center"/>
              <w:rPr>
                <w:rFonts w:hint="eastAsia" w:ascii="宋体" w:hAnsi="宋体" w:eastAsia="宋体" w:cs="宋体"/>
                <w:i w:val="0"/>
                <w:color w:val="000000"/>
                <w:sz w:val="20"/>
                <w:szCs w:val="20"/>
                <w:u w:val="none"/>
              </w:rPr>
            </w:pPr>
          </w:p>
        </w:tc>
        <w:tc>
          <w:tcPr>
            <w:tcW w:w="505"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5485553D">
            <w:pPr>
              <w:jc w:val="center"/>
              <w:rPr>
                <w:rFonts w:hint="eastAsia" w:ascii="宋体" w:hAnsi="宋体" w:eastAsia="宋体" w:cs="宋体"/>
                <w:i w:val="0"/>
                <w:color w:val="000000"/>
                <w:sz w:val="20"/>
                <w:szCs w:val="20"/>
                <w:u w:val="none"/>
              </w:rPr>
            </w:pPr>
          </w:p>
        </w:tc>
        <w:tc>
          <w:tcPr>
            <w:tcW w:w="115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334D253E">
            <w:pPr>
              <w:jc w:val="center"/>
              <w:rPr>
                <w:rFonts w:hint="eastAsia" w:ascii="宋体" w:hAnsi="宋体" w:eastAsia="宋体" w:cs="宋体"/>
                <w:i w:val="0"/>
                <w:color w:val="000000"/>
                <w:sz w:val="20"/>
                <w:szCs w:val="20"/>
                <w:u w:val="none"/>
              </w:rPr>
            </w:pPr>
          </w:p>
        </w:tc>
        <w:tc>
          <w:tcPr>
            <w:tcW w:w="319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50EBC8B6">
            <w:pPr>
              <w:jc w:val="center"/>
              <w:rPr>
                <w:rFonts w:hint="eastAsia" w:ascii="宋体" w:hAnsi="宋体" w:eastAsia="宋体" w:cs="宋体"/>
                <w:i w:val="0"/>
                <w:color w:val="000000"/>
                <w:sz w:val="20"/>
                <w:szCs w:val="20"/>
                <w:u w:val="none"/>
              </w:rPr>
            </w:pPr>
          </w:p>
        </w:tc>
        <w:tc>
          <w:tcPr>
            <w:tcW w:w="68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530315B1">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C783FE">
            <w:pPr>
              <w:jc w:val="center"/>
              <w:rPr>
                <w:rFonts w:hint="eastAsia" w:ascii="宋体" w:hAnsi="宋体" w:eastAsia="宋体" w:cs="宋体"/>
                <w:i w:val="0"/>
                <w:color w:val="000000"/>
                <w:sz w:val="20"/>
                <w:szCs w:val="20"/>
                <w:u w:val="none"/>
              </w:rPr>
            </w:pPr>
          </w:p>
        </w:tc>
        <w:tc>
          <w:tcPr>
            <w:tcW w:w="145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08A2DB15">
            <w:pPr>
              <w:jc w:val="center"/>
              <w:rPr>
                <w:rFonts w:hint="eastAsia" w:ascii="宋体" w:hAnsi="宋体" w:eastAsia="宋体" w:cs="宋体"/>
                <w:i w:val="0"/>
                <w:color w:val="000000"/>
                <w:sz w:val="20"/>
                <w:szCs w:val="20"/>
                <w:u w:val="none"/>
              </w:rPr>
            </w:pPr>
          </w:p>
        </w:tc>
        <w:tc>
          <w:tcPr>
            <w:tcW w:w="170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69591D31">
            <w:pPr>
              <w:jc w:val="center"/>
              <w:rPr>
                <w:rFonts w:hint="eastAsia" w:ascii="宋体" w:hAnsi="宋体" w:eastAsia="宋体" w:cs="宋体"/>
                <w:i w:val="0"/>
                <w:color w:val="000000"/>
                <w:sz w:val="20"/>
                <w:szCs w:val="20"/>
                <w:u w:val="none"/>
              </w:rPr>
            </w:pPr>
          </w:p>
        </w:tc>
      </w:tr>
      <w:tr w14:paraId="2041308D">
        <w:tblPrEx>
          <w:shd w:val="clear" w:color="auto" w:fill="auto"/>
          <w:tblCellMar>
            <w:top w:w="0" w:type="dxa"/>
            <w:left w:w="0" w:type="dxa"/>
            <w:bottom w:w="0" w:type="dxa"/>
            <w:right w:w="0"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438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9689F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DB8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283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B872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2FD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54B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F52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2D5B01EF">
        <w:tblPrEx>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51EB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93274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FD220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5,859.36</w:t>
            </w: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879A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1978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282AD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638.25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7196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638.25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09804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97A5EA3">
        <w:tblPrEx>
          <w:shd w:val="clear" w:color="auto" w:fill="auto"/>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4A5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3B86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8ACB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D6E1E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CE7A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29850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BA293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BD31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143942A">
        <w:tblPrEx>
          <w:shd w:val="clear" w:color="auto" w:fill="auto"/>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64C37">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7C36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ED76E82">
            <w:pPr>
              <w:jc w:val="right"/>
              <w:rPr>
                <w:rFonts w:hint="eastAsia" w:ascii="宋体" w:hAnsi="宋体" w:eastAsia="宋体" w:cs="宋体"/>
                <w:i w:val="0"/>
                <w:color w:val="000000"/>
                <w:sz w:val="20"/>
                <w:szCs w:val="20"/>
                <w:u w:val="none"/>
              </w:rPr>
            </w:pP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BC3B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三、社会保障和就业支出</w:t>
            </w: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54679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4628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4,917.62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2486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4,917.62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F0ECD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568DC7C">
        <w:tblPrEx>
          <w:shd w:val="clear" w:color="auto" w:fill="auto"/>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D282E">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77B4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AC4894">
            <w:pPr>
              <w:jc w:val="right"/>
              <w:rPr>
                <w:rFonts w:hint="eastAsia" w:ascii="宋体" w:hAnsi="宋体" w:eastAsia="宋体" w:cs="宋体"/>
                <w:i w:val="0"/>
                <w:color w:val="000000"/>
                <w:sz w:val="20"/>
                <w:szCs w:val="20"/>
                <w:u w:val="none"/>
              </w:rPr>
            </w:pP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0F69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四、卫生健康支出</w:t>
            </w: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1843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5F813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418.85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7F56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418.85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F2FE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272AD56">
        <w:tblPrEx>
          <w:shd w:val="clear" w:color="auto" w:fill="auto"/>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233C9">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188F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9D6D78C">
            <w:pPr>
              <w:jc w:val="right"/>
              <w:rPr>
                <w:rFonts w:hint="eastAsia" w:ascii="宋体" w:hAnsi="宋体" w:eastAsia="宋体" w:cs="宋体"/>
                <w:i w:val="0"/>
                <w:color w:val="000000"/>
                <w:sz w:val="20"/>
                <w:szCs w:val="20"/>
                <w:u w:val="none"/>
              </w:rPr>
            </w:pP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52F6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五、农林水支出</w:t>
            </w: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381F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3ACA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FB20E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4855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D976B97">
        <w:tblPrEx>
          <w:shd w:val="clear" w:color="auto" w:fill="auto"/>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AAA69">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7FF6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AF71730">
            <w:pPr>
              <w:jc w:val="right"/>
              <w:rPr>
                <w:rFonts w:hint="eastAsia" w:ascii="宋体" w:hAnsi="宋体" w:eastAsia="宋体" w:cs="宋体"/>
                <w:i w:val="0"/>
                <w:color w:val="000000"/>
                <w:sz w:val="20"/>
                <w:szCs w:val="20"/>
                <w:u w:val="none"/>
              </w:rPr>
            </w:pP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FBDA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六、住房保障支出</w:t>
            </w: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5A81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92BC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795C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2DEDC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DBB3C49">
        <w:tblPrEx>
          <w:shd w:val="clear" w:color="auto" w:fill="auto"/>
          <w:tblCellMar>
            <w:top w:w="0" w:type="dxa"/>
            <w:left w:w="0" w:type="dxa"/>
            <w:bottom w:w="0" w:type="dxa"/>
            <w:right w:w="0" w:type="dxa"/>
          </w:tblCellMar>
        </w:tblPrEx>
        <w:trPr>
          <w:trHeight w:val="357"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0262C9">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45C39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E0B2AD">
            <w:pPr>
              <w:jc w:val="right"/>
              <w:rPr>
                <w:rFonts w:hint="eastAsia" w:ascii="宋体" w:hAnsi="宋体" w:eastAsia="宋体" w:cs="宋体"/>
                <w:i w:val="0"/>
                <w:color w:val="000000"/>
                <w:sz w:val="20"/>
                <w:szCs w:val="20"/>
                <w:u w:val="none"/>
              </w:rPr>
            </w:pP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9519DA">
            <w:pPr>
              <w:jc w:val="left"/>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2D3C5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2F7C15">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E90810">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93AF4F2">
            <w:pPr>
              <w:jc w:val="right"/>
              <w:rPr>
                <w:rFonts w:hint="eastAsia" w:ascii="宋体" w:hAnsi="宋体" w:eastAsia="宋体" w:cs="宋体"/>
                <w:i w:val="0"/>
                <w:color w:val="000000"/>
                <w:sz w:val="20"/>
                <w:szCs w:val="20"/>
                <w:u w:val="none"/>
              </w:rPr>
            </w:pPr>
          </w:p>
        </w:tc>
      </w:tr>
      <w:tr w14:paraId="1DA91CA3">
        <w:tblPrEx>
          <w:shd w:val="clear" w:color="auto" w:fill="auto"/>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8CAE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F80F1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0FD3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5,859.36</w:t>
            </w: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BDCC3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98AF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3F4C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6,174.38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4889F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6,174.38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5D11D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09190AD">
        <w:tblPrEx>
          <w:shd w:val="clear" w:color="auto" w:fill="auto"/>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FF6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04EB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E928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499.67</w:t>
            </w: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453C1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7477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976C7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184.66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4177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184.66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CC81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BC447EA">
        <w:tblPrEx>
          <w:shd w:val="clear" w:color="auto" w:fill="auto"/>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6C6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A4A3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B911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499.67</w:t>
            </w: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F6A30E">
            <w:pPr>
              <w:jc w:val="left"/>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17AAE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3C0FB90">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C2C279">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F3AEDB">
            <w:pPr>
              <w:jc w:val="right"/>
              <w:rPr>
                <w:rFonts w:hint="eastAsia" w:ascii="宋体" w:hAnsi="宋体" w:eastAsia="宋体" w:cs="宋体"/>
                <w:i w:val="0"/>
                <w:color w:val="000000"/>
                <w:sz w:val="20"/>
                <w:szCs w:val="20"/>
                <w:u w:val="none"/>
              </w:rPr>
            </w:pPr>
          </w:p>
        </w:tc>
      </w:tr>
      <w:tr w14:paraId="2D55581D">
        <w:tblPrEx>
          <w:shd w:val="clear" w:color="auto" w:fill="auto"/>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BEEA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5971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CC77A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D09975">
            <w:pPr>
              <w:jc w:val="left"/>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DF74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6E9C5DF">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CF19A0">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D71609">
            <w:pPr>
              <w:jc w:val="right"/>
              <w:rPr>
                <w:rFonts w:hint="eastAsia" w:ascii="宋体" w:hAnsi="宋体" w:eastAsia="宋体" w:cs="宋体"/>
                <w:i w:val="0"/>
                <w:color w:val="000000"/>
                <w:sz w:val="20"/>
                <w:szCs w:val="20"/>
                <w:u w:val="none"/>
              </w:rPr>
            </w:pPr>
          </w:p>
        </w:tc>
      </w:tr>
      <w:tr w14:paraId="6D717846">
        <w:tblPrEx>
          <w:shd w:val="clear" w:color="auto" w:fill="auto"/>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3B05AC">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DF989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027646B">
            <w:pPr>
              <w:jc w:val="right"/>
              <w:rPr>
                <w:rFonts w:hint="eastAsia" w:ascii="宋体" w:hAnsi="宋体" w:eastAsia="宋体" w:cs="宋体"/>
                <w:i w:val="0"/>
                <w:color w:val="000000"/>
                <w:sz w:val="20"/>
                <w:szCs w:val="20"/>
                <w:u w:val="none"/>
              </w:rPr>
            </w:pP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2EF6BCA">
            <w:pPr>
              <w:jc w:val="left"/>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A8B72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19EBD3">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3F5395">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5B52EC">
            <w:pPr>
              <w:jc w:val="right"/>
              <w:rPr>
                <w:rFonts w:hint="eastAsia" w:ascii="宋体" w:hAnsi="宋体" w:eastAsia="宋体" w:cs="宋体"/>
                <w:i w:val="0"/>
                <w:color w:val="000000"/>
                <w:sz w:val="20"/>
                <w:szCs w:val="20"/>
                <w:u w:val="none"/>
              </w:rPr>
            </w:pPr>
          </w:p>
        </w:tc>
      </w:tr>
      <w:tr w14:paraId="6BD7AAD4">
        <w:tblPrEx>
          <w:shd w:val="clear" w:color="auto" w:fill="auto"/>
          <w:tblCellMar>
            <w:top w:w="0" w:type="dxa"/>
            <w:left w:w="0" w:type="dxa"/>
            <w:bottom w:w="0" w:type="dxa"/>
            <w:right w:w="0" w:type="dxa"/>
          </w:tblCellMar>
        </w:tblPrEx>
        <w:trPr>
          <w:trHeight w:val="162"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A171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7AE3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C150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6,359.04</w:t>
            </w:r>
          </w:p>
        </w:tc>
        <w:tc>
          <w:tcPr>
            <w:tcW w:w="31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BD551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FAF8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B0E31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6,359.04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2C95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6,359.04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6041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4400F3C">
        <w:tblPrEx>
          <w:tblCellMar>
            <w:top w:w="0" w:type="dxa"/>
            <w:left w:w="0" w:type="dxa"/>
            <w:bottom w:w="0" w:type="dxa"/>
            <w:right w:w="0" w:type="dxa"/>
          </w:tblCellMar>
        </w:tblPrEx>
        <w:trPr>
          <w:trHeight w:val="162" w:hRule="atLeast"/>
        </w:trPr>
        <w:tc>
          <w:tcPr>
            <w:tcW w:w="0" w:type="auto"/>
            <w:gridSpan w:val="8"/>
            <w:tcBorders>
              <w:top w:val="nil"/>
              <w:left w:val="nil"/>
              <w:bottom w:val="nil"/>
              <w:right w:val="nil"/>
            </w:tcBorders>
            <w:shd w:val="clear" w:color="auto" w:fill="auto"/>
            <w:noWrap/>
            <w:tcMar>
              <w:top w:w="12" w:type="dxa"/>
              <w:left w:w="12" w:type="dxa"/>
              <w:right w:w="12" w:type="dxa"/>
            </w:tcMar>
            <w:vAlign w:val="center"/>
          </w:tcPr>
          <w:p w14:paraId="61B6FF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14:paraId="5927F8A1">
      <w:pPr>
        <w:widowControl/>
        <w:spacing w:line="360" w:lineRule="exact"/>
        <w:jc w:val="left"/>
        <w:rPr>
          <w:kern w:val="0"/>
          <w:sz w:val="21"/>
          <w:szCs w:val="21"/>
        </w:rPr>
      </w:pPr>
      <w:r>
        <w:rPr>
          <w:kern w:val="0"/>
          <w:sz w:val="21"/>
          <w:szCs w:val="21"/>
        </w:rPr>
        <w:br w:type="page"/>
      </w:r>
    </w:p>
    <w:p w14:paraId="1C8634C3">
      <w:pPr>
        <w:widowControl/>
        <w:spacing w:line="560" w:lineRule="exact"/>
        <w:jc w:val="center"/>
        <w:rPr>
          <w:rFonts w:ascii="黑体" w:hAnsi="黑体" w:eastAsia="黑体"/>
          <w:color w:val="000000"/>
          <w:kern w:val="0"/>
          <w:sz w:val="36"/>
          <w:szCs w:val="36"/>
        </w:rPr>
      </w:pPr>
      <w:r>
        <w:rPr>
          <w:rFonts w:hint="eastAsia" w:ascii="黑体" w:hAnsi="黑体" w:eastAsia="黑体"/>
          <w:color w:val="000000"/>
          <w:kern w:val="0"/>
          <w:sz w:val="36"/>
          <w:szCs w:val="36"/>
        </w:rPr>
        <w:t>一般公共预算财政拨款支出决算表</w:t>
      </w:r>
    </w:p>
    <w:tbl>
      <w:tblPr>
        <w:tblStyle w:val="5"/>
        <w:tblW w:w="14137" w:type="dxa"/>
        <w:tblInd w:w="0" w:type="dxa"/>
        <w:shd w:val="clear" w:color="auto" w:fill="auto"/>
        <w:tblLayout w:type="autofit"/>
        <w:tblCellMar>
          <w:top w:w="0" w:type="dxa"/>
          <w:left w:w="0" w:type="dxa"/>
          <w:bottom w:w="0" w:type="dxa"/>
          <w:right w:w="0" w:type="dxa"/>
        </w:tblCellMar>
      </w:tblPr>
      <w:tblGrid>
        <w:gridCol w:w="3395"/>
        <w:gridCol w:w="356"/>
        <w:gridCol w:w="356"/>
        <w:gridCol w:w="4081"/>
        <w:gridCol w:w="1995"/>
        <w:gridCol w:w="1895"/>
        <w:gridCol w:w="2059"/>
      </w:tblGrid>
      <w:tr w14:paraId="3714B82B">
        <w:tblPrEx>
          <w:shd w:val="clear" w:color="auto" w:fill="auto"/>
        </w:tblPrEx>
        <w:trPr>
          <w:trHeight w:val="314" w:hRule="atLeast"/>
        </w:trPr>
        <w:tc>
          <w:tcPr>
            <w:tcW w:w="3395" w:type="dxa"/>
            <w:tcBorders>
              <w:top w:val="nil"/>
              <w:left w:val="nil"/>
              <w:bottom w:val="nil"/>
              <w:right w:val="nil"/>
            </w:tcBorders>
            <w:shd w:val="clear" w:color="auto" w:fill="auto"/>
            <w:noWrap/>
            <w:tcMar>
              <w:top w:w="12" w:type="dxa"/>
              <w:left w:w="12" w:type="dxa"/>
              <w:right w:w="12" w:type="dxa"/>
            </w:tcMar>
            <w:vAlign w:val="bottom"/>
          </w:tcPr>
          <w:p w14:paraId="2837C838">
            <w:pPr>
              <w:keepNext w:val="0"/>
              <w:keepLines w:val="0"/>
              <w:pageBreakBefore w:val="0"/>
              <w:widowControl/>
              <w:kinsoku/>
              <w:wordWrap/>
              <w:overflowPunct/>
              <w:topLinePunct w:val="0"/>
              <w:autoSpaceDE/>
              <w:autoSpaceDN/>
              <w:bidi w:val="0"/>
              <w:adjustRightInd/>
              <w:snapToGrid/>
              <w:spacing w:line="240" w:lineRule="exact"/>
              <w:rPr>
                <w:rFonts w:hint="eastAsia" w:ascii="Arial" w:hAnsi="Arial" w:cs="Arial"/>
                <w:i w:val="0"/>
                <w:color w:val="000000"/>
                <w:sz w:val="20"/>
                <w:szCs w:val="20"/>
                <w:u w:val="none"/>
              </w:rPr>
            </w:pPr>
          </w:p>
        </w:tc>
        <w:tc>
          <w:tcPr>
            <w:tcW w:w="356" w:type="dxa"/>
            <w:tcBorders>
              <w:top w:val="nil"/>
              <w:left w:val="nil"/>
              <w:bottom w:val="nil"/>
              <w:right w:val="nil"/>
            </w:tcBorders>
            <w:shd w:val="clear" w:color="auto" w:fill="auto"/>
            <w:noWrap/>
            <w:tcMar>
              <w:top w:w="12" w:type="dxa"/>
              <w:left w:w="12" w:type="dxa"/>
              <w:right w:w="12" w:type="dxa"/>
            </w:tcMar>
            <w:vAlign w:val="bottom"/>
          </w:tcPr>
          <w:p w14:paraId="34B72415">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356" w:type="dxa"/>
            <w:tcBorders>
              <w:top w:val="nil"/>
              <w:left w:val="nil"/>
              <w:bottom w:val="nil"/>
              <w:right w:val="nil"/>
            </w:tcBorders>
            <w:shd w:val="clear" w:color="auto" w:fill="auto"/>
            <w:noWrap/>
            <w:tcMar>
              <w:top w:w="12" w:type="dxa"/>
              <w:left w:w="12" w:type="dxa"/>
              <w:right w:w="12" w:type="dxa"/>
            </w:tcMar>
            <w:vAlign w:val="bottom"/>
          </w:tcPr>
          <w:p w14:paraId="69815881">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4081" w:type="dxa"/>
            <w:tcBorders>
              <w:top w:val="nil"/>
              <w:left w:val="nil"/>
              <w:bottom w:val="nil"/>
              <w:right w:val="nil"/>
            </w:tcBorders>
            <w:shd w:val="clear" w:color="auto" w:fill="auto"/>
            <w:noWrap/>
            <w:tcMar>
              <w:top w:w="12" w:type="dxa"/>
              <w:left w:w="12" w:type="dxa"/>
              <w:right w:w="12" w:type="dxa"/>
            </w:tcMar>
            <w:vAlign w:val="bottom"/>
          </w:tcPr>
          <w:p w14:paraId="1B570278">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1995" w:type="dxa"/>
            <w:tcBorders>
              <w:top w:val="nil"/>
              <w:left w:val="nil"/>
              <w:bottom w:val="nil"/>
              <w:right w:val="nil"/>
            </w:tcBorders>
            <w:shd w:val="clear" w:color="auto" w:fill="auto"/>
            <w:noWrap/>
            <w:tcMar>
              <w:top w:w="12" w:type="dxa"/>
              <w:left w:w="12" w:type="dxa"/>
              <w:right w:w="12" w:type="dxa"/>
            </w:tcMar>
            <w:vAlign w:val="bottom"/>
          </w:tcPr>
          <w:p w14:paraId="71F1B140">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1895" w:type="dxa"/>
            <w:tcBorders>
              <w:top w:val="nil"/>
              <w:left w:val="nil"/>
              <w:bottom w:val="nil"/>
              <w:right w:val="nil"/>
            </w:tcBorders>
            <w:shd w:val="clear" w:color="auto" w:fill="auto"/>
            <w:noWrap/>
            <w:tcMar>
              <w:top w:w="12" w:type="dxa"/>
              <w:left w:w="12" w:type="dxa"/>
              <w:right w:w="12" w:type="dxa"/>
            </w:tcMar>
            <w:vAlign w:val="bottom"/>
          </w:tcPr>
          <w:p w14:paraId="2AEFE02C">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2059" w:type="dxa"/>
            <w:tcBorders>
              <w:top w:val="nil"/>
              <w:left w:val="nil"/>
              <w:bottom w:val="nil"/>
              <w:right w:val="nil"/>
            </w:tcBorders>
            <w:shd w:val="clear" w:color="auto" w:fill="auto"/>
            <w:noWrap/>
            <w:tcMar>
              <w:top w:w="12" w:type="dxa"/>
              <w:left w:w="12" w:type="dxa"/>
              <w:right w:w="12" w:type="dxa"/>
            </w:tcMar>
            <w:vAlign w:val="bottom"/>
          </w:tcPr>
          <w:p w14:paraId="2EB68A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14:paraId="505FDC61">
        <w:tblPrEx>
          <w:shd w:val="clear" w:color="auto" w:fill="auto"/>
          <w:tblCellMar>
            <w:top w:w="0" w:type="dxa"/>
            <w:left w:w="0" w:type="dxa"/>
            <w:bottom w:w="0" w:type="dxa"/>
            <w:right w:w="0" w:type="dxa"/>
          </w:tblCellMar>
        </w:tblPrEx>
        <w:trPr>
          <w:trHeight w:val="314" w:hRule="atLeast"/>
        </w:trPr>
        <w:tc>
          <w:tcPr>
            <w:tcW w:w="0" w:type="auto"/>
            <w:tcBorders>
              <w:top w:val="nil"/>
              <w:left w:val="nil"/>
              <w:bottom w:val="nil"/>
              <w:right w:val="nil"/>
            </w:tcBorders>
            <w:shd w:val="clear" w:color="auto" w:fill="auto"/>
            <w:noWrap/>
            <w:tcMar>
              <w:top w:w="12" w:type="dxa"/>
              <w:left w:w="12" w:type="dxa"/>
              <w:right w:w="12" w:type="dxa"/>
            </w:tcMar>
            <w:vAlign w:val="bottom"/>
          </w:tcPr>
          <w:p w14:paraId="3C519A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部门：衡阳市人力资源和社会保障局</w:t>
            </w:r>
          </w:p>
        </w:tc>
        <w:tc>
          <w:tcPr>
            <w:tcW w:w="0" w:type="auto"/>
            <w:tcBorders>
              <w:top w:val="nil"/>
              <w:left w:val="nil"/>
              <w:bottom w:val="nil"/>
              <w:right w:val="nil"/>
            </w:tcBorders>
            <w:shd w:val="clear" w:color="auto" w:fill="auto"/>
            <w:noWrap/>
            <w:tcMar>
              <w:top w:w="12" w:type="dxa"/>
              <w:left w:w="12" w:type="dxa"/>
              <w:right w:w="12" w:type="dxa"/>
            </w:tcMar>
            <w:vAlign w:val="bottom"/>
          </w:tcPr>
          <w:p w14:paraId="7BC5C784">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0867625A">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4AC36BA8">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2488C2F8">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2E6E52AC">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1BEBB0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5DBDD0B9">
        <w:tblPrEx>
          <w:shd w:val="clear" w:color="auto" w:fill="auto"/>
          <w:tblCellMar>
            <w:top w:w="0" w:type="dxa"/>
            <w:left w:w="0" w:type="dxa"/>
            <w:bottom w:w="0" w:type="dxa"/>
            <w:right w:w="0" w:type="dxa"/>
          </w:tblCellMar>
        </w:tblPrEx>
        <w:trPr>
          <w:trHeight w:val="32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4269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949"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23CE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45C7C48B">
        <w:tblPrEx>
          <w:shd w:val="clear" w:color="auto" w:fill="auto"/>
          <w:tblCellMar>
            <w:top w:w="0" w:type="dxa"/>
            <w:left w:w="0" w:type="dxa"/>
            <w:bottom w:w="0" w:type="dxa"/>
            <w:right w:w="0" w:type="dxa"/>
          </w:tblCellMar>
        </w:tblPrEx>
        <w:trPr>
          <w:trHeight w:val="416" w:hRule="atLeast"/>
        </w:trPr>
        <w:tc>
          <w:tcPr>
            <w:tcW w:w="4107"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459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DDE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95"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5BDACF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95"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47CCA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059"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02C42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53B5B1F2">
        <w:tblPrEx>
          <w:shd w:val="clear" w:color="auto" w:fill="auto"/>
          <w:tblCellMar>
            <w:top w:w="0" w:type="dxa"/>
            <w:left w:w="0" w:type="dxa"/>
            <w:bottom w:w="0" w:type="dxa"/>
            <w:right w:w="0" w:type="dxa"/>
          </w:tblCellMar>
        </w:tblPrEx>
        <w:trPr>
          <w:trHeight w:val="416" w:hRule="atLeast"/>
        </w:trPr>
        <w:tc>
          <w:tcPr>
            <w:tcW w:w="4107"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2148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F596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995"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5A4FCB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895"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62FC7E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059"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0038F1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3DE28585">
        <w:tblPrEx>
          <w:shd w:val="clear" w:color="auto" w:fill="auto"/>
          <w:tblCellMar>
            <w:top w:w="0" w:type="dxa"/>
            <w:left w:w="0" w:type="dxa"/>
            <w:bottom w:w="0" w:type="dxa"/>
            <w:right w:w="0" w:type="dxa"/>
          </w:tblCellMar>
        </w:tblPrEx>
        <w:trPr>
          <w:trHeight w:val="416" w:hRule="atLeast"/>
        </w:trPr>
        <w:tc>
          <w:tcPr>
            <w:tcW w:w="4107"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6FE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36A5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995"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7E05B3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895"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33E864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059"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14:paraId="1896A1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3A1FA6DA">
        <w:tblPrEx>
          <w:shd w:val="clear" w:color="auto" w:fill="auto"/>
          <w:tblCellMar>
            <w:top w:w="0" w:type="dxa"/>
            <w:left w:w="0" w:type="dxa"/>
            <w:bottom w:w="0" w:type="dxa"/>
            <w:right w:w="0" w:type="dxa"/>
          </w:tblCellMar>
        </w:tblPrEx>
        <w:trPr>
          <w:trHeight w:val="326"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C39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0A2B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264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F859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7F2D6E1F">
        <w:tblPrEx>
          <w:shd w:val="clear" w:color="auto" w:fill="auto"/>
          <w:tblCellMar>
            <w:top w:w="0" w:type="dxa"/>
            <w:left w:w="0" w:type="dxa"/>
            <w:bottom w:w="0" w:type="dxa"/>
            <w:right w:w="0" w:type="dxa"/>
          </w:tblCellMar>
        </w:tblPrEx>
        <w:trPr>
          <w:trHeight w:val="326"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E2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7BD85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6,174.38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C0F3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5,501.91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2799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672.47</w:t>
            </w:r>
          </w:p>
        </w:tc>
      </w:tr>
      <w:tr w14:paraId="36F77ADA">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6EE4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39F5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956F6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638.25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924B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BB07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275.93</w:t>
            </w:r>
          </w:p>
        </w:tc>
      </w:tr>
      <w:tr w14:paraId="3E5D6836">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DBA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94E9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01B0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569.75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86EB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557D7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207.43</w:t>
            </w:r>
          </w:p>
        </w:tc>
      </w:tr>
      <w:tr w14:paraId="3DE9B5B9">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6FC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9317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9863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124.30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6A60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136E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124.30</w:t>
            </w:r>
          </w:p>
        </w:tc>
      </w:tr>
      <w:tr w14:paraId="196422B0">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8FE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2011008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6344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引进人才费用</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7EC4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A96A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1F0A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14:paraId="2925E1BF">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2E3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453A7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0B0DF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27E0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60272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6A79482">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C2D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95ED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其他人力资源事务支出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FEF1E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73.13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2198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870A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73.13</w:t>
            </w:r>
          </w:p>
        </w:tc>
      </w:tr>
      <w:tr w14:paraId="19989E9B">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439E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47CA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640D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B142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EDA1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w:t>
            </w:r>
          </w:p>
        </w:tc>
      </w:tr>
      <w:tr w14:paraId="4549F570">
        <w:tblPrEx>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883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42AA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派驻派出机构</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6FD5B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340D0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15E6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w:t>
            </w:r>
          </w:p>
        </w:tc>
      </w:tr>
      <w:tr w14:paraId="5EFA4386">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08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2E8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6E4E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202B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B4E6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w:t>
            </w:r>
          </w:p>
        </w:tc>
      </w:tr>
      <w:tr w14:paraId="5B0456CA">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98B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9D99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2017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9089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F4B5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w:t>
            </w:r>
          </w:p>
        </w:tc>
      </w:tr>
      <w:tr w14:paraId="429D2366">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1DE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4EFE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24EC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4,917.62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1684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4,521.82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E012F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395.81</w:t>
            </w:r>
          </w:p>
        </w:tc>
      </w:tr>
      <w:tr w14:paraId="40B8CFDC">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CBC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48A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BD217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4,566.63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5B439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4,170.83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342F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395.81</w:t>
            </w:r>
          </w:p>
        </w:tc>
      </w:tr>
      <w:tr w14:paraId="6031DB89">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2055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6D3E5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63FCF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1,608.18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4A3B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1,608.18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63D0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A016A1">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A313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419C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F0DF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326.63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47117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80C2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326.63</w:t>
            </w:r>
          </w:p>
        </w:tc>
      </w:tr>
      <w:tr w14:paraId="28570B10">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B7B3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91A69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劳动保障监察</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35A7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3F7E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51D9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w:t>
            </w:r>
          </w:p>
        </w:tc>
      </w:tr>
      <w:tr w14:paraId="2F390961">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0F9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F0299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96A43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139.40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0DA5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119.64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54BA1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w:t>
            </w:r>
          </w:p>
        </w:tc>
      </w:tr>
      <w:tr w14:paraId="2981EBCF">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801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0E5C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社会保险经办机构</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7E4E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1,637.12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DECA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1,637.12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6293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D550C98">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CE82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FD21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劳动关系和维权</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1D8CD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119.62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FD470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119.62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266A2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80E50EC">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9A06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B9D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公共就业服务和职业技能鉴定机构</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3C684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AD6E8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3436B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AF18D79">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21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48B8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其他人力资源和社会保障管理事务支出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3AD0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411.93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FB8DE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387.55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E554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24.39</w:t>
            </w:r>
          </w:p>
        </w:tc>
      </w:tr>
      <w:tr w14:paraId="7138D817">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468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549B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31AB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347B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AA51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F845A4">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66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859D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66AA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6270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325.84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8127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BF13D09">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8AE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D16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就业补助</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5408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05CD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C911D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E86776E">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BA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8A84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就业创业服务补贴</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405A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CEB82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CC8B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0F02743">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348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F59E7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98B39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418.85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C1BE7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418.85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2AAB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79B5BCF">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B90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B487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A899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418.85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D2CE3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418.85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C752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A2051B8">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4F0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9084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76B0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E752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1F71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3D001FD">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CDC7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78DB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723F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170.59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71AE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170.59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65D9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9B9E0CE">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F5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430D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82EC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A3FD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5872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3FB97DF">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387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0DD7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CEBA3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DD6C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FADBD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B5367F4">
        <w:tblPrEx>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97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24B4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3AA30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F4DC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1250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r>
      <w:tr w14:paraId="342D6AA3">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932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E564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普惠金融发展支出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49DF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D81A3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040F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r>
      <w:tr w14:paraId="3484E3C2">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A3F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2130804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DD0E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创业担保贷款贴息</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C1F6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A943C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5D759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r>
      <w:tr w14:paraId="26C739C9">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52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CD20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B386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5B38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C6869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2C9375E">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70F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27E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2BB9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255E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1827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876816">
        <w:tblPrEx>
          <w:shd w:val="clear" w:color="auto" w:fill="auto"/>
          <w:tblCellMar>
            <w:top w:w="0" w:type="dxa"/>
            <w:left w:w="0" w:type="dxa"/>
            <w:bottom w:w="0" w:type="dxa"/>
            <w:right w:w="0"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5AF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39B1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CFC8D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3780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91870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C05696B">
        <w:tblPrEx>
          <w:shd w:val="clear" w:color="auto" w:fill="auto"/>
          <w:tblCellMar>
            <w:top w:w="0" w:type="dxa"/>
            <w:left w:w="0" w:type="dxa"/>
            <w:bottom w:w="0" w:type="dxa"/>
            <w:right w:w="0" w:type="dxa"/>
          </w:tblCellMar>
        </w:tblPrEx>
        <w:trPr>
          <w:trHeight w:val="326" w:hRule="atLeast"/>
        </w:trPr>
        <w:tc>
          <w:tcPr>
            <w:tcW w:w="0" w:type="auto"/>
            <w:gridSpan w:val="7"/>
            <w:tcBorders>
              <w:top w:val="nil"/>
              <w:left w:val="nil"/>
              <w:bottom w:val="nil"/>
              <w:right w:val="nil"/>
            </w:tcBorders>
            <w:shd w:val="clear" w:color="auto" w:fill="auto"/>
            <w:noWrap/>
            <w:tcMar>
              <w:top w:w="12" w:type="dxa"/>
              <w:left w:w="12" w:type="dxa"/>
              <w:right w:w="12" w:type="dxa"/>
            </w:tcMar>
            <w:vAlign w:val="center"/>
          </w:tcPr>
          <w:p w14:paraId="18E20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14:paraId="77DCD80A">
      <w:pPr>
        <w:widowControl/>
        <w:spacing w:line="560" w:lineRule="exact"/>
        <w:jc w:val="left"/>
        <w:rPr>
          <w:kern w:val="0"/>
          <w:sz w:val="21"/>
          <w:szCs w:val="21"/>
        </w:rPr>
      </w:pPr>
      <w:r>
        <w:rPr>
          <w:color w:val="000000"/>
          <w:kern w:val="0"/>
          <w:sz w:val="21"/>
          <w:szCs w:val="21"/>
        </w:rPr>
        <w:t xml:space="preserve">         </w:t>
      </w:r>
    </w:p>
    <w:p w14:paraId="57C92730">
      <w:pPr>
        <w:widowControl/>
        <w:spacing w:line="560" w:lineRule="exact"/>
        <w:jc w:val="left"/>
        <w:rPr>
          <w:kern w:val="0"/>
          <w:sz w:val="21"/>
          <w:szCs w:val="21"/>
        </w:rPr>
      </w:pPr>
      <w:r>
        <w:rPr>
          <w:kern w:val="0"/>
          <w:sz w:val="21"/>
          <w:szCs w:val="21"/>
        </w:rPr>
        <w:br w:type="page"/>
      </w:r>
    </w:p>
    <w:p w14:paraId="27532864">
      <w:pPr>
        <w:widowControl/>
        <w:autoSpaceDE w:val="0"/>
        <w:spacing w:line="560" w:lineRule="exact"/>
        <w:jc w:val="center"/>
        <w:rPr>
          <w:rFonts w:hint="eastAsia" w:ascii="黑体" w:hAnsi="黑体" w:eastAsia="黑体"/>
          <w:color w:val="000000"/>
          <w:kern w:val="0"/>
          <w:sz w:val="36"/>
          <w:szCs w:val="36"/>
        </w:rPr>
      </w:pPr>
      <w:r>
        <w:rPr>
          <w:rFonts w:hint="eastAsia" w:ascii="黑体" w:hAnsi="黑体" w:eastAsia="黑体"/>
          <w:color w:val="000000"/>
          <w:kern w:val="0"/>
          <w:sz w:val="36"/>
          <w:szCs w:val="36"/>
        </w:rPr>
        <w:t>一般公共预算财政拨款基本支出决算表</w:t>
      </w:r>
    </w:p>
    <w:tbl>
      <w:tblPr>
        <w:tblStyle w:val="5"/>
        <w:tblW w:w="14276" w:type="dxa"/>
        <w:tblInd w:w="0" w:type="dxa"/>
        <w:shd w:val="clear" w:color="auto" w:fill="auto"/>
        <w:tblLayout w:type="autofit"/>
        <w:tblCellMar>
          <w:top w:w="0" w:type="dxa"/>
          <w:left w:w="0" w:type="dxa"/>
          <w:bottom w:w="0" w:type="dxa"/>
          <w:right w:w="0" w:type="dxa"/>
        </w:tblCellMar>
      </w:tblPr>
      <w:tblGrid>
        <w:gridCol w:w="727"/>
        <w:gridCol w:w="2874"/>
        <w:gridCol w:w="1119"/>
        <w:gridCol w:w="727"/>
        <w:gridCol w:w="2008"/>
        <w:gridCol w:w="1235"/>
        <w:gridCol w:w="727"/>
        <w:gridCol w:w="3634"/>
        <w:gridCol w:w="1354"/>
      </w:tblGrid>
      <w:tr w14:paraId="3105ED7B">
        <w:tblPrEx>
          <w:tblCellMar>
            <w:top w:w="0" w:type="dxa"/>
            <w:left w:w="0" w:type="dxa"/>
            <w:bottom w:w="0" w:type="dxa"/>
            <w:right w:w="0" w:type="dxa"/>
          </w:tblCellMar>
        </w:tblPrEx>
        <w:trPr>
          <w:trHeight w:val="90" w:hRule="atLeast"/>
        </w:trPr>
        <w:tc>
          <w:tcPr>
            <w:tcW w:w="727" w:type="dxa"/>
            <w:tcBorders>
              <w:top w:val="nil"/>
              <w:left w:val="nil"/>
              <w:bottom w:val="nil"/>
              <w:right w:val="nil"/>
            </w:tcBorders>
            <w:shd w:val="clear" w:color="auto" w:fill="auto"/>
            <w:noWrap/>
            <w:tcMar>
              <w:top w:w="12" w:type="dxa"/>
              <w:left w:w="12" w:type="dxa"/>
              <w:right w:w="12" w:type="dxa"/>
            </w:tcMar>
            <w:vAlign w:val="bottom"/>
          </w:tcPr>
          <w:p w14:paraId="6D038CB6">
            <w:pPr>
              <w:rPr>
                <w:rFonts w:hint="eastAsia" w:ascii="Arial" w:hAnsi="Arial" w:cs="Arial"/>
                <w:i w:val="0"/>
                <w:color w:val="000000"/>
                <w:sz w:val="20"/>
                <w:szCs w:val="20"/>
                <w:u w:val="none"/>
              </w:rPr>
            </w:pPr>
          </w:p>
        </w:tc>
        <w:tc>
          <w:tcPr>
            <w:tcW w:w="2839" w:type="dxa"/>
            <w:tcBorders>
              <w:top w:val="nil"/>
              <w:left w:val="nil"/>
              <w:bottom w:val="nil"/>
              <w:right w:val="nil"/>
            </w:tcBorders>
            <w:shd w:val="clear" w:color="auto" w:fill="auto"/>
            <w:noWrap/>
            <w:tcMar>
              <w:top w:w="12" w:type="dxa"/>
              <w:left w:w="12" w:type="dxa"/>
              <w:right w:w="12" w:type="dxa"/>
            </w:tcMar>
            <w:vAlign w:val="bottom"/>
          </w:tcPr>
          <w:p w14:paraId="55A487DB">
            <w:pPr>
              <w:rPr>
                <w:rFonts w:hint="default" w:ascii="Arial" w:hAnsi="Arial" w:cs="Arial"/>
                <w:i w:val="0"/>
                <w:color w:val="000000"/>
                <w:sz w:val="20"/>
                <w:szCs w:val="20"/>
                <w:u w:val="none"/>
              </w:rPr>
            </w:pPr>
          </w:p>
        </w:tc>
        <w:tc>
          <w:tcPr>
            <w:tcW w:w="1119" w:type="dxa"/>
            <w:tcBorders>
              <w:top w:val="nil"/>
              <w:left w:val="nil"/>
              <w:bottom w:val="nil"/>
              <w:right w:val="nil"/>
            </w:tcBorders>
            <w:shd w:val="clear" w:color="auto" w:fill="auto"/>
            <w:noWrap/>
            <w:tcMar>
              <w:top w:w="12" w:type="dxa"/>
              <w:left w:w="12" w:type="dxa"/>
              <w:right w:w="12" w:type="dxa"/>
            </w:tcMar>
            <w:vAlign w:val="bottom"/>
          </w:tcPr>
          <w:p w14:paraId="185A0A2B">
            <w:pPr>
              <w:rPr>
                <w:rFonts w:hint="default" w:ascii="Arial" w:hAnsi="Arial" w:cs="Arial"/>
                <w:i w:val="0"/>
                <w:color w:val="000000"/>
                <w:sz w:val="20"/>
                <w:szCs w:val="20"/>
                <w:u w:val="none"/>
              </w:rPr>
            </w:pPr>
          </w:p>
        </w:tc>
        <w:tc>
          <w:tcPr>
            <w:tcW w:w="727" w:type="dxa"/>
            <w:tcBorders>
              <w:top w:val="nil"/>
              <w:left w:val="nil"/>
              <w:bottom w:val="nil"/>
              <w:right w:val="nil"/>
            </w:tcBorders>
            <w:shd w:val="clear" w:color="auto" w:fill="auto"/>
            <w:noWrap/>
            <w:tcMar>
              <w:top w:w="12" w:type="dxa"/>
              <w:left w:w="12" w:type="dxa"/>
              <w:right w:w="12" w:type="dxa"/>
            </w:tcMar>
            <w:vAlign w:val="bottom"/>
          </w:tcPr>
          <w:p w14:paraId="20CE1C80">
            <w:pPr>
              <w:rPr>
                <w:rFonts w:hint="default" w:ascii="Arial" w:hAnsi="Arial" w:cs="Arial"/>
                <w:i w:val="0"/>
                <w:color w:val="000000"/>
                <w:sz w:val="20"/>
                <w:szCs w:val="20"/>
                <w:u w:val="none"/>
              </w:rPr>
            </w:pPr>
          </w:p>
        </w:tc>
        <w:tc>
          <w:tcPr>
            <w:tcW w:w="2008" w:type="dxa"/>
            <w:tcBorders>
              <w:top w:val="nil"/>
              <w:left w:val="nil"/>
              <w:bottom w:val="nil"/>
              <w:right w:val="nil"/>
            </w:tcBorders>
            <w:shd w:val="clear" w:color="auto" w:fill="auto"/>
            <w:noWrap/>
            <w:tcMar>
              <w:top w:w="12" w:type="dxa"/>
              <w:left w:w="12" w:type="dxa"/>
              <w:right w:w="12" w:type="dxa"/>
            </w:tcMar>
            <w:vAlign w:val="bottom"/>
          </w:tcPr>
          <w:p w14:paraId="2BE5D470">
            <w:pPr>
              <w:rPr>
                <w:rFonts w:hint="default" w:ascii="Arial" w:hAnsi="Arial" w:cs="Arial"/>
                <w:i w:val="0"/>
                <w:color w:val="000000"/>
                <w:sz w:val="20"/>
                <w:szCs w:val="20"/>
                <w:u w:val="none"/>
              </w:rPr>
            </w:pPr>
          </w:p>
        </w:tc>
        <w:tc>
          <w:tcPr>
            <w:tcW w:w="1235" w:type="dxa"/>
            <w:tcBorders>
              <w:top w:val="nil"/>
              <w:left w:val="nil"/>
              <w:bottom w:val="nil"/>
              <w:right w:val="nil"/>
            </w:tcBorders>
            <w:shd w:val="clear" w:color="auto" w:fill="auto"/>
            <w:noWrap/>
            <w:tcMar>
              <w:top w:w="12" w:type="dxa"/>
              <w:left w:w="12" w:type="dxa"/>
              <w:right w:w="12" w:type="dxa"/>
            </w:tcMar>
            <w:vAlign w:val="bottom"/>
          </w:tcPr>
          <w:p w14:paraId="5E6565B0">
            <w:pPr>
              <w:rPr>
                <w:rFonts w:hint="default" w:ascii="Arial" w:hAnsi="Arial" w:cs="Arial"/>
                <w:i w:val="0"/>
                <w:color w:val="000000"/>
                <w:sz w:val="20"/>
                <w:szCs w:val="20"/>
                <w:u w:val="none"/>
              </w:rPr>
            </w:pPr>
          </w:p>
        </w:tc>
        <w:tc>
          <w:tcPr>
            <w:tcW w:w="727" w:type="dxa"/>
            <w:tcBorders>
              <w:top w:val="nil"/>
              <w:left w:val="nil"/>
              <w:bottom w:val="nil"/>
              <w:right w:val="nil"/>
            </w:tcBorders>
            <w:shd w:val="clear" w:color="auto" w:fill="auto"/>
            <w:noWrap/>
            <w:tcMar>
              <w:top w:w="12" w:type="dxa"/>
              <w:left w:w="12" w:type="dxa"/>
              <w:right w:w="12" w:type="dxa"/>
            </w:tcMar>
            <w:vAlign w:val="bottom"/>
          </w:tcPr>
          <w:p w14:paraId="194BA599">
            <w:pPr>
              <w:rPr>
                <w:rFonts w:hint="default" w:ascii="Arial" w:hAnsi="Arial" w:cs="Arial"/>
                <w:i w:val="0"/>
                <w:color w:val="000000"/>
                <w:sz w:val="20"/>
                <w:szCs w:val="20"/>
                <w:u w:val="none"/>
              </w:rPr>
            </w:pPr>
          </w:p>
        </w:tc>
        <w:tc>
          <w:tcPr>
            <w:tcW w:w="3566" w:type="dxa"/>
            <w:tcBorders>
              <w:top w:val="nil"/>
              <w:left w:val="nil"/>
              <w:bottom w:val="nil"/>
              <w:right w:val="nil"/>
            </w:tcBorders>
            <w:shd w:val="clear" w:color="auto" w:fill="auto"/>
            <w:noWrap/>
            <w:tcMar>
              <w:top w:w="12" w:type="dxa"/>
              <w:left w:w="12" w:type="dxa"/>
              <w:right w:w="12" w:type="dxa"/>
            </w:tcMar>
            <w:vAlign w:val="bottom"/>
          </w:tcPr>
          <w:p w14:paraId="2A6ECFC4">
            <w:pPr>
              <w:rPr>
                <w:rFonts w:hint="default" w:ascii="Arial" w:hAnsi="Arial" w:cs="Arial"/>
                <w:i w:val="0"/>
                <w:color w:val="000000"/>
                <w:sz w:val="20"/>
                <w:szCs w:val="20"/>
                <w:u w:val="none"/>
              </w:rPr>
            </w:pPr>
          </w:p>
        </w:tc>
        <w:tc>
          <w:tcPr>
            <w:tcW w:w="1328" w:type="dxa"/>
            <w:tcBorders>
              <w:top w:val="nil"/>
              <w:left w:val="nil"/>
              <w:bottom w:val="nil"/>
              <w:right w:val="nil"/>
            </w:tcBorders>
            <w:shd w:val="clear" w:color="auto" w:fill="auto"/>
            <w:noWrap/>
            <w:tcMar>
              <w:top w:w="12" w:type="dxa"/>
              <w:left w:w="12" w:type="dxa"/>
              <w:right w:w="12" w:type="dxa"/>
            </w:tcMar>
            <w:vAlign w:val="bottom"/>
          </w:tcPr>
          <w:p w14:paraId="73063ADD">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14:paraId="2DCB2F85">
        <w:tblPrEx>
          <w:shd w:val="clear" w:color="auto" w:fill="auto"/>
          <w:tblCellMar>
            <w:top w:w="0" w:type="dxa"/>
            <w:left w:w="0" w:type="dxa"/>
            <w:bottom w:w="0" w:type="dxa"/>
            <w:right w:w="0" w:type="dxa"/>
          </w:tblCellMar>
        </w:tblPrEx>
        <w:trPr>
          <w:trHeight w:val="467" w:hRule="atLeast"/>
        </w:trPr>
        <w:tc>
          <w:tcPr>
            <w:tcW w:w="0" w:type="auto"/>
            <w:gridSpan w:val="2"/>
            <w:tcBorders>
              <w:top w:val="nil"/>
              <w:left w:val="nil"/>
              <w:bottom w:val="nil"/>
              <w:right w:val="nil"/>
            </w:tcBorders>
            <w:shd w:val="clear" w:color="auto" w:fill="auto"/>
            <w:noWrap/>
            <w:tcMar>
              <w:top w:w="12" w:type="dxa"/>
              <w:left w:w="12" w:type="dxa"/>
              <w:right w:w="12" w:type="dxa"/>
            </w:tcMar>
            <w:vAlign w:val="bottom"/>
          </w:tcPr>
          <w:p w14:paraId="41FB0978">
            <w:pPr>
              <w:keepNext w:val="0"/>
              <w:keepLines w:val="0"/>
              <w:widowControl/>
              <w:suppressLineNumbers w:val="0"/>
              <w:jc w:val="left"/>
              <w:textAlignment w:val="bottom"/>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部门：衡阳市人力资源和社会保障局</w:t>
            </w:r>
          </w:p>
        </w:tc>
        <w:tc>
          <w:tcPr>
            <w:tcW w:w="0" w:type="auto"/>
            <w:tcBorders>
              <w:top w:val="nil"/>
              <w:left w:val="nil"/>
              <w:bottom w:val="nil"/>
              <w:right w:val="nil"/>
            </w:tcBorders>
            <w:shd w:val="clear" w:color="auto" w:fill="auto"/>
            <w:noWrap/>
            <w:tcMar>
              <w:top w:w="12" w:type="dxa"/>
              <w:left w:w="12" w:type="dxa"/>
              <w:right w:w="12" w:type="dxa"/>
            </w:tcMar>
            <w:vAlign w:val="bottom"/>
          </w:tcPr>
          <w:p w14:paraId="70F6A872">
            <w:pPr>
              <w:rPr>
                <w:rFonts w:hint="default" w:ascii="Arial" w:hAnsi="Arial" w:cs="Arial"/>
                <w:i w:val="0"/>
                <w:color w:val="000000"/>
                <w:sz w:val="19"/>
                <w:szCs w:val="19"/>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5195FFCC">
            <w:pPr>
              <w:rPr>
                <w:rFonts w:hint="default" w:ascii="Arial" w:hAnsi="Arial" w:cs="Arial"/>
                <w:i w:val="0"/>
                <w:color w:val="000000"/>
                <w:sz w:val="19"/>
                <w:szCs w:val="19"/>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27972C9E">
            <w:pPr>
              <w:rPr>
                <w:rFonts w:hint="default" w:ascii="Arial" w:hAnsi="Arial" w:cs="Arial"/>
                <w:i w:val="0"/>
                <w:color w:val="000000"/>
                <w:sz w:val="19"/>
                <w:szCs w:val="19"/>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015B006C">
            <w:pPr>
              <w:rPr>
                <w:rFonts w:hint="default" w:ascii="Arial" w:hAnsi="Arial" w:cs="Arial"/>
                <w:i w:val="0"/>
                <w:color w:val="000000"/>
                <w:sz w:val="19"/>
                <w:szCs w:val="19"/>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34FFE785">
            <w:pPr>
              <w:rPr>
                <w:rFonts w:hint="default" w:ascii="Arial" w:hAnsi="Arial" w:cs="Arial"/>
                <w:i w:val="0"/>
                <w:color w:val="000000"/>
                <w:sz w:val="19"/>
                <w:szCs w:val="19"/>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330C07A0">
            <w:pPr>
              <w:rPr>
                <w:rFonts w:hint="default" w:ascii="Arial" w:hAnsi="Arial" w:cs="Arial"/>
                <w:i w:val="0"/>
                <w:color w:val="000000"/>
                <w:sz w:val="19"/>
                <w:szCs w:val="19"/>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5D597ACF">
            <w:pPr>
              <w:keepNext w:val="0"/>
              <w:keepLines w:val="0"/>
              <w:widowControl/>
              <w:suppressLineNumbers w:val="0"/>
              <w:jc w:val="right"/>
              <w:textAlignment w:val="bottom"/>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金额单位：万元</w:t>
            </w:r>
          </w:p>
        </w:tc>
      </w:tr>
      <w:tr w14:paraId="2F77141F">
        <w:tblPrEx>
          <w:tblCellMar>
            <w:top w:w="0" w:type="dxa"/>
            <w:left w:w="0" w:type="dxa"/>
            <w:bottom w:w="0" w:type="dxa"/>
            <w:right w:w="0" w:type="dxa"/>
          </w:tblCellMar>
        </w:tblPrEx>
        <w:trPr>
          <w:trHeight w:val="47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09F225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AC2D40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公用经费</w:t>
            </w:r>
          </w:p>
        </w:tc>
      </w:tr>
      <w:tr w14:paraId="40C2E8C5">
        <w:tblPrEx>
          <w:shd w:val="clear" w:color="auto" w:fill="auto"/>
          <w:tblCellMar>
            <w:top w:w="0" w:type="dxa"/>
            <w:left w:w="0" w:type="dxa"/>
            <w:bottom w:w="0" w:type="dxa"/>
            <w:right w:w="0" w:type="dxa"/>
          </w:tblCellMar>
        </w:tblPrEx>
        <w:trPr>
          <w:trHeight w:val="335" w:hRule="atLeast"/>
        </w:trPr>
        <w:tc>
          <w:tcPr>
            <w:tcW w:w="727" w:type="dxa"/>
            <w:vMerge w:val="restart"/>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0E2E67FC">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科目</w:t>
            </w:r>
          </w:p>
          <w:p w14:paraId="271120F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编码</w:t>
            </w:r>
          </w:p>
        </w:tc>
        <w:tc>
          <w:tcPr>
            <w:tcW w:w="2839"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6AB8EFC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科目名称</w:t>
            </w:r>
          </w:p>
        </w:tc>
        <w:tc>
          <w:tcPr>
            <w:tcW w:w="1119"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27DA01C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决算数</w:t>
            </w:r>
          </w:p>
        </w:tc>
        <w:tc>
          <w:tcPr>
            <w:tcW w:w="727"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027EB6EA">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科目</w:t>
            </w:r>
          </w:p>
          <w:p w14:paraId="011A8FE6">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编码</w:t>
            </w:r>
          </w:p>
        </w:tc>
        <w:tc>
          <w:tcPr>
            <w:tcW w:w="2008"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7D6B6CFD">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科目名称</w:t>
            </w:r>
          </w:p>
        </w:tc>
        <w:tc>
          <w:tcPr>
            <w:tcW w:w="1235"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3625C2D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决算数</w:t>
            </w:r>
          </w:p>
        </w:tc>
        <w:tc>
          <w:tcPr>
            <w:tcW w:w="727"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63F3B48A">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科目</w:t>
            </w:r>
          </w:p>
          <w:p w14:paraId="232F4B1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编码</w:t>
            </w:r>
          </w:p>
        </w:tc>
        <w:tc>
          <w:tcPr>
            <w:tcW w:w="3566"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68BF39CD">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科目名称</w:t>
            </w:r>
          </w:p>
        </w:tc>
        <w:tc>
          <w:tcPr>
            <w:tcW w:w="1328"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044E266C">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决算数</w:t>
            </w:r>
          </w:p>
        </w:tc>
      </w:tr>
      <w:tr w14:paraId="18B9AB6E">
        <w:tblPrEx>
          <w:shd w:val="clear" w:color="auto" w:fill="auto"/>
          <w:tblCellMar>
            <w:top w:w="0" w:type="dxa"/>
            <w:left w:w="0" w:type="dxa"/>
            <w:bottom w:w="0" w:type="dxa"/>
            <w:right w:w="0" w:type="dxa"/>
          </w:tblCellMar>
        </w:tblPrEx>
        <w:trPr>
          <w:trHeight w:val="598" w:hRule="atLeast"/>
        </w:trPr>
        <w:tc>
          <w:tcPr>
            <w:tcW w:w="727" w:type="dxa"/>
            <w:vMerge w:val="continue"/>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12EA50D8">
            <w:pPr>
              <w:jc w:val="center"/>
              <w:rPr>
                <w:rFonts w:hint="eastAsia" w:ascii="宋体" w:hAnsi="宋体" w:eastAsia="宋体" w:cs="宋体"/>
                <w:i w:val="0"/>
                <w:color w:val="000000"/>
                <w:sz w:val="19"/>
                <w:szCs w:val="19"/>
                <w:u w:val="none"/>
              </w:rPr>
            </w:pPr>
          </w:p>
        </w:tc>
        <w:tc>
          <w:tcPr>
            <w:tcW w:w="2839"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522556C0">
            <w:pPr>
              <w:jc w:val="center"/>
              <w:rPr>
                <w:rFonts w:hint="eastAsia" w:ascii="宋体" w:hAnsi="宋体" w:eastAsia="宋体" w:cs="宋体"/>
                <w:i w:val="0"/>
                <w:color w:val="000000"/>
                <w:sz w:val="19"/>
                <w:szCs w:val="19"/>
                <w:u w:val="none"/>
              </w:rPr>
            </w:pPr>
          </w:p>
        </w:tc>
        <w:tc>
          <w:tcPr>
            <w:tcW w:w="1119"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7432C89C">
            <w:pPr>
              <w:jc w:val="center"/>
              <w:rPr>
                <w:rFonts w:hint="eastAsia" w:ascii="宋体" w:hAnsi="宋体" w:eastAsia="宋体" w:cs="宋体"/>
                <w:i w:val="0"/>
                <w:color w:val="000000"/>
                <w:sz w:val="19"/>
                <w:szCs w:val="19"/>
                <w:u w:val="none"/>
              </w:rPr>
            </w:pPr>
          </w:p>
        </w:tc>
        <w:tc>
          <w:tcPr>
            <w:tcW w:w="727"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7D6199BC">
            <w:pPr>
              <w:jc w:val="center"/>
              <w:rPr>
                <w:rFonts w:hint="eastAsia" w:ascii="宋体" w:hAnsi="宋体" w:eastAsia="宋体" w:cs="宋体"/>
                <w:i w:val="0"/>
                <w:color w:val="000000"/>
                <w:sz w:val="19"/>
                <w:szCs w:val="19"/>
                <w:u w:val="none"/>
              </w:rPr>
            </w:pPr>
          </w:p>
        </w:tc>
        <w:tc>
          <w:tcPr>
            <w:tcW w:w="2008"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0F0EC545">
            <w:pPr>
              <w:jc w:val="center"/>
              <w:rPr>
                <w:rFonts w:hint="eastAsia" w:ascii="宋体" w:hAnsi="宋体" w:eastAsia="宋体" w:cs="宋体"/>
                <w:i w:val="0"/>
                <w:color w:val="000000"/>
                <w:sz w:val="19"/>
                <w:szCs w:val="19"/>
                <w:u w:val="none"/>
              </w:rPr>
            </w:pPr>
          </w:p>
        </w:tc>
        <w:tc>
          <w:tcPr>
            <w:tcW w:w="1235"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69BBBC9F">
            <w:pPr>
              <w:jc w:val="center"/>
              <w:rPr>
                <w:rFonts w:hint="eastAsia" w:ascii="宋体" w:hAnsi="宋体" w:eastAsia="宋体" w:cs="宋体"/>
                <w:i w:val="0"/>
                <w:color w:val="000000"/>
                <w:sz w:val="19"/>
                <w:szCs w:val="19"/>
                <w:u w:val="none"/>
              </w:rPr>
            </w:pPr>
          </w:p>
        </w:tc>
        <w:tc>
          <w:tcPr>
            <w:tcW w:w="727"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4072EA72">
            <w:pPr>
              <w:jc w:val="center"/>
              <w:rPr>
                <w:rFonts w:hint="eastAsia" w:ascii="宋体" w:hAnsi="宋体" w:eastAsia="宋体" w:cs="宋体"/>
                <w:i w:val="0"/>
                <w:color w:val="000000"/>
                <w:sz w:val="19"/>
                <w:szCs w:val="19"/>
                <w:u w:val="none"/>
              </w:rPr>
            </w:pPr>
          </w:p>
        </w:tc>
        <w:tc>
          <w:tcPr>
            <w:tcW w:w="3566"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740A1B20">
            <w:pPr>
              <w:jc w:val="center"/>
              <w:rPr>
                <w:rFonts w:hint="eastAsia" w:ascii="宋体" w:hAnsi="宋体" w:eastAsia="宋体" w:cs="宋体"/>
                <w:i w:val="0"/>
                <w:color w:val="000000"/>
                <w:sz w:val="19"/>
                <w:szCs w:val="19"/>
                <w:u w:val="none"/>
              </w:rPr>
            </w:pPr>
          </w:p>
        </w:tc>
        <w:tc>
          <w:tcPr>
            <w:tcW w:w="1328"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14:paraId="154FDBB4">
            <w:pPr>
              <w:jc w:val="center"/>
              <w:rPr>
                <w:rFonts w:hint="eastAsia" w:ascii="宋体" w:hAnsi="宋体" w:eastAsia="宋体" w:cs="宋体"/>
                <w:i w:val="0"/>
                <w:color w:val="000000"/>
                <w:sz w:val="19"/>
                <w:szCs w:val="19"/>
                <w:u w:val="none"/>
              </w:rPr>
            </w:pPr>
          </w:p>
        </w:tc>
      </w:tr>
      <w:tr w14:paraId="186ED456">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4AA0FF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381D6F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503632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4,638.09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B28EF2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11A4C44">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82CEFC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704.10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2E1BE6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DD4DEB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575050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38D418D">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76333A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30101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992942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5038FE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1,061.05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258BF6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30201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4E1849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634732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46.88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842DA5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30701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F392FD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465C77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49F03906">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3FC5A3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30102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B34E04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92B1B0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613.03</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E2ECF8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30202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454D29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AC4197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37.88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803D51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30702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424B604">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1DB5A2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5EAA0851">
        <w:tblPrEx>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D30210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30103</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ED19034">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36DE77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1,016.64</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8B85BC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30203</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7625C4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B81061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B1ECBA3">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0CFAD1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B63270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85.58</w:t>
            </w:r>
          </w:p>
        </w:tc>
      </w:tr>
      <w:tr w14:paraId="3C80A712">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8D47404">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30106</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5710EF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116828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142.95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C2C1FD5">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30204</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4485AE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33522E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2.81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E740B1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31001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B31BB7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FFC1FB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23FAEB30">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402577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30107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1E21F8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E95CB2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164.21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8E2DB3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30205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A16D2E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73D30B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22.12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DEECD8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31002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2212DB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CD2E31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2.58</w:t>
            </w:r>
          </w:p>
        </w:tc>
      </w:tr>
      <w:tr w14:paraId="7FC0E76C">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F78CDF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30108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D148D4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B2DF9B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521.77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E25345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30206</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EBC52D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8B1ECE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81.25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1DE32B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31003</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067226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8EC9B2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6D826264">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F14F25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30109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3AF335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1227EE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3.54</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DB6D15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30207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3145A3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1810D9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25.81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C7E3AC5">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31005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6DCC2F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7FF2BD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1E91BC67">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C95743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30110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A20EBE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AC823C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494.30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46B86F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30208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97AA1A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AB1C4F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BCABC55">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31006</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9BA22D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55D827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FB9A6AC">
        <w:tblPrEx>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C8A233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30111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82B3AD3">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0D0768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59.89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62E169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30209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356CED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FFDAD9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61.81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BB2E48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31007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F91B84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8084ED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83.00</w:t>
            </w:r>
          </w:p>
        </w:tc>
      </w:tr>
      <w:tr w14:paraId="66A7D632">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2D3FDE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30112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733DC0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C400F2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35.07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04A103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30211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719CC3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375D52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48.68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A75895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31008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D04AA2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49B68F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1E6E92F1">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C5737B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30113</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0BD837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999A5C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345.18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A3608A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30212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02685C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EF4546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4.80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54BD4E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31009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660164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04CB30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0E0BFAE8">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E7BBB1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30114</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42034D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B8BC9A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24.75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2E225A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30213</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FCEE7D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DF9DD8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19.48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754F01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31010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F3FEB7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35B78A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521167EB">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AFCDDB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30199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2F7ADF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2E3B37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155.70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46D90D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30214</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747F62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CE92E4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2.56</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2430BF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31011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E98BC53">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C5A0D4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0E8C985D">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59315F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547716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9289EE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74.15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7CAFE1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30215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36AF52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67FFDC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8.73</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ACD7165">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31012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F58C6A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B307D7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438C0900">
        <w:tblPrEx>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238553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30301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0BC81A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3A5FA2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514191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30216</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8AFE97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21D426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8.18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599DD3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31013</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F0246D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3E634C2">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145ED596">
        <w:tblPrEx>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5B53DD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30302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C788AC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B03495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07411D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30217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0691FB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4DD878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8.70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985B6C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31019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1DCDC45">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BE84EA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0508CEC">
        <w:tblPrEx>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2AC09A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30303</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9A7F23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3A6BBC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9E42545">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30218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F6714E9">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7069C3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692F97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31021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06EF2A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59A20D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22F09746">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A5386B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30304</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D985E8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5C9EC2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5D964C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30224</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00845F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EB610A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001EA95">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31022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D0BC355">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AF0776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6E8CF2C0">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3FB271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30305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4F89D0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A0C7B4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18.79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AB6D9B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30225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7E6285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60A51F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8CCFED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31099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311AF4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052C0F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42F9DBBE">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D208CF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30306</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7DC938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338572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4B0AB8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30226</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A78A3A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7F749F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8.55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810F49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399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9AA313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6B87AE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A447BDD">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EFACE9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30307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713FB4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8D720A7">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24.06</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E98058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30227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FE0F56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AA6B3D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5.54</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AA1B29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39906</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E073FA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8DE63D4">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1F13F260">
        <w:tblPrEx>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F3A323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30308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D75B74C">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09BFFB0">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0.17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ADEFAE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30228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0C9942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D92999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73.05</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E7BA3F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39907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10EDE9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8FB5873">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78D7160">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D3FD4D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30309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D6DCAE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3C27B1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15.14</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415616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30229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DCB166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E01B12F">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BE30A15">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39908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DFC9FF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8CD6CC8">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71BF0CA7">
        <w:tblPrEx>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491981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30310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A8F7FDE">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41E61EC">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32CF23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30231</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A6AE8A7">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70223D5">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37.33</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EBEC7B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39999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5ED0E3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A42BBB1">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r>
      <w:tr w14:paraId="19320E5F">
        <w:tblPrEx>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7A6A7ED">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30399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70E17D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A9FE93B">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15.98</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2C6F6E2">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30239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54A36C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0A1437A">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69.47</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E7B143D">
            <w:pPr>
              <w:jc w:val="lef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39A2DC7">
            <w:pPr>
              <w:jc w:val="lef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273BE86">
            <w:pPr>
              <w:jc w:val="right"/>
              <w:rPr>
                <w:rFonts w:hint="eastAsia" w:ascii="宋体" w:hAnsi="宋体" w:eastAsia="宋体" w:cs="宋体"/>
                <w:i w:val="0"/>
                <w:color w:val="000000"/>
                <w:sz w:val="19"/>
                <w:szCs w:val="19"/>
                <w:u w:val="none"/>
              </w:rPr>
            </w:pPr>
          </w:p>
        </w:tc>
      </w:tr>
      <w:tr w14:paraId="07E2F167">
        <w:tblPrEx>
          <w:shd w:val="clear" w:color="auto" w:fill="auto"/>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617318B">
            <w:pPr>
              <w:jc w:val="lef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294A786">
            <w:pPr>
              <w:jc w:val="lef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2CEAD13">
            <w:pPr>
              <w:jc w:val="righ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3849F14">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30240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A1413A3">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A0AA936">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0D6859D6">
            <w:pPr>
              <w:jc w:val="lef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089D81E">
            <w:pPr>
              <w:jc w:val="lef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14269DD4">
            <w:pPr>
              <w:jc w:val="right"/>
              <w:rPr>
                <w:rFonts w:hint="eastAsia" w:ascii="宋体" w:hAnsi="宋体" w:eastAsia="宋体" w:cs="宋体"/>
                <w:i w:val="0"/>
                <w:color w:val="000000"/>
                <w:sz w:val="19"/>
                <w:szCs w:val="19"/>
                <w:u w:val="none"/>
              </w:rPr>
            </w:pPr>
          </w:p>
        </w:tc>
      </w:tr>
      <w:tr w14:paraId="37D09B60">
        <w:tblPrEx>
          <w:tblCellMar>
            <w:top w:w="0" w:type="dxa"/>
            <w:left w:w="0" w:type="dxa"/>
            <w:bottom w:w="0" w:type="dxa"/>
            <w:right w:w="0" w:type="dxa"/>
          </w:tblCellMar>
        </w:tblPrEx>
        <w:trPr>
          <w:trHeight w:val="47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A19930C">
            <w:pPr>
              <w:jc w:val="lef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9D1C6CC">
            <w:pPr>
              <w:jc w:val="lef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C2947CB">
            <w:pPr>
              <w:jc w:val="righ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864EDEB">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30299</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DD34C1A">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76D7FAED">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125.92</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660B71E">
            <w:pPr>
              <w:jc w:val="lef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9B79A9D">
            <w:pPr>
              <w:jc w:val="left"/>
              <w:rPr>
                <w:rFonts w:hint="eastAsia" w:ascii="宋体" w:hAnsi="宋体" w:eastAsia="宋体" w:cs="宋体"/>
                <w:i w:val="0"/>
                <w:color w:val="000000"/>
                <w:sz w:val="19"/>
                <w:szCs w:val="19"/>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8FFDE26">
            <w:pPr>
              <w:jc w:val="right"/>
              <w:rPr>
                <w:rFonts w:hint="eastAsia" w:ascii="宋体" w:hAnsi="宋体" w:eastAsia="宋体" w:cs="宋体"/>
                <w:i w:val="0"/>
                <w:color w:val="000000"/>
                <w:sz w:val="19"/>
                <w:szCs w:val="19"/>
                <w:u w:val="none"/>
              </w:rPr>
            </w:pPr>
          </w:p>
        </w:tc>
      </w:tr>
      <w:tr w14:paraId="17A09B21">
        <w:tblPrEx>
          <w:shd w:val="clear" w:color="auto" w:fill="auto"/>
          <w:tblCellMar>
            <w:top w:w="0" w:type="dxa"/>
            <w:left w:w="0" w:type="dxa"/>
            <w:bottom w:w="0" w:type="dxa"/>
            <w:right w:w="0" w:type="dxa"/>
          </w:tblCellMar>
        </w:tblPrEx>
        <w:trPr>
          <w:trHeight w:val="478" w:hRule="atLeast"/>
        </w:trPr>
        <w:tc>
          <w:tcPr>
            <w:tcW w:w="0" w:type="auto"/>
            <w:gridSpan w:val="2"/>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4472BF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487DCEF9">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4,712.24</w:t>
            </w:r>
          </w:p>
        </w:tc>
        <w:tc>
          <w:tcPr>
            <w:tcW w:w="0" w:type="auto"/>
            <w:gridSpan w:val="5"/>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EE636E4">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2DDF0A2E">
            <w:pPr>
              <w:keepNext w:val="0"/>
              <w:keepLines w:val="0"/>
              <w:widowControl/>
              <w:suppressLineNumbers w:val="0"/>
              <w:jc w:val="righ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789.67</w:t>
            </w:r>
          </w:p>
        </w:tc>
      </w:tr>
      <w:tr w14:paraId="64F6432C">
        <w:tblPrEx>
          <w:tblCellMar>
            <w:top w:w="0" w:type="dxa"/>
            <w:left w:w="0" w:type="dxa"/>
            <w:bottom w:w="0" w:type="dxa"/>
            <w:right w:w="0" w:type="dxa"/>
          </w:tblCellMar>
        </w:tblPrEx>
        <w:trPr>
          <w:trHeight w:val="478" w:hRule="atLeast"/>
        </w:trPr>
        <w:tc>
          <w:tcPr>
            <w:tcW w:w="0" w:type="auto"/>
            <w:gridSpan w:val="9"/>
            <w:tcBorders>
              <w:top w:val="nil"/>
              <w:left w:val="nil"/>
              <w:bottom w:val="nil"/>
              <w:right w:val="nil"/>
            </w:tcBorders>
            <w:shd w:val="clear" w:color="auto" w:fill="FFFFFF" w:themeFill="background1"/>
            <w:noWrap/>
            <w:tcMar>
              <w:top w:w="12" w:type="dxa"/>
              <w:left w:w="12" w:type="dxa"/>
              <w:right w:w="12" w:type="dxa"/>
            </w:tcMar>
            <w:vAlign w:val="center"/>
          </w:tcPr>
          <w:p w14:paraId="05B23178">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注：本表反映部门本年度一般公共预算财政拨款基本支出明细情况。</w:t>
            </w:r>
          </w:p>
        </w:tc>
      </w:tr>
    </w:tbl>
    <w:p w14:paraId="18B4BA6C">
      <w:pPr>
        <w:widowControl/>
        <w:spacing w:line="200" w:lineRule="exact"/>
        <w:jc w:val="left"/>
        <w:rPr>
          <w:rFonts w:eastAsia="黑体"/>
          <w:sz w:val="21"/>
          <w:szCs w:val="21"/>
        </w:rPr>
      </w:pPr>
      <w:r>
        <w:rPr>
          <w:color w:val="000000"/>
          <w:kern w:val="0"/>
          <w:sz w:val="21"/>
          <w:szCs w:val="21"/>
        </w:rPr>
        <w:t xml:space="preserve">   </w:t>
      </w:r>
    </w:p>
    <w:p w14:paraId="6E304CB6">
      <w:pPr>
        <w:widowControl/>
        <w:spacing w:line="560" w:lineRule="exact"/>
        <w:jc w:val="center"/>
        <w:rPr>
          <w:rFonts w:ascii="黑体" w:hAnsi="黑体" w:eastAsia="黑体"/>
          <w:color w:val="000000"/>
          <w:kern w:val="0"/>
          <w:sz w:val="36"/>
          <w:szCs w:val="36"/>
        </w:rPr>
      </w:pPr>
      <w:r>
        <w:rPr>
          <w:rFonts w:hint="eastAsia" w:ascii="黑体" w:hAnsi="黑体" w:eastAsia="黑体"/>
          <w:color w:val="000000"/>
          <w:kern w:val="0"/>
          <w:sz w:val="36"/>
          <w:szCs w:val="36"/>
        </w:rPr>
        <w:t>一般公共预算财政拨款“三公”经费支出决算表</w:t>
      </w:r>
    </w:p>
    <w:tbl>
      <w:tblPr>
        <w:tblStyle w:val="5"/>
        <w:tblW w:w="14640" w:type="dxa"/>
        <w:tblInd w:w="-329" w:type="dxa"/>
        <w:shd w:val="clear" w:color="auto" w:fill="auto"/>
        <w:tblLayout w:type="autofit"/>
        <w:tblCellMar>
          <w:top w:w="0" w:type="dxa"/>
          <w:left w:w="0" w:type="dxa"/>
          <w:bottom w:w="0" w:type="dxa"/>
          <w:right w:w="0" w:type="dxa"/>
        </w:tblCellMar>
      </w:tblPr>
      <w:tblGrid>
        <w:gridCol w:w="329"/>
        <w:gridCol w:w="727"/>
        <w:gridCol w:w="164"/>
        <w:gridCol w:w="1220"/>
        <w:gridCol w:w="1220"/>
        <w:gridCol w:w="235"/>
        <w:gridCol w:w="985"/>
        <w:gridCol w:w="134"/>
        <w:gridCol w:w="727"/>
        <w:gridCol w:w="359"/>
        <w:gridCol w:w="1220"/>
        <w:gridCol w:w="429"/>
        <w:gridCol w:w="791"/>
        <w:gridCol w:w="444"/>
        <w:gridCol w:w="727"/>
        <w:gridCol w:w="49"/>
        <w:gridCol w:w="1220"/>
        <w:gridCol w:w="1220"/>
        <w:gridCol w:w="1077"/>
        <w:gridCol w:w="143"/>
        <w:gridCol w:w="1211"/>
        <w:gridCol w:w="9"/>
      </w:tblGrid>
      <w:tr w14:paraId="4F3F8201">
        <w:tblPrEx>
          <w:shd w:val="clear" w:color="auto" w:fill="auto"/>
          <w:tblCellMar>
            <w:top w:w="0" w:type="dxa"/>
            <w:left w:w="0" w:type="dxa"/>
            <w:bottom w:w="0" w:type="dxa"/>
            <w:right w:w="0" w:type="dxa"/>
          </w:tblCellMar>
        </w:tblPrEx>
        <w:trPr>
          <w:gridBefore w:val="1"/>
          <w:gridAfter w:val="1"/>
          <w:wBefore w:w="329" w:type="dxa"/>
          <w:wAfter w:w="9" w:type="dxa"/>
          <w:trHeight w:val="90" w:hRule="atLeast"/>
        </w:trPr>
        <w:tc>
          <w:tcPr>
            <w:tcW w:w="727" w:type="dxa"/>
            <w:tcBorders>
              <w:top w:val="nil"/>
              <w:left w:val="nil"/>
              <w:bottom w:val="nil"/>
              <w:right w:val="nil"/>
            </w:tcBorders>
            <w:shd w:val="clear" w:color="auto" w:fill="auto"/>
            <w:noWrap/>
            <w:tcMar>
              <w:top w:w="12" w:type="dxa"/>
              <w:left w:w="12" w:type="dxa"/>
              <w:right w:w="12" w:type="dxa"/>
            </w:tcMar>
            <w:vAlign w:val="bottom"/>
          </w:tcPr>
          <w:p w14:paraId="12D12447">
            <w:pPr>
              <w:rPr>
                <w:rFonts w:hint="eastAsia" w:ascii="Arial" w:hAnsi="Arial" w:cs="Arial"/>
                <w:i w:val="0"/>
                <w:color w:val="000000"/>
                <w:sz w:val="20"/>
                <w:szCs w:val="20"/>
                <w:u w:val="none"/>
              </w:rPr>
            </w:pPr>
          </w:p>
        </w:tc>
        <w:tc>
          <w:tcPr>
            <w:tcW w:w="2839" w:type="dxa"/>
            <w:gridSpan w:val="4"/>
            <w:tcBorders>
              <w:top w:val="nil"/>
              <w:left w:val="nil"/>
              <w:bottom w:val="nil"/>
              <w:right w:val="nil"/>
            </w:tcBorders>
            <w:shd w:val="clear" w:color="auto" w:fill="auto"/>
            <w:noWrap/>
            <w:tcMar>
              <w:top w:w="12" w:type="dxa"/>
              <w:left w:w="12" w:type="dxa"/>
              <w:right w:w="12" w:type="dxa"/>
            </w:tcMar>
            <w:vAlign w:val="bottom"/>
          </w:tcPr>
          <w:p w14:paraId="290C6FF6">
            <w:pPr>
              <w:rPr>
                <w:rFonts w:hint="default" w:ascii="Arial" w:hAnsi="Arial" w:cs="Arial"/>
                <w:i w:val="0"/>
                <w:color w:val="000000"/>
                <w:sz w:val="20"/>
                <w:szCs w:val="20"/>
                <w:u w:val="none"/>
              </w:rPr>
            </w:pPr>
          </w:p>
        </w:tc>
        <w:tc>
          <w:tcPr>
            <w:tcW w:w="1119" w:type="dxa"/>
            <w:gridSpan w:val="2"/>
            <w:tcBorders>
              <w:top w:val="nil"/>
              <w:left w:val="nil"/>
              <w:bottom w:val="nil"/>
              <w:right w:val="nil"/>
            </w:tcBorders>
            <w:shd w:val="clear" w:color="auto" w:fill="auto"/>
            <w:noWrap/>
            <w:tcMar>
              <w:top w:w="12" w:type="dxa"/>
              <w:left w:w="12" w:type="dxa"/>
              <w:right w:w="12" w:type="dxa"/>
            </w:tcMar>
            <w:vAlign w:val="bottom"/>
          </w:tcPr>
          <w:p w14:paraId="621F1C76">
            <w:pPr>
              <w:rPr>
                <w:rFonts w:hint="default" w:ascii="Arial" w:hAnsi="Arial" w:cs="Arial"/>
                <w:i w:val="0"/>
                <w:color w:val="000000"/>
                <w:sz w:val="20"/>
                <w:szCs w:val="20"/>
                <w:u w:val="none"/>
              </w:rPr>
            </w:pPr>
          </w:p>
        </w:tc>
        <w:tc>
          <w:tcPr>
            <w:tcW w:w="727" w:type="dxa"/>
            <w:tcBorders>
              <w:top w:val="nil"/>
              <w:left w:val="nil"/>
              <w:bottom w:val="nil"/>
              <w:right w:val="nil"/>
            </w:tcBorders>
            <w:shd w:val="clear" w:color="auto" w:fill="auto"/>
            <w:noWrap/>
            <w:tcMar>
              <w:top w:w="12" w:type="dxa"/>
              <w:left w:w="12" w:type="dxa"/>
              <w:right w:w="12" w:type="dxa"/>
            </w:tcMar>
            <w:vAlign w:val="bottom"/>
          </w:tcPr>
          <w:p w14:paraId="794297D2">
            <w:pPr>
              <w:rPr>
                <w:rFonts w:hint="default" w:ascii="Arial" w:hAnsi="Arial" w:cs="Arial"/>
                <w:i w:val="0"/>
                <w:color w:val="000000"/>
                <w:sz w:val="20"/>
                <w:szCs w:val="20"/>
                <w:u w:val="none"/>
              </w:rPr>
            </w:pPr>
          </w:p>
        </w:tc>
        <w:tc>
          <w:tcPr>
            <w:tcW w:w="2008" w:type="dxa"/>
            <w:gridSpan w:val="3"/>
            <w:tcBorders>
              <w:top w:val="nil"/>
              <w:left w:val="nil"/>
              <w:bottom w:val="nil"/>
              <w:right w:val="nil"/>
            </w:tcBorders>
            <w:shd w:val="clear" w:color="auto" w:fill="auto"/>
            <w:noWrap/>
            <w:tcMar>
              <w:top w:w="12" w:type="dxa"/>
              <w:left w:w="12" w:type="dxa"/>
              <w:right w:w="12" w:type="dxa"/>
            </w:tcMar>
            <w:vAlign w:val="bottom"/>
          </w:tcPr>
          <w:p w14:paraId="13BF1DE0">
            <w:pPr>
              <w:rPr>
                <w:rFonts w:hint="default" w:ascii="Arial" w:hAnsi="Arial" w:cs="Arial"/>
                <w:i w:val="0"/>
                <w:color w:val="000000"/>
                <w:sz w:val="20"/>
                <w:szCs w:val="20"/>
                <w:u w:val="none"/>
              </w:rPr>
            </w:pPr>
          </w:p>
        </w:tc>
        <w:tc>
          <w:tcPr>
            <w:tcW w:w="1235" w:type="dxa"/>
            <w:gridSpan w:val="2"/>
            <w:tcBorders>
              <w:top w:val="nil"/>
              <w:left w:val="nil"/>
              <w:bottom w:val="nil"/>
              <w:right w:val="nil"/>
            </w:tcBorders>
            <w:shd w:val="clear" w:color="auto" w:fill="auto"/>
            <w:noWrap/>
            <w:tcMar>
              <w:top w:w="12" w:type="dxa"/>
              <w:left w:w="12" w:type="dxa"/>
              <w:right w:w="12" w:type="dxa"/>
            </w:tcMar>
            <w:vAlign w:val="bottom"/>
          </w:tcPr>
          <w:p w14:paraId="3E3D6D1D">
            <w:pPr>
              <w:rPr>
                <w:rFonts w:hint="default" w:ascii="Arial" w:hAnsi="Arial" w:cs="Arial"/>
                <w:i w:val="0"/>
                <w:color w:val="000000"/>
                <w:sz w:val="20"/>
                <w:szCs w:val="20"/>
                <w:u w:val="none"/>
              </w:rPr>
            </w:pPr>
          </w:p>
        </w:tc>
        <w:tc>
          <w:tcPr>
            <w:tcW w:w="727" w:type="dxa"/>
            <w:tcBorders>
              <w:top w:val="nil"/>
              <w:left w:val="nil"/>
              <w:bottom w:val="nil"/>
              <w:right w:val="nil"/>
            </w:tcBorders>
            <w:shd w:val="clear" w:color="auto" w:fill="auto"/>
            <w:noWrap/>
            <w:tcMar>
              <w:top w:w="12" w:type="dxa"/>
              <w:left w:w="12" w:type="dxa"/>
              <w:right w:w="12" w:type="dxa"/>
            </w:tcMar>
            <w:vAlign w:val="bottom"/>
          </w:tcPr>
          <w:p w14:paraId="00307B4D">
            <w:pPr>
              <w:rPr>
                <w:rFonts w:hint="default" w:ascii="Arial" w:hAnsi="Arial" w:cs="Arial"/>
                <w:i w:val="0"/>
                <w:color w:val="000000"/>
                <w:sz w:val="20"/>
                <w:szCs w:val="20"/>
                <w:u w:val="none"/>
              </w:rPr>
            </w:pPr>
          </w:p>
        </w:tc>
        <w:tc>
          <w:tcPr>
            <w:tcW w:w="3566" w:type="dxa"/>
            <w:gridSpan w:val="4"/>
            <w:tcBorders>
              <w:top w:val="nil"/>
              <w:left w:val="nil"/>
              <w:bottom w:val="nil"/>
              <w:right w:val="nil"/>
            </w:tcBorders>
            <w:shd w:val="clear" w:color="auto" w:fill="auto"/>
            <w:noWrap/>
            <w:tcMar>
              <w:top w:w="12" w:type="dxa"/>
              <w:left w:w="12" w:type="dxa"/>
              <w:right w:w="12" w:type="dxa"/>
            </w:tcMar>
            <w:vAlign w:val="bottom"/>
          </w:tcPr>
          <w:p w14:paraId="227ACBA8">
            <w:pPr>
              <w:rPr>
                <w:rFonts w:hint="default" w:ascii="Arial" w:hAnsi="Arial" w:cs="Arial"/>
                <w:i w:val="0"/>
                <w:color w:val="000000"/>
                <w:sz w:val="20"/>
                <w:szCs w:val="20"/>
                <w:u w:val="none"/>
              </w:rPr>
            </w:pPr>
          </w:p>
        </w:tc>
        <w:tc>
          <w:tcPr>
            <w:tcW w:w="1354" w:type="dxa"/>
            <w:gridSpan w:val="2"/>
            <w:tcBorders>
              <w:top w:val="nil"/>
              <w:left w:val="nil"/>
              <w:bottom w:val="nil"/>
              <w:right w:val="nil"/>
            </w:tcBorders>
            <w:shd w:val="clear" w:color="auto" w:fill="auto"/>
            <w:noWrap/>
            <w:tcMar>
              <w:top w:w="12" w:type="dxa"/>
              <w:left w:w="12" w:type="dxa"/>
              <w:right w:w="12" w:type="dxa"/>
            </w:tcMar>
            <w:vAlign w:val="bottom"/>
          </w:tcPr>
          <w:p w14:paraId="3AEE02EF">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公开07表</w:t>
            </w:r>
          </w:p>
        </w:tc>
      </w:tr>
      <w:tr w14:paraId="11DB45D1">
        <w:tblPrEx>
          <w:shd w:val="clear" w:color="auto" w:fill="auto"/>
          <w:tblCellMar>
            <w:top w:w="0" w:type="dxa"/>
            <w:left w:w="0" w:type="dxa"/>
            <w:bottom w:w="0" w:type="dxa"/>
            <w:right w:w="0" w:type="dxa"/>
          </w:tblCellMar>
        </w:tblPrEx>
        <w:trPr>
          <w:gridBefore w:val="1"/>
          <w:gridAfter w:val="1"/>
          <w:wBefore w:w="329" w:type="dxa"/>
          <w:wAfter w:w="9" w:type="dxa"/>
          <w:trHeight w:val="467" w:hRule="atLeast"/>
        </w:trPr>
        <w:tc>
          <w:tcPr>
            <w:tcW w:w="3566" w:type="dxa"/>
            <w:gridSpan w:val="5"/>
            <w:tcBorders>
              <w:top w:val="nil"/>
              <w:left w:val="nil"/>
              <w:bottom w:val="nil"/>
              <w:right w:val="nil"/>
            </w:tcBorders>
            <w:shd w:val="clear" w:color="auto" w:fill="auto"/>
            <w:noWrap/>
            <w:tcMar>
              <w:top w:w="12" w:type="dxa"/>
              <w:left w:w="12" w:type="dxa"/>
              <w:right w:w="12" w:type="dxa"/>
            </w:tcMar>
            <w:vAlign w:val="bottom"/>
          </w:tcPr>
          <w:p w14:paraId="5FDCFBC0">
            <w:pPr>
              <w:keepNext w:val="0"/>
              <w:keepLines w:val="0"/>
              <w:widowControl/>
              <w:suppressLineNumbers w:val="0"/>
              <w:jc w:val="left"/>
              <w:textAlignment w:val="bottom"/>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部门：衡阳市人力资源和社会保障局</w:t>
            </w:r>
          </w:p>
        </w:tc>
        <w:tc>
          <w:tcPr>
            <w:tcW w:w="1119" w:type="dxa"/>
            <w:gridSpan w:val="2"/>
            <w:tcBorders>
              <w:top w:val="nil"/>
              <w:left w:val="nil"/>
              <w:bottom w:val="nil"/>
              <w:right w:val="nil"/>
            </w:tcBorders>
            <w:shd w:val="clear" w:color="auto" w:fill="auto"/>
            <w:noWrap/>
            <w:tcMar>
              <w:top w:w="12" w:type="dxa"/>
              <w:left w:w="12" w:type="dxa"/>
              <w:right w:w="12" w:type="dxa"/>
            </w:tcMar>
            <w:vAlign w:val="bottom"/>
          </w:tcPr>
          <w:p w14:paraId="289CA00B">
            <w:pPr>
              <w:rPr>
                <w:rFonts w:hint="default" w:ascii="Arial" w:hAnsi="Arial" w:cs="Arial"/>
                <w:i w:val="0"/>
                <w:color w:val="000000"/>
                <w:sz w:val="19"/>
                <w:szCs w:val="19"/>
                <w:u w:val="none"/>
              </w:rPr>
            </w:pPr>
          </w:p>
        </w:tc>
        <w:tc>
          <w:tcPr>
            <w:tcW w:w="727" w:type="dxa"/>
            <w:tcBorders>
              <w:top w:val="nil"/>
              <w:left w:val="nil"/>
              <w:bottom w:val="nil"/>
              <w:right w:val="nil"/>
            </w:tcBorders>
            <w:shd w:val="clear" w:color="auto" w:fill="auto"/>
            <w:noWrap/>
            <w:tcMar>
              <w:top w:w="12" w:type="dxa"/>
              <w:left w:w="12" w:type="dxa"/>
              <w:right w:w="12" w:type="dxa"/>
            </w:tcMar>
            <w:vAlign w:val="bottom"/>
          </w:tcPr>
          <w:p w14:paraId="54D34EAC">
            <w:pPr>
              <w:rPr>
                <w:rFonts w:hint="default" w:ascii="Arial" w:hAnsi="Arial" w:cs="Arial"/>
                <w:i w:val="0"/>
                <w:color w:val="000000"/>
                <w:sz w:val="19"/>
                <w:szCs w:val="19"/>
                <w:u w:val="none"/>
              </w:rPr>
            </w:pPr>
          </w:p>
        </w:tc>
        <w:tc>
          <w:tcPr>
            <w:tcW w:w="2008" w:type="dxa"/>
            <w:gridSpan w:val="3"/>
            <w:tcBorders>
              <w:top w:val="nil"/>
              <w:left w:val="nil"/>
              <w:bottom w:val="nil"/>
              <w:right w:val="nil"/>
            </w:tcBorders>
            <w:shd w:val="clear" w:color="auto" w:fill="auto"/>
            <w:noWrap/>
            <w:tcMar>
              <w:top w:w="12" w:type="dxa"/>
              <w:left w:w="12" w:type="dxa"/>
              <w:right w:w="12" w:type="dxa"/>
            </w:tcMar>
            <w:vAlign w:val="bottom"/>
          </w:tcPr>
          <w:p w14:paraId="0E9BB989">
            <w:pPr>
              <w:rPr>
                <w:rFonts w:hint="default" w:ascii="Arial" w:hAnsi="Arial" w:cs="Arial"/>
                <w:i w:val="0"/>
                <w:color w:val="000000"/>
                <w:sz w:val="19"/>
                <w:szCs w:val="19"/>
                <w:u w:val="none"/>
              </w:rPr>
            </w:pPr>
          </w:p>
        </w:tc>
        <w:tc>
          <w:tcPr>
            <w:tcW w:w="1235" w:type="dxa"/>
            <w:gridSpan w:val="2"/>
            <w:tcBorders>
              <w:top w:val="nil"/>
              <w:left w:val="nil"/>
              <w:bottom w:val="nil"/>
              <w:right w:val="nil"/>
            </w:tcBorders>
            <w:shd w:val="clear" w:color="auto" w:fill="auto"/>
            <w:noWrap/>
            <w:tcMar>
              <w:top w:w="12" w:type="dxa"/>
              <w:left w:w="12" w:type="dxa"/>
              <w:right w:w="12" w:type="dxa"/>
            </w:tcMar>
            <w:vAlign w:val="bottom"/>
          </w:tcPr>
          <w:p w14:paraId="5DA748CE">
            <w:pPr>
              <w:rPr>
                <w:rFonts w:hint="default" w:ascii="Arial" w:hAnsi="Arial" w:cs="Arial"/>
                <w:i w:val="0"/>
                <w:color w:val="000000"/>
                <w:sz w:val="19"/>
                <w:szCs w:val="19"/>
                <w:u w:val="none"/>
              </w:rPr>
            </w:pPr>
          </w:p>
        </w:tc>
        <w:tc>
          <w:tcPr>
            <w:tcW w:w="727" w:type="dxa"/>
            <w:tcBorders>
              <w:top w:val="nil"/>
              <w:left w:val="nil"/>
              <w:bottom w:val="nil"/>
              <w:right w:val="nil"/>
            </w:tcBorders>
            <w:shd w:val="clear" w:color="auto" w:fill="auto"/>
            <w:noWrap/>
            <w:tcMar>
              <w:top w:w="12" w:type="dxa"/>
              <w:left w:w="12" w:type="dxa"/>
              <w:right w:w="12" w:type="dxa"/>
            </w:tcMar>
            <w:vAlign w:val="bottom"/>
          </w:tcPr>
          <w:p w14:paraId="547A4ED0">
            <w:pPr>
              <w:rPr>
                <w:rFonts w:hint="default" w:ascii="Arial" w:hAnsi="Arial" w:cs="Arial"/>
                <w:i w:val="0"/>
                <w:color w:val="000000"/>
                <w:sz w:val="19"/>
                <w:szCs w:val="19"/>
                <w:u w:val="none"/>
              </w:rPr>
            </w:pPr>
          </w:p>
        </w:tc>
        <w:tc>
          <w:tcPr>
            <w:tcW w:w="3566" w:type="dxa"/>
            <w:gridSpan w:val="4"/>
            <w:tcBorders>
              <w:top w:val="nil"/>
              <w:left w:val="nil"/>
              <w:bottom w:val="nil"/>
              <w:right w:val="nil"/>
            </w:tcBorders>
            <w:shd w:val="clear" w:color="auto" w:fill="auto"/>
            <w:noWrap/>
            <w:tcMar>
              <w:top w:w="12" w:type="dxa"/>
              <w:left w:w="12" w:type="dxa"/>
              <w:right w:w="12" w:type="dxa"/>
            </w:tcMar>
            <w:vAlign w:val="bottom"/>
          </w:tcPr>
          <w:p w14:paraId="010DD8BD">
            <w:pPr>
              <w:rPr>
                <w:rFonts w:hint="default" w:ascii="Arial" w:hAnsi="Arial" w:cs="Arial"/>
                <w:i w:val="0"/>
                <w:color w:val="000000"/>
                <w:sz w:val="19"/>
                <w:szCs w:val="19"/>
                <w:u w:val="none"/>
              </w:rPr>
            </w:pPr>
          </w:p>
        </w:tc>
        <w:tc>
          <w:tcPr>
            <w:tcW w:w="1354" w:type="dxa"/>
            <w:gridSpan w:val="2"/>
            <w:tcBorders>
              <w:top w:val="nil"/>
              <w:left w:val="nil"/>
              <w:bottom w:val="nil"/>
              <w:right w:val="nil"/>
            </w:tcBorders>
            <w:shd w:val="clear" w:color="auto" w:fill="auto"/>
            <w:noWrap/>
            <w:tcMar>
              <w:top w:w="12" w:type="dxa"/>
              <w:left w:w="12" w:type="dxa"/>
              <w:right w:w="12" w:type="dxa"/>
            </w:tcMar>
            <w:vAlign w:val="bottom"/>
          </w:tcPr>
          <w:p w14:paraId="3629631A">
            <w:pPr>
              <w:keepNext w:val="0"/>
              <w:keepLines w:val="0"/>
              <w:widowControl/>
              <w:suppressLineNumbers w:val="0"/>
              <w:jc w:val="right"/>
              <w:textAlignment w:val="bottom"/>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金额单位：万元</w:t>
            </w:r>
          </w:p>
        </w:tc>
      </w:tr>
      <w:tr w14:paraId="3B3EBE59">
        <w:tblPrEx>
          <w:shd w:val="clear" w:color="auto" w:fill="auto"/>
          <w:tblCellMar>
            <w:top w:w="0" w:type="dxa"/>
            <w:left w:w="108" w:type="dxa"/>
            <w:bottom w:w="0" w:type="dxa"/>
            <w:right w:w="108" w:type="dxa"/>
          </w:tblCellMar>
        </w:tblPrEx>
        <w:trPr>
          <w:trHeight w:val="397" w:hRule="atLeast"/>
          <w:jc w:val="center"/>
        </w:trPr>
        <w:tc>
          <w:tcPr>
            <w:tcW w:w="7320" w:type="dxa"/>
            <w:gridSpan w:val="11"/>
            <w:tcBorders>
              <w:top w:val="single" w:color="auto" w:sz="8" w:space="0"/>
              <w:left w:val="single" w:color="auto" w:sz="8" w:space="0"/>
              <w:bottom w:val="single" w:color="auto" w:sz="4" w:space="0"/>
              <w:right w:val="single" w:color="000000" w:sz="4" w:space="0"/>
            </w:tcBorders>
            <w:shd w:val="clear" w:color="auto" w:fill="auto"/>
            <w:vAlign w:val="center"/>
          </w:tcPr>
          <w:p w14:paraId="38F73C3C">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预算数</w:t>
            </w:r>
          </w:p>
        </w:tc>
        <w:tc>
          <w:tcPr>
            <w:tcW w:w="7320" w:type="dxa"/>
            <w:gridSpan w:val="11"/>
            <w:tcBorders>
              <w:top w:val="single" w:color="auto" w:sz="8" w:space="0"/>
              <w:left w:val="nil"/>
              <w:bottom w:val="single" w:color="auto" w:sz="4" w:space="0"/>
              <w:right w:val="single" w:color="000000" w:sz="8" w:space="0"/>
            </w:tcBorders>
            <w:shd w:val="clear" w:color="auto" w:fill="auto"/>
            <w:vAlign w:val="center"/>
          </w:tcPr>
          <w:p w14:paraId="102BAA79">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决算数</w:t>
            </w:r>
          </w:p>
        </w:tc>
      </w:tr>
      <w:tr w14:paraId="0DD9CED8">
        <w:tblPrEx>
          <w:shd w:val="clear" w:color="auto" w:fill="auto"/>
          <w:tblCellMar>
            <w:top w:w="0" w:type="dxa"/>
            <w:left w:w="108" w:type="dxa"/>
            <w:bottom w:w="0" w:type="dxa"/>
            <w:right w:w="108" w:type="dxa"/>
          </w:tblCellMar>
        </w:tblPrEx>
        <w:trPr>
          <w:trHeight w:val="397" w:hRule="atLeast"/>
          <w:jc w:val="center"/>
        </w:trPr>
        <w:tc>
          <w:tcPr>
            <w:tcW w:w="1220" w:type="dxa"/>
            <w:gridSpan w:val="3"/>
            <w:vMerge w:val="restart"/>
            <w:tcBorders>
              <w:top w:val="nil"/>
              <w:left w:val="single" w:color="auto" w:sz="8" w:space="0"/>
              <w:bottom w:val="single" w:color="000000" w:sz="4" w:space="0"/>
              <w:right w:val="single" w:color="auto" w:sz="4" w:space="0"/>
            </w:tcBorders>
            <w:shd w:val="clear" w:color="auto" w:fill="auto"/>
            <w:vAlign w:val="center"/>
          </w:tcPr>
          <w:p w14:paraId="1501190F">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合计</w:t>
            </w:r>
          </w:p>
        </w:tc>
        <w:tc>
          <w:tcPr>
            <w:tcW w:w="1220" w:type="dxa"/>
            <w:vMerge w:val="restart"/>
            <w:tcBorders>
              <w:top w:val="nil"/>
              <w:left w:val="nil"/>
              <w:bottom w:val="single" w:color="000000" w:sz="4" w:space="0"/>
              <w:right w:val="single" w:color="auto" w:sz="4" w:space="0"/>
            </w:tcBorders>
            <w:shd w:val="clear" w:color="auto" w:fill="auto"/>
            <w:vAlign w:val="center"/>
          </w:tcPr>
          <w:p w14:paraId="4E28F113">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因公出国（境）费</w:t>
            </w:r>
          </w:p>
        </w:tc>
        <w:tc>
          <w:tcPr>
            <w:tcW w:w="3660" w:type="dxa"/>
            <w:gridSpan w:val="6"/>
            <w:tcBorders>
              <w:top w:val="single" w:color="auto" w:sz="4" w:space="0"/>
              <w:left w:val="nil"/>
              <w:bottom w:val="single" w:color="auto" w:sz="4" w:space="0"/>
              <w:right w:val="single" w:color="000000" w:sz="4" w:space="0"/>
            </w:tcBorders>
            <w:shd w:val="clear" w:color="auto" w:fill="auto"/>
            <w:vAlign w:val="center"/>
          </w:tcPr>
          <w:p w14:paraId="4B0CF5B5">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公务用车购置及运行费</w:t>
            </w:r>
          </w:p>
        </w:tc>
        <w:tc>
          <w:tcPr>
            <w:tcW w:w="1220" w:type="dxa"/>
            <w:vMerge w:val="restart"/>
            <w:tcBorders>
              <w:top w:val="nil"/>
              <w:left w:val="nil"/>
              <w:bottom w:val="single" w:color="auto" w:sz="4" w:space="0"/>
              <w:right w:val="single" w:color="auto" w:sz="4" w:space="0"/>
            </w:tcBorders>
            <w:shd w:val="clear" w:color="auto" w:fill="auto"/>
            <w:vAlign w:val="center"/>
          </w:tcPr>
          <w:p w14:paraId="5F83B28C">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公务</w:t>
            </w:r>
          </w:p>
          <w:p w14:paraId="7F0FF6E2">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接待费</w:t>
            </w:r>
          </w:p>
        </w:tc>
        <w:tc>
          <w:tcPr>
            <w:tcW w:w="1220" w:type="dxa"/>
            <w:gridSpan w:val="2"/>
            <w:vMerge w:val="restart"/>
            <w:tcBorders>
              <w:top w:val="nil"/>
              <w:left w:val="nil"/>
              <w:bottom w:val="single" w:color="000000" w:sz="4" w:space="0"/>
              <w:right w:val="single" w:color="auto" w:sz="4" w:space="0"/>
            </w:tcBorders>
            <w:shd w:val="clear" w:color="auto" w:fill="auto"/>
            <w:vAlign w:val="center"/>
          </w:tcPr>
          <w:p w14:paraId="3A7B11DB">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合计</w:t>
            </w:r>
          </w:p>
        </w:tc>
        <w:tc>
          <w:tcPr>
            <w:tcW w:w="1220" w:type="dxa"/>
            <w:gridSpan w:val="3"/>
            <w:vMerge w:val="restart"/>
            <w:tcBorders>
              <w:top w:val="nil"/>
              <w:left w:val="nil"/>
              <w:bottom w:val="single" w:color="000000" w:sz="4" w:space="0"/>
              <w:right w:val="single" w:color="auto" w:sz="4" w:space="0"/>
            </w:tcBorders>
            <w:shd w:val="clear" w:color="auto" w:fill="auto"/>
            <w:vAlign w:val="center"/>
          </w:tcPr>
          <w:p w14:paraId="6512EE0E">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因公出国（境）费</w:t>
            </w:r>
          </w:p>
        </w:tc>
        <w:tc>
          <w:tcPr>
            <w:tcW w:w="3660" w:type="dxa"/>
            <w:gridSpan w:val="4"/>
            <w:tcBorders>
              <w:top w:val="single" w:color="auto" w:sz="4" w:space="0"/>
              <w:left w:val="nil"/>
              <w:bottom w:val="nil"/>
              <w:right w:val="single" w:color="000000" w:sz="4" w:space="0"/>
            </w:tcBorders>
            <w:shd w:val="clear" w:color="auto" w:fill="auto"/>
            <w:vAlign w:val="center"/>
          </w:tcPr>
          <w:p w14:paraId="65B51A55">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公务用车购置及运行费</w:t>
            </w:r>
          </w:p>
        </w:tc>
        <w:tc>
          <w:tcPr>
            <w:tcW w:w="1220" w:type="dxa"/>
            <w:gridSpan w:val="2"/>
            <w:vMerge w:val="restart"/>
            <w:tcBorders>
              <w:top w:val="nil"/>
              <w:left w:val="nil"/>
              <w:bottom w:val="single" w:color="000000" w:sz="4" w:space="0"/>
              <w:right w:val="single" w:color="auto" w:sz="8" w:space="0"/>
            </w:tcBorders>
            <w:shd w:val="clear" w:color="auto" w:fill="auto"/>
            <w:vAlign w:val="center"/>
          </w:tcPr>
          <w:p w14:paraId="10F0A246">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公务</w:t>
            </w:r>
          </w:p>
          <w:p w14:paraId="7795D1E5">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接待费</w:t>
            </w:r>
          </w:p>
        </w:tc>
      </w:tr>
      <w:tr w14:paraId="27F369E7">
        <w:tblPrEx>
          <w:shd w:val="clear" w:color="auto" w:fill="auto"/>
          <w:tblCellMar>
            <w:top w:w="0" w:type="dxa"/>
            <w:left w:w="108" w:type="dxa"/>
            <w:bottom w:w="0" w:type="dxa"/>
            <w:right w:w="108" w:type="dxa"/>
          </w:tblCellMar>
        </w:tblPrEx>
        <w:trPr>
          <w:trHeight w:val="397" w:hRule="atLeast"/>
          <w:jc w:val="center"/>
        </w:trPr>
        <w:tc>
          <w:tcPr>
            <w:tcW w:w="1220" w:type="dxa"/>
            <w:gridSpan w:val="3"/>
            <w:vMerge w:val="continue"/>
            <w:tcBorders>
              <w:top w:val="nil"/>
              <w:left w:val="single" w:color="auto" w:sz="8" w:space="0"/>
              <w:bottom w:val="single" w:color="000000" w:sz="4" w:space="0"/>
              <w:right w:val="single" w:color="auto" w:sz="4" w:space="0"/>
            </w:tcBorders>
            <w:shd w:val="clear" w:color="auto" w:fill="auto"/>
            <w:vAlign w:val="center"/>
          </w:tcPr>
          <w:p w14:paraId="12C563BA">
            <w:pPr>
              <w:widowControl/>
              <w:spacing w:line="560" w:lineRule="exact"/>
              <w:jc w:val="left"/>
              <w:rPr>
                <w:rFonts w:hint="eastAsia" w:asciiTheme="minorEastAsia" w:hAnsiTheme="minorEastAsia" w:eastAsiaTheme="minorEastAsia" w:cstheme="minorEastAsia"/>
                <w:kern w:val="0"/>
                <w:sz w:val="21"/>
                <w:szCs w:val="21"/>
              </w:rPr>
            </w:pPr>
          </w:p>
        </w:tc>
        <w:tc>
          <w:tcPr>
            <w:tcW w:w="1220" w:type="dxa"/>
            <w:vMerge w:val="continue"/>
            <w:tcBorders>
              <w:top w:val="nil"/>
              <w:left w:val="nil"/>
              <w:bottom w:val="single" w:color="000000" w:sz="4" w:space="0"/>
              <w:right w:val="single" w:color="auto" w:sz="4" w:space="0"/>
            </w:tcBorders>
            <w:shd w:val="clear" w:color="auto" w:fill="auto"/>
            <w:vAlign w:val="center"/>
          </w:tcPr>
          <w:p w14:paraId="5EBEB12A">
            <w:pPr>
              <w:widowControl/>
              <w:spacing w:line="560" w:lineRule="exact"/>
              <w:jc w:val="left"/>
              <w:rPr>
                <w:rFonts w:hint="eastAsia" w:asciiTheme="minorEastAsia" w:hAnsiTheme="minorEastAsia" w:eastAsiaTheme="minorEastAsia" w:cstheme="minorEastAsia"/>
                <w:kern w:val="0"/>
                <w:sz w:val="21"/>
                <w:szCs w:val="21"/>
              </w:rPr>
            </w:pPr>
          </w:p>
        </w:tc>
        <w:tc>
          <w:tcPr>
            <w:tcW w:w="1220" w:type="dxa"/>
            <w:tcBorders>
              <w:top w:val="nil"/>
              <w:left w:val="nil"/>
              <w:bottom w:val="single" w:color="auto" w:sz="4" w:space="0"/>
              <w:right w:val="single" w:color="auto" w:sz="4" w:space="0"/>
            </w:tcBorders>
            <w:shd w:val="clear" w:color="auto" w:fill="auto"/>
            <w:vAlign w:val="center"/>
          </w:tcPr>
          <w:p w14:paraId="4F2043E2">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小计</w:t>
            </w:r>
          </w:p>
        </w:tc>
        <w:tc>
          <w:tcPr>
            <w:tcW w:w="1220" w:type="dxa"/>
            <w:gridSpan w:val="2"/>
            <w:tcBorders>
              <w:top w:val="nil"/>
              <w:left w:val="nil"/>
              <w:bottom w:val="single" w:color="auto" w:sz="4" w:space="0"/>
              <w:right w:val="single" w:color="auto" w:sz="4" w:space="0"/>
            </w:tcBorders>
            <w:shd w:val="clear" w:color="auto" w:fill="auto"/>
            <w:vAlign w:val="center"/>
          </w:tcPr>
          <w:p w14:paraId="645B0701">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公务用车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购置费</w:t>
            </w:r>
          </w:p>
        </w:tc>
        <w:tc>
          <w:tcPr>
            <w:tcW w:w="1220" w:type="dxa"/>
            <w:gridSpan w:val="3"/>
            <w:tcBorders>
              <w:top w:val="nil"/>
              <w:left w:val="nil"/>
              <w:bottom w:val="single" w:color="auto" w:sz="4" w:space="0"/>
              <w:right w:val="single" w:color="auto" w:sz="4" w:space="0"/>
            </w:tcBorders>
            <w:shd w:val="clear" w:color="auto" w:fill="auto"/>
            <w:vAlign w:val="center"/>
          </w:tcPr>
          <w:p w14:paraId="109E67AA">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公务用车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运行费</w:t>
            </w:r>
          </w:p>
        </w:tc>
        <w:tc>
          <w:tcPr>
            <w:tcW w:w="1220" w:type="dxa"/>
            <w:vMerge w:val="continue"/>
            <w:tcBorders>
              <w:top w:val="nil"/>
              <w:left w:val="nil"/>
              <w:bottom w:val="single" w:color="auto" w:sz="4" w:space="0"/>
              <w:right w:val="single" w:color="auto" w:sz="4" w:space="0"/>
            </w:tcBorders>
            <w:shd w:val="clear" w:color="auto" w:fill="auto"/>
            <w:vAlign w:val="center"/>
          </w:tcPr>
          <w:p w14:paraId="56CE616D">
            <w:pPr>
              <w:widowControl/>
              <w:spacing w:line="560" w:lineRule="exact"/>
              <w:jc w:val="left"/>
              <w:rPr>
                <w:rFonts w:hint="eastAsia" w:asciiTheme="minorEastAsia" w:hAnsiTheme="minorEastAsia" w:eastAsiaTheme="minorEastAsia" w:cstheme="minorEastAsia"/>
                <w:kern w:val="0"/>
                <w:sz w:val="21"/>
                <w:szCs w:val="21"/>
              </w:rPr>
            </w:pPr>
          </w:p>
        </w:tc>
        <w:tc>
          <w:tcPr>
            <w:tcW w:w="1220" w:type="dxa"/>
            <w:gridSpan w:val="2"/>
            <w:vMerge w:val="continue"/>
            <w:tcBorders>
              <w:top w:val="nil"/>
              <w:left w:val="nil"/>
              <w:bottom w:val="single" w:color="000000" w:sz="4" w:space="0"/>
              <w:right w:val="single" w:color="auto" w:sz="4" w:space="0"/>
            </w:tcBorders>
            <w:shd w:val="clear" w:color="auto" w:fill="auto"/>
            <w:vAlign w:val="center"/>
          </w:tcPr>
          <w:p w14:paraId="272BF044">
            <w:pPr>
              <w:widowControl/>
              <w:spacing w:line="560" w:lineRule="exact"/>
              <w:jc w:val="left"/>
              <w:rPr>
                <w:rFonts w:hint="eastAsia" w:asciiTheme="minorEastAsia" w:hAnsiTheme="minorEastAsia" w:eastAsiaTheme="minorEastAsia" w:cstheme="minorEastAsia"/>
                <w:kern w:val="0"/>
                <w:sz w:val="21"/>
                <w:szCs w:val="21"/>
              </w:rPr>
            </w:pPr>
          </w:p>
        </w:tc>
        <w:tc>
          <w:tcPr>
            <w:tcW w:w="1220" w:type="dxa"/>
            <w:gridSpan w:val="3"/>
            <w:vMerge w:val="continue"/>
            <w:tcBorders>
              <w:top w:val="nil"/>
              <w:left w:val="nil"/>
              <w:bottom w:val="single" w:color="000000" w:sz="4" w:space="0"/>
              <w:right w:val="single" w:color="auto" w:sz="4" w:space="0"/>
            </w:tcBorders>
            <w:shd w:val="clear" w:color="auto" w:fill="auto"/>
            <w:vAlign w:val="center"/>
          </w:tcPr>
          <w:p w14:paraId="456F4FD4">
            <w:pPr>
              <w:widowControl/>
              <w:spacing w:line="560" w:lineRule="exact"/>
              <w:jc w:val="left"/>
              <w:rPr>
                <w:rFonts w:hint="eastAsia" w:asciiTheme="minorEastAsia" w:hAnsiTheme="minorEastAsia" w:eastAsiaTheme="minorEastAsia" w:cstheme="minorEastAsia"/>
                <w:kern w:val="0"/>
                <w:sz w:val="21"/>
                <w:szCs w:val="21"/>
              </w:rPr>
            </w:pPr>
          </w:p>
        </w:tc>
        <w:tc>
          <w:tcPr>
            <w:tcW w:w="1220" w:type="dxa"/>
            <w:tcBorders>
              <w:top w:val="nil"/>
              <w:left w:val="nil"/>
              <w:bottom w:val="single" w:color="auto" w:sz="4" w:space="0"/>
              <w:right w:val="single" w:color="auto" w:sz="4" w:space="0"/>
            </w:tcBorders>
            <w:shd w:val="clear" w:color="auto" w:fill="auto"/>
            <w:vAlign w:val="center"/>
          </w:tcPr>
          <w:p w14:paraId="42C16CD6">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小计</w:t>
            </w:r>
          </w:p>
        </w:tc>
        <w:tc>
          <w:tcPr>
            <w:tcW w:w="1220" w:type="dxa"/>
            <w:tcBorders>
              <w:top w:val="nil"/>
              <w:left w:val="nil"/>
              <w:bottom w:val="single" w:color="auto" w:sz="4" w:space="0"/>
              <w:right w:val="single" w:color="auto" w:sz="4" w:space="0"/>
            </w:tcBorders>
            <w:shd w:val="clear" w:color="auto" w:fill="auto"/>
            <w:vAlign w:val="center"/>
          </w:tcPr>
          <w:p w14:paraId="299F9774">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公务用车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购置费</w:t>
            </w:r>
          </w:p>
        </w:tc>
        <w:tc>
          <w:tcPr>
            <w:tcW w:w="1220" w:type="dxa"/>
            <w:gridSpan w:val="2"/>
            <w:tcBorders>
              <w:top w:val="nil"/>
              <w:left w:val="nil"/>
              <w:bottom w:val="single" w:color="auto" w:sz="4" w:space="0"/>
              <w:right w:val="single" w:color="auto" w:sz="4" w:space="0"/>
            </w:tcBorders>
            <w:shd w:val="clear" w:color="auto" w:fill="auto"/>
            <w:vAlign w:val="center"/>
          </w:tcPr>
          <w:p w14:paraId="29041836">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公务用车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运行费</w:t>
            </w:r>
          </w:p>
        </w:tc>
        <w:tc>
          <w:tcPr>
            <w:tcW w:w="1220" w:type="dxa"/>
            <w:gridSpan w:val="2"/>
            <w:vMerge w:val="continue"/>
            <w:tcBorders>
              <w:top w:val="nil"/>
              <w:left w:val="nil"/>
              <w:bottom w:val="single" w:color="000000" w:sz="4" w:space="0"/>
              <w:right w:val="single" w:color="auto" w:sz="8" w:space="0"/>
            </w:tcBorders>
            <w:shd w:val="clear" w:color="auto" w:fill="auto"/>
            <w:vAlign w:val="center"/>
          </w:tcPr>
          <w:p w14:paraId="00482AF5">
            <w:pPr>
              <w:widowControl/>
              <w:spacing w:line="560" w:lineRule="exact"/>
              <w:jc w:val="left"/>
              <w:rPr>
                <w:rFonts w:hint="eastAsia" w:asciiTheme="minorEastAsia" w:hAnsiTheme="minorEastAsia" w:eastAsiaTheme="minorEastAsia" w:cstheme="minorEastAsia"/>
                <w:kern w:val="0"/>
                <w:sz w:val="21"/>
                <w:szCs w:val="21"/>
              </w:rPr>
            </w:pPr>
          </w:p>
        </w:tc>
      </w:tr>
      <w:tr w14:paraId="0EBC67EE">
        <w:tblPrEx>
          <w:shd w:val="clear" w:color="auto" w:fill="auto"/>
          <w:tblCellMar>
            <w:top w:w="0" w:type="dxa"/>
            <w:left w:w="108" w:type="dxa"/>
            <w:bottom w:w="0" w:type="dxa"/>
            <w:right w:w="108" w:type="dxa"/>
          </w:tblCellMar>
        </w:tblPrEx>
        <w:trPr>
          <w:trHeight w:val="397" w:hRule="atLeast"/>
          <w:jc w:val="center"/>
        </w:trPr>
        <w:tc>
          <w:tcPr>
            <w:tcW w:w="1220" w:type="dxa"/>
            <w:gridSpan w:val="3"/>
            <w:tcBorders>
              <w:top w:val="nil"/>
              <w:left w:val="single" w:color="auto" w:sz="8" w:space="0"/>
              <w:bottom w:val="single" w:color="auto" w:sz="4" w:space="0"/>
              <w:right w:val="single" w:color="auto" w:sz="4" w:space="0"/>
            </w:tcBorders>
            <w:shd w:val="clear" w:color="auto" w:fill="auto"/>
            <w:vAlign w:val="center"/>
          </w:tcPr>
          <w:p w14:paraId="47C3AABD">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220" w:type="dxa"/>
            <w:tcBorders>
              <w:top w:val="nil"/>
              <w:left w:val="nil"/>
              <w:bottom w:val="single" w:color="auto" w:sz="4" w:space="0"/>
              <w:right w:val="single" w:color="auto" w:sz="4" w:space="0"/>
            </w:tcBorders>
            <w:shd w:val="clear" w:color="auto" w:fill="auto"/>
            <w:vAlign w:val="center"/>
          </w:tcPr>
          <w:p w14:paraId="275CDF1A">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220" w:type="dxa"/>
            <w:tcBorders>
              <w:top w:val="nil"/>
              <w:left w:val="nil"/>
              <w:bottom w:val="single" w:color="auto" w:sz="4" w:space="0"/>
              <w:right w:val="single" w:color="auto" w:sz="4" w:space="0"/>
            </w:tcBorders>
            <w:shd w:val="clear" w:color="auto" w:fill="auto"/>
            <w:vAlign w:val="center"/>
          </w:tcPr>
          <w:p w14:paraId="7D92954B">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220" w:type="dxa"/>
            <w:gridSpan w:val="2"/>
            <w:tcBorders>
              <w:top w:val="nil"/>
              <w:left w:val="nil"/>
              <w:bottom w:val="single" w:color="auto" w:sz="4" w:space="0"/>
              <w:right w:val="single" w:color="auto" w:sz="4" w:space="0"/>
            </w:tcBorders>
            <w:shd w:val="clear" w:color="auto" w:fill="auto"/>
            <w:vAlign w:val="center"/>
          </w:tcPr>
          <w:p w14:paraId="5D1D1424">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1220" w:type="dxa"/>
            <w:gridSpan w:val="3"/>
            <w:tcBorders>
              <w:top w:val="nil"/>
              <w:left w:val="nil"/>
              <w:bottom w:val="single" w:color="auto" w:sz="4" w:space="0"/>
              <w:right w:val="single" w:color="auto" w:sz="4" w:space="0"/>
            </w:tcBorders>
            <w:shd w:val="clear" w:color="auto" w:fill="auto"/>
            <w:vAlign w:val="center"/>
          </w:tcPr>
          <w:p w14:paraId="513BFD02">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1220" w:type="dxa"/>
            <w:tcBorders>
              <w:top w:val="nil"/>
              <w:left w:val="nil"/>
              <w:bottom w:val="single" w:color="auto" w:sz="4" w:space="0"/>
              <w:right w:val="single" w:color="auto" w:sz="4" w:space="0"/>
            </w:tcBorders>
            <w:shd w:val="clear" w:color="auto" w:fill="auto"/>
            <w:vAlign w:val="center"/>
          </w:tcPr>
          <w:p w14:paraId="7425C1E7">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1220" w:type="dxa"/>
            <w:gridSpan w:val="2"/>
            <w:tcBorders>
              <w:top w:val="nil"/>
              <w:left w:val="nil"/>
              <w:bottom w:val="single" w:color="auto" w:sz="4" w:space="0"/>
              <w:right w:val="single" w:color="auto" w:sz="4" w:space="0"/>
            </w:tcBorders>
            <w:shd w:val="clear" w:color="auto" w:fill="auto"/>
            <w:vAlign w:val="center"/>
          </w:tcPr>
          <w:p w14:paraId="514DF992">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1220" w:type="dxa"/>
            <w:gridSpan w:val="3"/>
            <w:tcBorders>
              <w:top w:val="nil"/>
              <w:left w:val="nil"/>
              <w:bottom w:val="single" w:color="auto" w:sz="4" w:space="0"/>
              <w:right w:val="single" w:color="auto" w:sz="4" w:space="0"/>
            </w:tcBorders>
            <w:shd w:val="clear" w:color="auto" w:fill="auto"/>
            <w:vAlign w:val="center"/>
          </w:tcPr>
          <w:p w14:paraId="571C6D96">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1220" w:type="dxa"/>
            <w:tcBorders>
              <w:top w:val="nil"/>
              <w:left w:val="nil"/>
              <w:bottom w:val="single" w:color="auto" w:sz="4" w:space="0"/>
              <w:right w:val="single" w:color="auto" w:sz="4" w:space="0"/>
            </w:tcBorders>
            <w:shd w:val="clear" w:color="auto" w:fill="auto"/>
            <w:vAlign w:val="center"/>
          </w:tcPr>
          <w:p w14:paraId="27A7F7A5">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1220" w:type="dxa"/>
            <w:tcBorders>
              <w:top w:val="nil"/>
              <w:left w:val="nil"/>
              <w:bottom w:val="single" w:color="auto" w:sz="4" w:space="0"/>
              <w:right w:val="single" w:color="auto" w:sz="4" w:space="0"/>
            </w:tcBorders>
            <w:shd w:val="clear" w:color="auto" w:fill="auto"/>
            <w:vAlign w:val="center"/>
          </w:tcPr>
          <w:p w14:paraId="051DA8FE">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1220" w:type="dxa"/>
            <w:gridSpan w:val="2"/>
            <w:tcBorders>
              <w:top w:val="nil"/>
              <w:left w:val="nil"/>
              <w:bottom w:val="single" w:color="auto" w:sz="4" w:space="0"/>
              <w:right w:val="single" w:color="auto" w:sz="4" w:space="0"/>
            </w:tcBorders>
            <w:shd w:val="clear" w:color="auto" w:fill="auto"/>
            <w:vAlign w:val="center"/>
          </w:tcPr>
          <w:p w14:paraId="66984572">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1220" w:type="dxa"/>
            <w:gridSpan w:val="2"/>
            <w:tcBorders>
              <w:top w:val="nil"/>
              <w:left w:val="nil"/>
              <w:bottom w:val="single" w:color="auto" w:sz="4" w:space="0"/>
              <w:right w:val="single" w:color="auto" w:sz="8" w:space="0"/>
            </w:tcBorders>
            <w:shd w:val="clear" w:color="auto" w:fill="auto"/>
            <w:vAlign w:val="center"/>
          </w:tcPr>
          <w:p w14:paraId="68FDCB66">
            <w:pPr>
              <w:widowControl/>
              <w:spacing w:line="5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r>
      <w:tr w14:paraId="58A7C8CF">
        <w:tblPrEx>
          <w:tblCellMar>
            <w:top w:w="0" w:type="dxa"/>
            <w:left w:w="108" w:type="dxa"/>
            <w:bottom w:w="0" w:type="dxa"/>
            <w:right w:w="108" w:type="dxa"/>
          </w:tblCellMar>
        </w:tblPrEx>
        <w:trPr>
          <w:trHeight w:val="397" w:hRule="atLeast"/>
          <w:jc w:val="center"/>
        </w:trPr>
        <w:tc>
          <w:tcPr>
            <w:tcW w:w="1220" w:type="dxa"/>
            <w:gridSpan w:val="3"/>
            <w:tcBorders>
              <w:top w:val="nil"/>
              <w:left w:val="single" w:color="auto" w:sz="8" w:space="0"/>
              <w:bottom w:val="single" w:color="auto" w:sz="8" w:space="0"/>
              <w:right w:val="single" w:color="auto" w:sz="4" w:space="0"/>
            </w:tcBorders>
            <w:shd w:val="clear" w:color="auto" w:fill="auto"/>
            <w:vAlign w:val="center"/>
          </w:tcPr>
          <w:p w14:paraId="122376F9">
            <w:pPr>
              <w:widowControl/>
              <w:spacing w:line="56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128.8</w:t>
            </w:r>
          </w:p>
        </w:tc>
        <w:tc>
          <w:tcPr>
            <w:tcW w:w="1220" w:type="dxa"/>
            <w:tcBorders>
              <w:top w:val="nil"/>
              <w:left w:val="nil"/>
              <w:bottom w:val="single" w:color="auto" w:sz="8" w:space="0"/>
              <w:right w:val="single" w:color="auto" w:sz="4" w:space="0"/>
            </w:tcBorders>
            <w:shd w:val="clear" w:color="auto" w:fill="auto"/>
            <w:vAlign w:val="center"/>
          </w:tcPr>
          <w:p w14:paraId="439AD471">
            <w:pPr>
              <w:widowControl/>
              <w:spacing w:line="56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5</w:t>
            </w:r>
          </w:p>
        </w:tc>
        <w:tc>
          <w:tcPr>
            <w:tcW w:w="1220" w:type="dxa"/>
            <w:tcBorders>
              <w:top w:val="nil"/>
              <w:left w:val="nil"/>
              <w:bottom w:val="single" w:color="auto" w:sz="8" w:space="0"/>
              <w:right w:val="single" w:color="auto" w:sz="4" w:space="0"/>
            </w:tcBorders>
            <w:shd w:val="clear" w:color="auto" w:fill="auto"/>
            <w:vAlign w:val="center"/>
          </w:tcPr>
          <w:p w14:paraId="3107F8E4">
            <w:pPr>
              <w:widowControl/>
              <w:spacing w:line="56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52</w:t>
            </w:r>
          </w:p>
        </w:tc>
        <w:tc>
          <w:tcPr>
            <w:tcW w:w="1220" w:type="dxa"/>
            <w:gridSpan w:val="2"/>
            <w:tcBorders>
              <w:top w:val="nil"/>
              <w:left w:val="nil"/>
              <w:bottom w:val="single" w:color="auto" w:sz="8" w:space="0"/>
              <w:right w:val="single" w:color="auto" w:sz="4" w:space="0"/>
            </w:tcBorders>
            <w:shd w:val="clear" w:color="auto" w:fill="auto"/>
            <w:vAlign w:val="center"/>
          </w:tcPr>
          <w:p w14:paraId="6EC36D4E">
            <w:pPr>
              <w:widowControl/>
              <w:spacing w:line="5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w:t>
            </w:r>
          </w:p>
        </w:tc>
        <w:tc>
          <w:tcPr>
            <w:tcW w:w="1220" w:type="dxa"/>
            <w:gridSpan w:val="3"/>
            <w:tcBorders>
              <w:top w:val="nil"/>
              <w:left w:val="nil"/>
              <w:bottom w:val="single" w:color="auto" w:sz="8" w:space="0"/>
              <w:right w:val="single" w:color="auto" w:sz="4" w:space="0"/>
            </w:tcBorders>
            <w:shd w:val="clear" w:color="auto" w:fill="auto"/>
            <w:vAlign w:val="center"/>
          </w:tcPr>
          <w:p w14:paraId="58A14086">
            <w:pPr>
              <w:widowControl/>
              <w:spacing w:line="56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52</w:t>
            </w:r>
          </w:p>
        </w:tc>
        <w:tc>
          <w:tcPr>
            <w:tcW w:w="1220" w:type="dxa"/>
            <w:tcBorders>
              <w:top w:val="nil"/>
              <w:left w:val="nil"/>
              <w:bottom w:val="single" w:color="auto" w:sz="8" w:space="0"/>
              <w:right w:val="single" w:color="auto" w:sz="4" w:space="0"/>
            </w:tcBorders>
            <w:shd w:val="clear" w:color="auto" w:fill="auto"/>
            <w:vAlign w:val="center"/>
          </w:tcPr>
          <w:p w14:paraId="1C1EC999">
            <w:pPr>
              <w:widowControl/>
              <w:tabs>
                <w:tab w:val="center" w:pos="502"/>
              </w:tabs>
              <w:spacing w:line="56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eastAsia="zh-CN"/>
              </w:rPr>
              <w:tab/>
            </w:r>
            <w:r>
              <w:rPr>
                <w:rFonts w:hint="eastAsia" w:asciiTheme="minorEastAsia" w:hAnsiTheme="minorEastAsia" w:eastAsiaTheme="minorEastAsia" w:cstheme="minorEastAsia"/>
                <w:kern w:val="0"/>
                <w:sz w:val="21"/>
                <w:szCs w:val="21"/>
                <w:lang w:val="en-US" w:eastAsia="zh-CN"/>
              </w:rPr>
              <w:t>71.8</w:t>
            </w:r>
          </w:p>
        </w:tc>
        <w:tc>
          <w:tcPr>
            <w:tcW w:w="1220" w:type="dxa"/>
            <w:gridSpan w:val="2"/>
            <w:tcBorders>
              <w:top w:val="nil"/>
              <w:left w:val="nil"/>
              <w:bottom w:val="single" w:color="auto" w:sz="8" w:space="0"/>
              <w:right w:val="single" w:color="auto" w:sz="4" w:space="0"/>
            </w:tcBorders>
            <w:shd w:val="clear" w:color="auto" w:fill="auto"/>
            <w:vAlign w:val="center"/>
          </w:tcPr>
          <w:p w14:paraId="669904D8">
            <w:pPr>
              <w:widowControl/>
              <w:spacing w:line="56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61.68</w:t>
            </w:r>
          </w:p>
        </w:tc>
        <w:tc>
          <w:tcPr>
            <w:tcW w:w="1220" w:type="dxa"/>
            <w:gridSpan w:val="3"/>
            <w:tcBorders>
              <w:top w:val="nil"/>
              <w:left w:val="nil"/>
              <w:bottom w:val="single" w:color="auto" w:sz="8" w:space="0"/>
              <w:right w:val="single" w:color="auto" w:sz="4" w:space="0"/>
            </w:tcBorders>
            <w:shd w:val="clear" w:color="auto" w:fill="auto"/>
            <w:vAlign w:val="center"/>
          </w:tcPr>
          <w:p w14:paraId="2E71E991">
            <w:pPr>
              <w:widowControl/>
              <w:spacing w:line="56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4.8</w:t>
            </w:r>
          </w:p>
        </w:tc>
        <w:tc>
          <w:tcPr>
            <w:tcW w:w="1220" w:type="dxa"/>
            <w:tcBorders>
              <w:top w:val="nil"/>
              <w:left w:val="nil"/>
              <w:bottom w:val="single" w:color="auto" w:sz="8" w:space="0"/>
              <w:right w:val="single" w:color="auto" w:sz="4" w:space="0"/>
            </w:tcBorders>
            <w:shd w:val="clear" w:color="auto" w:fill="auto"/>
            <w:vAlign w:val="center"/>
          </w:tcPr>
          <w:p w14:paraId="62AFA4E2">
            <w:pPr>
              <w:widowControl/>
              <w:spacing w:line="56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37.33</w:t>
            </w:r>
          </w:p>
        </w:tc>
        <w:tc>
          <w:tcPr>
            <w:tcW w:w="1220" w:type="dxa"/>
            <w:tcBorders>
              <w:top w:val="nil"/>
              <w:left w:val="nil"/>
              <w:bottom w:val="single" w:color="auto" w:sz="8" w:space="0"/>
              <w:right w:val="single" w:color="auto" w:sz="4" w:space="0"/>
            </w:tcBorders>
            <w:shd w:val="clear" w:color="auto" w:fill="auto"/>
            <w:vAlign w:val="center"/>
          </w:tcPr>
          <w:p w14:paraId="64345ED1">
            <w:pPr>
              <w:widowControl/>
              <w:spacing w:line="5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w:t>
            </w:r>
          </w:p>
        </w:tc>
        <w:tc>
          <w:tcPr>
            <w:tcW w:w="1220" w:type="dxa"/>
            <w:gridSpan w:val="2"/>
            <w:tcBorders>
              <w:top w:val="nil"/>
              <w:left w:val="nil"/>
              <w:bottom w:val="single" w:color="auto" w:sz="8" w:space="0"/>
              <w:right w:val="nil"/>
            </w:tcBorders>
            <w:shd w:val="clear" w:color="auto" w:fill="auto"/>
            <w:vAlign w:val="center"/>
          </w:tcPr>
          <w:p w14:paraId="0E3A1C67">
            <w:pPr>
              <w:widowControl/>
              <w:tabs>
                <w:tab w:val="center" w:pos="502"/>
              </w:tabs>
              <w:spacing w:line="56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37.33</w:t>
            </w:r>
          </w:p>
        </w:tc>
        <w:tc>
          <w:tcPr>
            <w:tcW w:w="1220" w:type="dxa"/>
            <w:gridSpan w:val="2"/>
            <w:tcBorders>
              <w:top w:val="nil"/>
              <w:left w:val="single" w:color="auto" w:sz="4" w:space="0"/>
              <w:bottom w:val="single" w:color="auto" w:sz="8" w:space="0"/>
              <w:right w:val="single" w:color="auto" w:sz="8" w:space="0"/>
            </w:tcBorders>
            <w:shd w:val="clear" w:color="auto" w:fill="auto"/>
            <w:vAlign w:val="center"/>
          </w:tcPr>
          <w:p w14:paraId="5B94B1A4">
            <w:pPr>
              <w:widowControl/>
              <w:spacing w:line="56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19.54</w:t>
            </w:r>
          </w:p>
        </w:tc>
      </w:tr>
    </w:tbl>
    <w:p w14:paraId="1D96DEF3">
      <w:pPr>
        <w:autoSpaceDE w:val="0"/>
        <w:autoSpaceDN w:val="0"/>
        <w:adjustRightInd w:val="0"/>
        <w:spacing w:line="560" w:lineRule="exact"/>
        <w:ind w:left="480" w:leftChars="150"/>
        <w:jc w:val="left"/>
        <w:rPr>
          <w:rFonts w:eastAsia="宋体"/>
          <w:kern w:val="0"/>
          <w:sz w:val="24"/>
          <w:szCs w:val="24"/>
        </w:rPr>
      </w:pPr>
      <w:r>
        <w:rPr>
          <w:rFonts w:ascii="宋体" w:hAnsi="宋体" w:eastAsia="宋体"/>
          <w:kern w:val="0"/>
          <w:sz w:val="24"/>
          <w:szCs w:val="24"/>
        </w:rPr>
        <w:t>注：本表反映部门本年度</w:t>
      </w:r>
      <w:r>
        <w:rPr>
          <w:rFonts w:eastAsia="宋体"/>
          <w:kern w:val="0"/>
          <w:sz w:val="24"/>
          <w:szCs w:val="24"/>
        </w:rPr>
        <w:t>“</w:t>
      </w:r>
      <w:r>
        <w:rPr>
          <w:rFonts w:ascii="宋体" w:hAnsi="宋体" w:eastAsia="宋体"/>
          <w:kern w:val="0"/>
          <w:sz w:val="24"/>
          <w:szCs w:val="24"/>
        </w:rPr>
        <w:t>三公</w:t>
      </w:r>
      <w:r>
        <w:rPr>
          <w:rFonts w:eastAsia="宋体"/>
          <w:kern w:val="0"/>
          <w:sz w:val="24"/>
          <w:szCs w:val="24"/>
        </w:rPr>
        <w:t>”</w:t>
      </w:r>
      <w:r>
        <w:rPr>
          <w:rFonts w:ascii="宋体" w:hAnsi="宋体" w:eastAsia="宋体"/>
          <w:kern w:val="0"/>
          <w:sz w:val="24"/>
          <w:szCs w:val="24"/>
        </w:rPr>
        <w:t>经费支出预决算情况。其中，预算数为</w:t>
      </w:r>
      <w:r>
        <w:rPr>
          <w:rFonts w:eastAsia="宋体"/>
          <w:kern w:val="0"/>
          <w:sz w:val="24"/>
          <w:szCs w:val="24"/>
        </w:rPr>
        <w:t>“</w:t>
      </w:r>
      <w:r>
        <w:rPr>
          <w:rFonts w:ascii="宋体" w:hAnsi="宋体" w:eastAsia="宋体"/>
          <w:kern w:val="0"/>
          <w:sz w:val="24"/>
          <w:szCs w:val="24"/>
        </w:rPr>
        <w:t>三公</w:t>
      </w:r>
      <w:r>
        <w:rPr>
          <w:rFonts w:eastAsia="宋体"/>
          <w:kern w:val="0"/>
          <w:sz w:val="24"/>
          <w:szCs w:val="24"/>
        </w:rPr>
        <w:t>”</w:t>
      </w:r>
      <w:r>
        <w:rPr>
          <w:rFonts w:ascii="宋体" w:hAnsi="宋体" w:eastAsia="宋体"/>
          <w:kern w:val="0"/>
          <w:sz w:val="24"/>
          <w:szCs w:val="24"/>
        </w:rPr>
        <w:t>经费全年预算数，反映按规定程序调整后的预算数；决算数是包括当年一般公共预算财政拨款和以前年度结转资金安排的实际支出。</w:t>
      </w:r>
    </w:p>
    <w:p w14:paraId="58E1952A">
      <w:pPr>
        <w:widowControl/>
        <w:spacing w:line="560" w:lineRule="exact"/>
        <w:jc w:val="left"/>
        <w:rPr>
          <w:rFonts w:eastAsia="宋体"/>
          <w:kern w:val="0"/>
          <w:sz w:val="24"/>
          <w:szCs w:val="24"/>
        </w:rPr>
      </w:pPr>
      <w:r>
        <w:rPr>
          <w:rFonts w:eastAsia="宋体"/>
          <w:kern w:val="0"/>
          <w:sz w:val="24"/>
          <w:szCs w:val="24"/>
        </w:rPr>
        <w:br w:type="page"/>
      </w:r>
    </w:p>
    <w:p w14:paraId="33628C3F">
      <w:pPr>
        <w:autoSpaceDE w:val="0"/>
        <w:autoSpaceDN w:val="0"/>
        <w:adjustRightInd w:val="0"/>
        <w:spacing w:line="560" w:lineRule="exact"/>
        <w:ind w:left="480" w:leftChars="150"/>
        <w:jc w:val="center"/>
        <w:rPr>
          <w:rFonts w:hint="eastAsia"/>
          <w:color w:val="000000"/>
          <w:kern w:val="0"/>
          <w:sz w:val="21"/>
          <w:szCs w:val="21"/>
        </w:rPr>
      </w:pPr>
      <w:r>
        <w:rPr>
          <w:rFonts w:hint="eastAsia" w:ascii="黑体" w:hAnsi="黑体" w:eastAsia="黑体"/>
          <w:color w:val="000000"/>
          <w:kern w:val="0"/>
          <w:sz w:val="36"/>
          <w:szCs w:val="36"/>
        </w:rPr>
        <w:t>政府性基金预算财政拨款收入支出决算表</w:t>
      </w:r>
      <w:r>
        <w:rPr>
          <w:color w:val="000000"/>
          <w:kern w:val="0"/>
          <w:sz w:val="21"/>
          <w:szCs w:val="21"/>
        </w:rPr>
        <w:t xml:space="preserve">                                                                                                   </w:t>
      </w:r>
      <w:r>
        <w:rPr>
          <w:rFonts w:hint="eastAsia"/>
          <w:color w:val="000000"/>
          <w:kern w:val="0"/>
          <w:sz w:val="21"/>
          <w:szCs w:val="21"/>
          <w:lang w:val="en-US" w:eastAsia="zh-CN"/>
        </w:rPr>
        <w:t xml:space="preserve">      </w:t>
      </w:r>
      <w:r>
        <w:rPr>
          <w:color w:val="000000"/>
          <w:kern w:val="0"/>
          <w:sz w:val="21"/>
          <w:szCs w:val="21"/>
        </w:rPr>
        <w:t xml:space="preserve">    </w:t>
      </w:r>
    </w:p>
    <w:tbl>
      <w:tblPr>
        <w:tblStyle w:val="5"/>
        <w:tblW w:w="14536" w:type="dxa"/>
        <w:tblInd w:w="-278" w:type="dxa"/>
        <w:shd w:val="clear" w:color="auto" w:fill="auto"/>
        <w:tblLayout w:type="autofit"/>
        <w:tblCellMar>
          <w:top w:w="0" w:type="dxa"/>
          <w:left w:w="0" w:type="dxa"/>
          <w:bottom w:w="0" w:type="dxa"/>
          <w:right w:w="0" w:type="dxa"/>
        </w:tblCellMar>
      </w:tblPr>
      <w:tblGrid>
        <w:gridCol w:w="276"/>
        <w:gridCol w:w="725"/>
        <w:gridCol w:w="122"/>
        <w:gridCol w:w="1327"/>
        <w:gridCol w:w="1382"/>
        <w:gridCol w:w="625"/>
        <w:gridCol w:w="490"/>
        <w:gridCol w:w="725"/>
        <w:gridCol w:w="792"/>
        <w:gridCol w:w="1210"/>
        <w:gridCol w:w="797"/>
        <w:gridCol w:w="434"/>
        <w:gridCol w:w="725"/>
        <w:gridCol w:w="848"/>
        <w:gridCol w:w="2013"/>
        <w:gridCol w:w="695"/>
        <w:gridCol w:w="1312"/>
        <w:gridCol w:w="38"/>
      </w:tblGrid>
      <w:tr w14:paraId="745E3A9C">
        <w:tblPrEx>
          <w:shd w:val="clear" w:color="auto" w:fill="auto"/>
          <w:tblCellMar>
            <w:top w:w="0" w:type="dxa"/>
            <w:left w:w="0" w:type="dxa"/>
            <w:bottom w:w="0" w:type="dxa"/>
            <w:right w:w="0" w:type="dxa"/>
          </w:tblCellMar>
        </w:tblPrEx>
        <w:trPr>
          <w:gridBefore w:val="1"/>
          <w:wBefore w:w="276" w:type="dxa"/>
          <w:trHeight w:val="429" w:hRule="atLeast"/>
        </w:trPr>
        <w:tc>
          <w:tcPr>
            <w:tcW w:w="725" w:type="dxa"/>
            <w:tcBorders>
              <w:top w:val="nil"/>
              <w:left w:val="nil"/>
              <w:bottom w:val="nil"/>
              <w:right w:val="nil"/>
            </w:tcBorders>
            <w:shd w:val="clear" w:color="auto" w:fill="auto"/>
            <w:noWrap/>
            <w:tcMar>
              <w:top w:w="12" w:type="dxa"/>
              <w:left w:w="12" w:type="dxa"/>
              <w:right w:w="12" w:type="dxa"/>
            </w:tcMar>
            <w:vAlign w:val="bottom"/>
          </w:tcPr>
          <w:p w14:paraId="112532F9">
            <w:pPr>
              <w:rPr>
                <w:rFonts w:hint="eastAsia" w:ascii="Arial" w:hAnsi="Arial" w:cs="Arial"/>
                <w:i w:val="0"/>
                <w:color w:val="000000"/>
                <w:sz w:val="20"/>
                <w:szCs w:val="20"/>
                <w:u w:val="none"/>
              </w:rPr>
            </w:pPr>
          </w:p>
        </w:tc>
        <w:tc>
          <w:tcPr>
            <w:tcW w:w="2831" w:type="dxa"/>
            <w:gridSpan w:val="3"/>
            <w:tcBorders>
              <w:top w:val="nil"/>
              <w:left w:val="nil"/>
              <w:bottom w:val="nil"/>
              <w:right w:val="nil"/>
            </w:tcBorders>
            <w:shd w:val="clear" w:color="auto" w:fill="auto"/>
            <w:noWrap/>
            <w:tcMar>
              <w:top w:w="12" w:type="dxa"/>
              <w:left w:w="12" w:type="dxa"/>
              <w:right w:w="12" w:type="dxa"/>
            </w:tcMar>
            <w:vAlign w:val="bottom"/>
          </w:tcPr>
          <w:p w14:paraId="30439AEA">
            <w:pPr>
              <w:rPr>
                <w:rFonts w:hint="default" w:ascii="Arial" w:hAnsi="Arial" w:cs="Arial"/>
                <w:i w:val="0"/>
                <w:color w:val="000000"/>
                <w:sz w:val="20"/>
                <w:szCs w:val="20"/>
                <w:u w:val="none"/>
              </w:rPr>
            </w:pPr>
          </w:p>
        </w:tc>
        <w:tc>
          <w:tcPr>
            <w:tcW w:w="1115" w:type="dxa"/>
            <w:gridSpan w:val="2"/>
            <w:tcBorders>
              <w:top w:val="nil"/>
              <w:left w:val="nil"/>
              <w:bottom w:val="nil"/>
              <w:right w:val="nil"/>
            </w:tcBorders>
            <w:shd w:val="clear" w:color="auto" w:fill="auto"/>
            <w:noWrap/>
            <w:tcMar>
              <w:top w:w="12" w:type="dxa"/>
              <w:left w:w="12" w:type="dxa"/>
              <w:right w:w="12" w:type="dxa"/>
            </w:tcMar>
            <w:vAlign w:val="bottom"/>
          </w:tcPr>
          <w:p w14:paraId="7EC6243B">
            <w:pPr>
              <w:rPr>
                <w:rFonts w:hint="default" w:ascii="Arial" w:hAnsi="Arial" w:cs="Arial"/>
                <w:i w:val="0"/>
                <w:color w:val="000000"/>
                <w:sz w:val="20"/>
                <w:szCs w:val="20"/>
                <w:u w:val="none"/>
              </w:rPr>
            </w:pPr>
          </w:p>
        </w:tc>
        <w:tc>
          <w:tcPr>
            <w:tcW w:w="725" w:type="dxa"/>
            <w:tcBorders>
              <w:top w:val="nil"/>
              <w:left w:val="nil"/>
              <w:bottom w:val="nil"/>
              <w:right w:val="nil"/>
            </w:tcBorders>
            <w:shd w:val="clear" w:color="auto" w:fill="auto"/>
            <w:noWrap/>
            <w:tcMar>
              <w:top w:w="12" w:type="dxa"/>
              <w:left w:w="12" w:type="dxa"/>
              <w:right w:w="12" w:type="dxa"/>
            </w:tcMar>
            <w:vAlign w:val="bottom"/>
          </w:tcPr>
          <w:p w14:paraId="4A2B72EF">
            <w:pPr>
              <w:rPr>
                <w:rFonts w:hint="default" w:ascii="Arial" w:hAnsi="Arial" w:cs="Arial"/>
                <w:i w:val="0"/>
                <w:color w:val="000000"/>
                <w:sz w:val="20"/>
                <w:szCs w:val="20"/>
                <w:u w:val="none"/>
              </w:rPr>
            </w:pPr>
          </w:p>
        </w:tc>
        <w:tc>
          <w:tcPr>
            <w:tcW w:w="2002" w:type="dxa"/>
            <w:gridSpan w:val="2"/>
            <w:tcBorders>
              <w:top w:val="nil"/>
              <w:left w:val="nil"/>
              <w:bottom w:val="nil"/>
              <w:right w:val="nil"/>
            </w:tcBorders>
            <w:shd w:val="clear" w:color="auto" w:fill="auto"/>
            <w:noWrap/>
            <w:tcMar>
              <w:top w:w="12" w:type="dxa"/>
              <w:left w:w="12" w:type="dxa"/>
              <w:right w:w="12" w:type="dxa"/>
            </w:tcMar>
            <w:vAlign w:val="bottom"/>
          </w:tcPr>
          <w:p w14:paraId="4BF3BA38">
            <w:pPr>
              <w:rPr>
                <w:rFonts w:hint="default" w:ascii="Arial" w:hAnsi="Arial" w:cs="Arial"/>
                <w:i w:val="0"/>
                <w:color w:val="000000"/>
                <w:sz w:val="20"/>
                <w:szCs w:val="20"/>
                <w:u w:val="none"/>
              </w:rPr>
            </w:pPr>
          </w:p>
        </w:tc>
        <w:tc>
          <w:tcPr>
            <w:tcW w:w="1231" w:type="dxa"/>
            <w:gridSpan w:val="2"/>
            <w:tcBorders>
              <w:top w:val="nil"/>
              <w:left w:val="nil"/>
              <w:bottom w:val="nil"/>
              <w:right w:val="nil"/>
            </w:tcBorders>
            <w:shd w:val="clear" w:color="auto" w:fill="auto"/>
            <w:noWrap/>
            <w:tcMar>
              <w:top w:w="12" w:type="dxa"/>
              <w:left w:w="12" w:type="dxa"/>
              <w:right w:w="12" w:type="dxa"/>
            </w:tcMar>
            <w:vAlign w:val="bottom"/>
          </w:tcPr>
          <w:p w14:paraId="70374B8D">
            <w:pPr>
              <w:rPr>
                <w:rFonts w:hint="default" w:ascii="Arial" w:hAnsi="Arial" w:cs="Arial"/>
                <w:i w:val="0"/>
                <w:color w:val="000000"/>
                <w:sz w:val="20"/>
                <w:szCs w:val="20"/>
                <w:u w:val="none"/>
              </w:rPr>
            </w:pPr>
          </w:p>
        </w:tc>
        <w:tc>
          <w:tcPr>
            <w:tcW w:w="725" w:type="dxa"/>
            <w:tcBorders>
              <w:top w:val="nil"/>
              <w:left w:val="nil"/>
              <w:bottom w:val="nil"/>
              <w:right w:val="nil"/>
            </w:tcBorders>
            <w:shd w:val="clear" w:color="auto" w:fill="auto"/>
            <w:noWrap/>
            <w:tcMar>
              <w:top w:w="12" w:type="dxa"/>
              <w:left w:w="12" w:type="dxa"/>
              <w:right w:w="12" w:type="dxa"/>
            </w:tcMar>
            <w:vAlign w:val="bottom"/>
          </w:tcPr>
          <w:p w14:paraId="612F1EEF">
            <w:pPr>
              <w:rPr>
                <w:rFonts w:hint="default" w:ascii="Arial" w:hAnsi="Arial" w:cs="Arial"/>
                <w:i w:val="0"/>
                <w:color w:val="000000"/>
                <w:sz w:val="20"/>
                <w:szCs w:val="20"/>
                <w:u w:val="none"/>
              </w:rPr>
            </w:pPr>
          </w:p>
        </w:tc>
        <w:tc>
          <w:tcPr>
            <w:tcW w:w="3556" w:type="dxa"/>
            <w:gridSpan w:val="3"/>
            <w:tcBorders>
              <w:top w:val="nil"/>
              <w:left w:val="nil"/>
              <w:bottom w:val="nil"/>
              <w:right w:val="nil"/>
            </w:tcBorders>
            <w:shd w:val="clear" w:color="auto" w:fill="auto"/>
            <w:noWrap/>
            <w:tcMar>
              <w:top w:w="12" w:type="dxa"/>
              <w:left w:w="12" w:type="dxa"/>
              <w:right w:w="12" w:type="dxa"/>
            </w:tcMar>
            <w:vAlign w:val="bottom"/>
          </w:tcPr>
          <w:p w14:paraId="4857949E">
            <w:pPr>
              <w:rPr>
                <w:rFonts w:hint="default" w:ascii="Arial" w:hAnsi="Arial" w:cs="Arial"/>
                <w:i w:val="0"/>
                <w:color w:val="000000"/>
                <w:sz w:val="20"/>
                <w:szCs w:val="20"/>
                <w:u w:val="none"/>
              </w:rPr>
            </w:pPr>
          </w:p>
        </w:tc>
        <w:tc>
          <w:tcPr>
            <w:tcW w:w="1350" w:type="dxa"/>
            <w:gridSpan w:val="2"/>
            <w:tcBorders>
              <w:top w:val="nil"/>
              <w:left w:val="nil"/>
              <w:bottom w:val="nil"/>
              <w:right w:val="nil"/>
            </w:tcBorders>
            <w:shd w:val="clear" w:color="auto" w:fill="auto"/>
            <w:noWrap/>
            <w:tcMar>
              <w:top w:w="12" w:type="dxa"/>
              <w:left w:w="12" w:type="dxa"/>
              <w:right w:w="12" w:type="dxa"/>
            </w:tcMar>
            <w:vAlign w:val="bottom"/>
          </w:tcPr>
          <w:p w14:paraId="346B88A3">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公开08表</w:t>
            </w:r>
          </w:p>
        </w:tc>
      </w:tr>
      <w:tr w14:paraId="755B069C">
        <w:tblPrEx>
          <w:shd w:val="clear" w:color="auto" w:fill="auto"/>
          <w:tblCellMar>
            <w:top w:w="0" w:type="dxa"/>
            <w:left w:w="0" w:type="dxa"/>
            <w:bottom w:w="0" w:type="dxa"/>
            <w:right w:w="0" w:type="dxa"/>
          </w:tblCellMar>
        </w:tblPrEx>
        <w:trPr>
          <w:gridBefore w:val="1"/>
          <w:wBefore w:w="276" w:type="dxa"/>
          <w:trHeight w:val="438" w:hRule="atLeast"/>
        </w:trPr>
        <w:tc>
          <w:tcPr>
            <w:tcW w:w="3556" w:type="dxa"/>
            <w:gridSpan w:val="4"/>
            <w:tcBorders>
              <w:top w:val="nil"/>
              <w:left w:val="nil"/>
              <w:bottom w:val="nil"/>
              <w:right w:val="nil"/>
            </w:tcBorders>
            <w:shd w:val="clear" w:color="auto" w:fill="auto"/>
            <w:noWrap/>
            <w:tcMar>
              <w:top w:w="12" w:type="dxa"/>
              <w:left w:w="12" w:type="dxa"/>
              <w:right w:w="12" w:type="dxa"/>
            </w:tcMar>
            <w:vAlign w:val="bottom"/>
          </w:tcPr>
          <w:p w14:paraId="100B0B4C">
            <w:pPr>
              <w:keepNext w:val="0"/>
              <w:keepLines w:val="0"/>
              <w:widowControl/>
              <w:suppressLineNumbers w:val="0"/>
              <w:jc w:val="left"/>
              <w:textAlignment w:val="bottom"/>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部门：衡阳市人力资源和社会保障局</w:t>
            </w:r>
          </w:p>
        </w:tc>
        <w:tc>
          <w:tcPr>
            <w:tcW w:w="1115" w:type="dxa"/>
            <w:gridSpan w:val="2"/>
            <w:tcBorders>
              <w:top w:val="nil"/>
              <w:left w:val="nil"/>
              <w:bottom w:val="nil"/>
              <w:right w:val="nil"/>
            </w:tcBorders>
            <w:shd w:val="clear" w:color="auto" w:fill="auto"/>
            <w:noWrap/>
            <w:tcMar>
              <w:top w:w="12" w:type="dxa"/>
              <w:left w:w="12" w:type="dxa"/>
              <w:right w:w="12" w:type="dxa"/>
            </w:tcMar>
            <w:vAlign w:val="bottom"/>
          </w:tcPr>
          <w:p w14:paraId="31DE26B5">
            <w:pPr>
              <w:rPr>
                <w:rFonts w:hint="default" w:ascii="Arial" w:hAnsi="Arial" w:cs="Arial"/>
                <w:i w:val="0"/>
                <w:color w:val="000000"/>
                <w:sz w:val="19"/>
                <w:szCs w:val="19"/>
                <w:u w:val="none"/>
              </w:rPr>
            </w:pPr>
          </w:p>
        </w:tc>
        <w:tc>
          <w:tcPr>
            <w:tcW w:w="725" w:type="dxa"/>
            <w:tcBorders>
              <w:top w:val="nil"/>
              <w:left w:val="nil"/>
              <w:bottom w:val="nil"/>
              <w:right w:val="nil"/>
            </w:tcBorders>
            <w:shd w:val="clear" w:color="auto" w:fill="auto"/>
            <w:noWrap/>
            <w:tcMar>
              <w:top w:w="12" w:type="dxa"/>
              <w:left w:w="12" w:type="dxa"/>
              <w:right w:w="12" w:type="dxa"/>
            </w:tcMar>
            <w:vAlign w:val="bottom"/>
          </w:tcPr>
          <w:p w14:paraId="2A8B8625">
            <w:pPr>
              <w:rPr>
                <w:rFonts w:hint="default" w:ascii="Arial" w:hAnsi="Arial" w:cs="Arial"/>
                <w:i w:val="0"/>
                <w:color w:val="000000"/>
                <w:sz w:val="19"/>
                <w:szCs w:val="19"/>
                <w:u w:val="none"/>
              </w:rPr>
            </w:pPr>
          </w:p>
        </w:tc>
        <w:tc>
          <w:tcPr>
            <w:tcW w:w="2002" w:type="dxa"/>
            <w:gridSpan w:val="2"/>
            <w:tcBorders>
              <w:top w:val="nil"/>
              <w:left w:val="nil"/>
              <w:bottom w:val="nil"/>
              <w:right w:val="nil"/>
            </w:tcBorders>
            <w:shd w:val="clear" w:color="auto" w:fill="auto"/>
            <w:noWrap/>
            <w:tcMar>
              <w:top w:w="12" w:type="dxa"/>
              <w:left w:w="12" w:type="dxa"/>
              <w:right w:w="12" w:type="dxa"/>
            </w:tcMar>
            <w:vAlign w:val="bottom"/>
          </w:tcPr>
          <w:p w14:paraId="2C6C7881">
            <w:pPr>
              <w:rPr>
                <w:rFonts w:hint="default" w:ascii="Arial" w:hAnsi="Arial" w:cs="Arial"/>
                <w:i w:val="0"/>
                <w:color w:val="000000"/>
                <w:sz w:val="19"/>
                <w:szCs w:val="19"/>
                <w:u w:val="none"/>
              </w:rPr>
            </w:pPr>
          </w:p>
        </w:tc>
        <w:tc>
          <w:tcPr>
            <w:tcW w:w="1231" w:type="dxa"/>
            <w:gridSpan w:val="2"/>
            <w:tcBorders>
              <w:top w:val="nil"/>
              <w:left w:val="nil"/>
              <w:bottom w:val="nil"/>
              <w:right w:val="nil"/>
            </w:tcBorders>
            <w:shd w:val="clear" w:color="auto" w:fill="auto"/>
            <w:noWrap/>
            <w:tcMar>
              <w:top w:w="12" w:type="dxa"/>
              <w:left w:w="12" w:type="dxa"/>
              <w:right w:w="12" w:type="dxa"/>
            </w:tcMar>
            <w:vAlign w:val="bottom"/>
          </w:tcPr>
          <w:p w14:paraId="159F65B4">
            <w:pPr>
              <w:rPr>
                <w:rFonts w:hint="default" w:ascii="Arial" w:hAnsi="Arial" w:cs="Arial"/>
                <w:i w:val="0"/>
                <w:color w:val="000000"/>
                <w:sz w:val="19"/>
                <w:szCs w:val="19"/>
                <w:u w:val="none"/>
              </w:rPr>
            </w:pPr>
          </w:p>
        </w:tc>
        <w:tc>
          <w:tcPr>
            <w:tcW w:w="725" w:type="dxa"/>
            <w:tcBorders>
              <w:top w:val="nil"/>
              <w:left w:val="nil"/>
              <w:bottom w:val="nil"/>
              <w:right w:val="nil"/>
            </w:tcBorders>
            <w:shd w:val="clear" w:color="auto" w:fill="auto"/>
            <w:noWrap/>
            <w:tcMar>
              <w:top w:w="12" w:type="dxa"/>
              <w:left w:w="12" w:type="dxa"/>
              <w:right w:w="12" w:type="dxa"/>
            </w:tcMar>
            <w:vAlign w:val="bottom"/>
          </w:tcPr>
          <w:p w14:paraId="397D9DB9">
            <w:pPr>
              <w:rPr>
                <w:rFonts w:hint="default" w:ascii="Arial" w:hAnsi="Arial" w:cs="Arial"/>
                <w:i w:val="0"/>
                <w:color w:val="000000"/>
                <w:sz w:val="19"/>
                <w:szCs w:val="19"/>
                <w:u w:val="none"/>
              </w:rPr>
            </w:pPr>
          </w:p>
        </w:tc>
        <w:tc>
          <w:tcPr>
            <w:tcW w:w="3556" w:type="dxa"/>
            <w:gridSpan w:val="3"/>
            <w:tcBorders>
              <w:top w:val="nil"/>
              <w:left w:val="nil"/>
              <w:bottom w:val="nil"/>
              <w:right w:val="nil"/>
            </w:tcBorders>
            <w:shd w:val="clear" w:color="auto" w:fill="auto"/>
            <w:noWrap/>
            <w:tcMar>
              <w:top w:w="12" w:type="dxa"/>
              <w:left w:w="12" w:type="dxa"/>
              <w:right w:w="12" w:type="dxa"/>
            </w:tcMar>
            <w:vAlign w:val="bottom"/>
          </w:tcPr>
          <w:p w14:paraId="19041028">
            <w:pPr>
              <w:rPr>
                <w:rFonts w:hint="default" w:ascii="Arial" w:hAnsi="Arial" w:cs="Arial"/>
                <w:i w:val="0"/>
                <w:color w:val="000000"/>
                <w:sz w:val="19"/>
                <w:szCs w:val="19"/>
                <w:u w:val="none"/>
              </w:rPr>
            </w:pPr>
          </w:p>
        </w:tc>
        <w:tc>
          <w:tcPr>
            <w:tcW w:w="1350" w:type="dxa"/>
            <w:gridSpan w:val="2"/>
            <w:tcBorders>
              <w:top w:val="nil"/>
              <w:left w:val="nil"/>
              <w:bottom w:val="nil"/>
              <w:right w:val="nil"/>
            </w:tcBorders>
            <w:shd w:val="clear" w:color="auto" w:fill="auto"/>
            <w:noWrap/>
            <w:tcMar>
              <w:top w:w="12" w:type="dxa"/>
              <w:left w:w="12" w:type="dxa"/>
              <w:right w:w="12" w:type="dxa"/>
            </w:tcMar>
            <w:vAlign w:val="bottom"/>
          </w:tcPr>
          <w:p w14:paraId="46C4ECCA">
            <w:pPr>
              <w:keepNext w:val="0"/>
              <w:keepLines w:val="0"/>
              <w:widowControl/>
              <w:suppressLineNumbers w:val="0"/>
              <w:jc w:val="right"/>
              <w:textAlignment w:val="bottom"/>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金额单位：万元</w:t>
            </w:r>
          </w:p>
        </w:tc>
      </w:tr>
      <w:tr w14:paraId="0E75A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435" w:hRule="atLeast"/>
          <w:jc w:val="center"/>
        </w:trPr>
        <w:tc>
          <w:tcPr>
            <w:tcW w:w="245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05DB30D">
            <w:pPr>
              <w:keepNext w:val="0"/>
              <w:keepLines w:val="0"/>
              <w:pageBreakBefore w:val="0"/>
              <w:widowControl/>
              <w:kinsoku/>
              <w:wordWrap/>
              <w:overflowPunct/>
              <w:topLinePunct w:val="0"/>
              <w:autoSpaceDE/>
              <w:autoSpaceDN/>
              <w:bidi w:val="0"/>
              <w:adjustRightInd/>
              <w:snapToGrid/>
              <w:spacing w:line="300" w:lineRule="exact"/>
              <w:jc w:val="center"/>
              <w:textAlignment w:val="auto"/>
              <w:rPr>
                <w:b/>
                <w:bCs/>
                <w:kern w:val="0"/>
                <w:sz w:val="21"/>
                <w:szCs w:val="21"/>
              </w:rPr>
            </w:pPr>
            <w:r>
              <w:rPr>
                <w:rFonts w:hint="eastAsia" w:ascii="宋体" w:hAnsi="宋体" w:eastAsia="宋体" w:cs="宋体"/>
                <w:b/>
                <w:bCs/>
                <w:kern w:val="0"/>
                <w:sz w:val="21"/>
                <w:szCs w:val="21"/>
              </w:rPr>
              <w:t>项</w:t>
            </w:r>
            <w:r>
              <w:rPr>
                <w:b/>
                <w:bCs/>
                <w:kern w:val="0"/>
                <w:sz w:val="21"/>
                <w:szCs w:val="21"/>
              </w:rPr>
              <w:t xml:space="preserve"> </w:t>
            </w:r>
            <w:r>
              <w:rPr>
                <w:rFonts w:hint="eastAsia" w:ascii="宋体" w:hAnsi="宋体" w:eastAsia="宋体" w:cs="宋体"/>
                <w:b/>
                <w:bCs/>
                <w:kern w:val="0"/>
                <w:sz w:val="21"/>
                <w:szCs w:val="21"/>
              </w:rPr>
              <w:t>目</w:t>
            </w:r>
          </w:p>
        </w:tc>
        <w:tc>
          <w:tcPr>
            <w:tcW w:w="2007" w:type="dxa"/>
            <w:gridSpan w:val="2"/>
            <w:vMerge w:val="restart"/>
            <w:tcBorders>
              <w:top w:val="single" w:color="auto" w:sz="8" w:space="0"/>
              <w:left w:val="nil"/>
              <w:bottom w:val="single" w:color="auto" w:sz="8" w:space="0"/>
              <w:right w:val="single" w:color="auto" w:sz="8" w:space="0"/>
            </w:tcBorders>
            <w:shd w:val="clear" w:color="auto" w:fill="auto"/>
            <w:vAlign w:val="center"/>
          </w:tcPr>
          <w:p w14:paraId="6F9CA56A">
            <w:pPr>
              <w:keepNext w:val="0"/>
              <w:keepLines w:val="0"/>
              <w:pageBreakBefore w:val="0"/>
              <w:widowControl/>
              <w:kinsoku/>
              <w:wordWrap/>
              <w:overflowPunct/>
              <w:topLinePunct w:val="0"/>
              <w:autoSpaceDE/>
              <w:autoSpaceDN/>
              <w:bidi w:val="0"/>
              <w:adjustRightInd/>
              <w:snapToGrid/>
              <w:spacing w:line="300" w:lineRule="exact"/>
              <w:jc w:val="center"/>
              <w:textAlignment w:val="auto"/>
              <w:rPr>
                <w:b/>
                <w:bCs/>
                <w:kern w:val="0"/>
                <w:sz w:val="21"/>
                <w:szCs w:val="21"/>
              </w:rPr>
            </w:pPr>
            <w:r>
              <w:rPr>
                <w:rFonts w:hint="eastAsia" w:ascii="宋体" w:hAnsi="宋体" w:eastAsia="宋体" w:cs="宋体"/>
                <w:b/>
                <w:bCs/>
                <w:kern w:val="0"/>
                <w:sz w:val="21"/>
                <w:szCs w:val="21"/>
              </w:rPr>
              <w:t>年初结转和结余</w:t>
            </w:r>
          </w:p>
        </w:tc>
        <w:tc>
          <w:tcPr>
            <w:tcW w:w="2007" w:type="dxa"/>
            <w:gridSpan w:val="3"/>
            <w:vMerge w:val="restart"/>
            <w:tcBorders>
              <w:top w:val="single" w:color="auto" w:sz="8" w:space="0"/>
              <w:left w:val="nil"/>
              <w:bottom w:val="single" w:color="auto" w:sz="8" w:space="0"/>
              <w:right w:val="single" w:color="auto" w:sz="8" w:space="0"/>
            </w:tcBorders>
            <w:shd w:val="clear" w:color="auto" w:fill="auto"/>
            <w:vAlign w:val="center"/>
          </w:tcPr>
          <w:p w14:paraId="737A881E">
            <w:pPr>
              <w:keepNext w:val="0"/>
              <w:keepLines w:val="0"/>
              <w:pageBreakBefore w:val="0"/>
              <w:widowControl/>
              <w:kinsoku/>
              <w:wordWrap/>
              <w:overflowPunct/>
              <w:topLinePunct w:val="0"/>
              <w:autoSpaceDE/>
              <w:autoSpaceDN/>
              <w:bidi w:val="0"/>
              <w:adjustRightInd/>
              <w:snapToGrid/>
              <w:spacing w:line="300" w:lineRule="exact"/>
              <w:jc w:val="center"/>
              <w:textAlignment w:val="auto"/>
              <w:rPr>
                <w:b/>
                <w:bCs/>
                <w:kern w:val="0"/>
                <w:sz w:val="21"/>
                <w:szCs w:val="21"/>
              </w:rPr>
            </w:pPr>
            <w:r>
              <w:rPr>
                <w:rFonts w:hint="eastAsia" w:ascii="宋体" w:hAnsi="宋体" w:eastAsia="宋体" w:cs="宋体"/>
                <w:b/>
                <w:bCs/>
                <w:kern w:val="0"/>
                <w:sz w:val="21"/>
                <w:szCs w:val="21"/>
              </w:rPr>
              <w:t>本年收入</w:t>
            </w:r>
          </w:p>
        </w:tc>
        <w:tc>
          <w:tcPr>
            <w:tcW w:w="6027" w:type="dxa"/>
            <w:gridSpan w:val="6"/>
            <w:tcBorders>
              <w:top w:val="single" w:color="auto" w:sz="8" w:space="0"/>
              <w:left w:val="nil"/>
              <w:bottom w:val="nil"/>
              <w:right w:val="single" w:color="auto" w:sz="8" w:space="0"/>
            </w:tcBorders>
            <w:shd w:val="clear" w:color="auto" w:fill="auto"/>
            <w:vAlign w:val="center"/>
          </w:tcPr>
          <w:p w14:paraId="7094DAC2">
            <w:pPr>
              <w:keepNext w:val="0"/>
              <w:keepLines w:val="0"/>
              <w:pageBreakBefore w:val="0"/>
              <w:widowControl/>
              <w:kinsoku/>
              <w:wordWrap/>
              <w:overflowPunct/>
              <w:topLinePunct w:val="0"/>
              <w:autoSpaceDE/>
              <w:autoSpaceDN/>
              <w:bidi w:val="0"/>
              <w:adjustRightInd/>
              <w:snapToGrid/>
              <w:spacing w:line="300" w:lineRule="exact"/>
              <w:jc w:val="center"/>
              <w:textAlignment w:val="auto"/>
              <w:rPr>
                <w:b/>
                <w:bCs/>
                <w:kern w:val="0"/>
                <w:sz w:val="21"/>
                <w:szCs w:val="21"/>
              </w:rPr>
            </w:pPr>
            <w:r>
              <w:rPr>
                <w:rFonts w:hint="eastAsia" w:ascii="宋体" w:hAnsi="宋体" w:eastAsia="宋体" w:cs="宋体"/>
                <w:b/>
                <w:bCs/>
                <w:kern w:val="0"/>
                <w:sz w:val="21"/>
                <w:szCs w:val="21"/>
              </w:rPr>
              <w:t>本年支出</w:t>
            </w:r>
          </w:p>
        </w:tc>
        <w:tc>
          <w:tcPr>
            <w:tcW w:w="2007" w:type="dxa"/>
            <w:gridSpan w:val="2"/>
            <w:vMerge w:val="restart"/>
            <w:tcBorders>
              <w:top w:val="single" w:color="auto" w:sz="8" w:space="0"/>
              <w:left w:val="nil"/>
              <w:bottom w:val="single" w:color="auto" w:sz="8" w:space="0"/>
              <w:right w:val="single" w:color="auto" w:sz="8" w:space="0"/>
            </w:tcBorders>
            <w:shd w:val="clear" w:color="auto" w:fill="auto"/>
            <w:vAlign w:val="center"/>
          </w:tcPr>
          <w:p w14:paraId="54781EFE">
            <w:pPr>
              <w:keepNext w:val="0"/>
              <w:keepLines w:val="0"/>
              <w:pageBreakBefore w:val="0"/>
              <w:widowControl/>
              <w:kinsoku/>
              <w:wordWrap/>
              <w:overflowPunct/>
              <w:topLinePunct w:val="0"/>
              <w:autoSpaceDE/>
              <w:autoSpaceDN/>
              <w:bidi w:val="0"/>
              <w:adjustRightInd/>
              <w:snapToGrid/>
              <w:spacing w:line="300" w:lineRule="exact"/>
              <w:jc w:val="center"/>
              <w:textAlignment w:val="auto"/>
              <w:rPr>
                <w:b/>
                <w:bCs/>
                <w:kern w:val="0"/>
                <w:sz w:val="21"/>
                <w:szCs w:val="21"/>
              </w:rPr>
            </w:pPr>
            <w:r>
              <w:rPr>
                <w:rFonts w:hint="eastAsia" w:ascii="宋体" w:hAnsi="宋体" w:eastAsia="宋体" w:cs="宋体"/>
                <w:b/>
                <w:bCs/>
                <w:kern w:val="0"/>
                <w:sz w:val="21"/>
                <w:szCs w:val="21"/>
              </w:rPr>
              <w:t>年末结转和结余</w:t>
            </w:r>
          </w:p>
        </w:tc>
      </w:tr>
      <w:tr w14:paraId="25844D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435" w:hRule="atLeast"/>
          <w:jc w:val="center"/>
        </w:trPr>
        <w:tc>
          <w:tcPr>
            <w:tcW w:w="1123" w:type="dxa"/>
            <w:gridSpan w:val="3"/>
            <w:vMerge w:val="restart"/>
            <w:tcBorders>
              <w:top w:val="nil"/>
              <w:left w:val="single" w:color="auto" w:sz="8" w:space="0"/>
              <w:bottom w:val="single" w:color="auto" w:sz="8" w:space="0"/>
              <w:right w:val="single" w:color="auto" w:sz="8" w:space="0"/>
            </w:tcBorders>
            <w:shd w:val="clear" w:color="auto" w:fill="auto"/>
            <w:vAlign w:val="center"/>
          </w:tcPr>
          <w:p w14:paraId="649D3CF7">
            <w:pPr>
              <w:keepNext w:val="0"/>
              <w:keepLines w:val="0"/>
              <w:pageBreakBefore w:val="0"/>
              <w:widowControl/>
              <w:kinsoku/>
              <w:wordWrap/>
              <w:overflowPunct/>
              <w:topLinePunct w:val="0"/>
              <w:autoSpaceDE/>
              <w:autoSpaceDN/>
              <w:bidi w:val="0"/>
              <w:adjustRightInd/>
              <w:snapToGrid/>
              <w:spacing w:line="300" w:lineRule="exact"/>
              <w:jc w:val="center"/>
              <w:textAlignment w:val="auto"/>
              <w:rPr>
                <w:b/>
                <w:bCs/>
                <w:kern w:val="0"/>
                <w:sz w:val="21"/>
                <w:szCs w:val="21"/>
              </w:rPr>
            </w:pPr>
            <w:r>
              <w:rPr>
                <w:rFonts w:hint="eastAsia" w:ascii="宋体" w:hAnsi="宋体" w:eastAsia="宋体" w:cs="宋体"/>
                <w:b/>
                <w:bCs/>
                <w:kern w:val="0"/>
                <w:sz w:val="21"/>
                <w:szCs w:val="21"/>
              </w:rPr>
              <w:t>功能分类科目编码</w:t>
            </w:r>
          </w:p>
        </w:tc>
        <w:tc>
          <w:tcPr>
            <w:tcW w:w="1327" w:type="dxa"/>
            <w:vMerge w:val="restart"/>
            <w:tcBorders>
              <w:top w:val="nil"/>
              <w:left w:val="nil"/>
              <w:bottom w:val="single" w:color="auto" w:sz="8" w:space="0"/>
              <w:right w:val="single" w:color="auto" w:sz="8" w:space="0"/>
            </w:tcBorders>
            <w:shd w:val="clear" w:color="auto" w:fill="auto"/>
            <w:vAlign w:val="center"/>
          </w:tcPr>
          <w:p w14:paraId="46F6FB07">
            <w:pPr>
              <w:keepNext w:val="0"/>
              <w:keepLines w:val="0"/>
              <w:pageBreakBefore w:val="0"/>
              <w:widowControl/>
              <w:kinsoku/>
              <w:wordWrap/>
              <w:overflowPunct/>
              <w:topLinePunct w:val="0"/>
              <w:autoSpaceDE/>
              <w:autoSpaceDN/>
              <w:bidi w:val="0"/>
              <w:adjustRightInd/>
              <w:snapToGrid/>
              <w:spacing w:line="300" w:lineRule="exact"/>
              <w:jc w:val="center"/>
              <w:textAlignment w:val="auto"/>
              <w:rPr>
                <w:b/>
                <w:bCs/>
                <w:kern w:val="0"/>
                <w:sz w:val="21"/>
                <w:szCs w:val="21"/>
              </w:rPr>
            </w:pPr>
            <w:r>
              <w:rPr>
                <w:rFonts w:hint="eastAsia" w:ascii="宋体" w:hAnsi="宋体" w:eastAsia="宋体" w:cs="宋体"/>
                <w:b/>
                <w:bCs/>
                <w:kern w:val="0"/>
                <w:sz w:val="21"/>
                <w:szCs w:val="21"/>
              </w:rPr>
              <w:t>科目名称</w:t>
            </w:r>
          </w:p>
        </w:tc>
        <w:tc>
          <w:tcPr>
            <w:tcW w:w="2007" w:type="dxa"/>
            <w:gridSpan w:val="2"/>
            <w:vMerge w:val="continue"/>
            <w:tcBorders>
              <w:top w:val="single" w:color="auto" w:sz="8" w:space="0"/>
              <w:left w:val="nil"/>
              <w:bottom w:val="single" w:color="auto" w:sz="8" w:space="0"/>
              <w:right w:val="single" w:color="auto" w:sz="8" w:space="0"/>
            </w:tcBorders>
            <w:shd w:val="clear" w:color="auto" w:fill="auto"/>
            <w:vAlign w:val="center"/>
          </w:tcPr>
          <w:p w14:paraId="40D2198C">
            <w:pPr>
              <w:keepNext w:val="0"/>
              <w:keepLines w:val="0"/>
              <w:pageBreakBefore w:val="0"/>
              <w:widowControl/>
              <w:kinsoku/>
              <w:wordWrap/>
              <w:overflowPunct/>
              <w:topLinePunct w:val="0"/>
              <w:autoSpaceDE/>
              <w:autoSpaceDN/>
              <w:bidi w:val="0"/>
              <w:adjustRightInd/>
              <w:snapToGrid/>
              <w:spacing w:line="300" w:lineRule="exact"/>
              <w:jc w:val="left"/>
              <w:textAlignment w:val="auto"/>
              <w:rPr>
                <w:b/>
                <w:bCs/>
                <w:kern w:val="0"/>
                <w:sz w:val="21"/>
                <w:szCs w:val="21"/>
              </w:rPr>
            </w:pPr>
          </w:p>
        </w:tc>
        <w:tc>
          <w:tcPr>
            <w:tcW w:w="2007" w:type="dxa"/>
            <w:gridSpan w:val="3"/>
            <w:vMerge w:val="continue"/>
            <w:tcBorders>
              <w:top w:val="single" w:color="auto" w:sz="8" w:space="0"/>
              <w:left w:val="nil"/>
              <w:bottom w:val="single" w:color="auto" w:sz="8" w:space="0"/>
              <w:right w:val="single" w:color="auto" w:sz="4" w:space="0"/>
            </w:tcBorders>
            <w:shd w:val="clear" w:color="auto" w:fill="auto"/>
            <w:vAlign w:val="center"/>
          </w:tcPr>
          <w:p w14:paraId="261DC0C5">
            <w:pPr>
              <w:keepNext w:val="0"/>
              <w:keepLines w:val="0"/>
              <w:pageBreakBefore w:val="0"/>
              <w:widowControl/>
              <w:kinsoku/>
              <w:wordWrap/>
              <w:overflowPunct/>
              <w:topLinePunct w:val="0"/>
              <w:autoSpaceDE/>
              <w:autoSpaceDN/>
              <w:bidi w:val="0"/>
              <w:adjustRightInd/>
              <w:snapToGrid/>
              <w:spacing w:line="300" w:lineRule="exact"/>
              <w:jc w:val="left"/>
              <w:textAlignment w:val="auto"/>
              <w:rPr>
                <w:b/>
                <w:bCs/>
                <w:kern w:val="0"/>
                <w:sz w:val="21"/>
                <w:szCs w:val="21"/>
              </w:rPr>
            </w:pPr>
          </w:p>
        </w:tc>
        <w:tc>
          <w:tcPr>
            <w:tcW w:w="200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43D219">
            <w:pPr>
              <w:keepNext w:val="0"/>
              <w:keepLines w:val="0"/>
              <w:pageBreakBefore w:val="0"/>
              <w:widowControl/>
              <w:kinsoku/>
              <w:wordWrap/>
              <w:overflowPunct/>
              <w:topLinePunct w:val="0"/>
              <w:autoSpaceDE/>
              <w:autoSpaceDN/>
              <w:bidi w:val="0"/>
              <w:adjustRightInd/>
              <w:snapToGrid/>
              <w:spacing w:line="300" w:lineRule="exact"/>
              <w:jc w:val="center"/>
              <w:textAlignment w:val="auto"/>
              <w:rPr>
                <w:b/>
                <w:bCs/>
                <w:kern w:val="0"/>
                <w:sz w:val="21"/>
                <w:szCs w:val="21"/>
              </w:rPr>
            </w:pPr>
            <w:r>
              <w:rPr>
                <w:rFonts w:hint="eastAsia" w:ascii="宋体" w:hAnsi="宋体" w:eastAsia="宋体" w:cs="宋体"/>
                <w:b/>
                <w:bCs/>
                <w:kern w:val="0"/>
                <w:sz w:val="21"/>
                <w:szCs w:val="21"/>
              </w:rPr>
              <w:t>小计</w:t>
            </w:r>
          </w:p>
        </w:tc>
        <w:tc>
          <w:tcPr>
            <w:tcW w:w="2007" w:type="dxa"/>
            <w:gridSpan w:val="3"/>
            <w:vMerge w:val="restart"/>
            <w:tcBorders>
              <w:top w:val="single" w:color="auto" w:sz="8" w:space="0"/>
              <w:left w:val="single" w:color="auto" w:sz="4" w:space="0"/>
              <w:bottom w:val="single" w:color="auto" w:sz="8" w:space="0"/>
              <w:right w:val="single" w:color="auto" w:sz="8" w:space="0"/>
            </w:tcBorders>
            <w:shd w:val="clear" w:color="auto" w:fill="auto"/>
            <w:vAlign w:val="center"/>
          </w:tcPr>
          <w:p w14:paraId="398F401F">
            <w:pPr>
              <w:keepNext w:val="0"/>
              <w:keepLines w:val="0"/>
              <w:pageBreakBefore w:val="0"/>
              <w:widowControl/>
              <w:kinsoku/>
              <w:wordWrap/>
              <w:overflowPunct/>
              <w:topLinePunct w:val="0"/>
              <w:autoSpaceDE/>
              <w:autoSpaceDN/>
              <w:bidi w:val="0"/>
              <w:adjustRightInd/>
              <w:snapToGrid/>
              <w:spacing w:line="300" w:lineRule="exact"/>
              <w:jc w:val="center"/>
              <w:textAlignment w:val="auto"/>
              <w:rPr>
                <w:b/>
                <w:bCs/>
                <w:kern w:val="0"/>
                <w:sz w:val="21"/>
                <w:szCs w:val="21"/>
              </w:rPr>
            </w:pPr>
            <w:r>
              <w:rPr>
                <w:rFonts w:hint="eastAsia" w:ascii="宋体" w:hAnsi="宋体" w:eastAsia="宋体" w:cs="宋体"/>
                <w:b/>
                <w:bCs/>
                <w:kern w:val="0"/>
                <w:sz w:val="21"/>
                <w:szCs w:val="21"/>
              </w:rPr>
              <w:t>基本支出</w:t>
            </w:r>
            <w:r>
              <w:rPr>
                <w:b/>
                <w:bCs/>
                <w:kern w:val="0"/>
                <w:sz w:val="21"/>
                <w:szCs w:val="21"/>
              </w:rPr>
              <w:t xml:space="preserve">  </w:t>
            </w:r>
          </w:p>
        </w:tc>
        <w:tc>
          <w:tcPr>
            <w:tcW w:w="2013" w:type="dxa"/>
            <w:vMerge w:val="restart"/>
            <w:tcBorders>
              <w:top w:val="single" w:color="auto" w:sz="8" w:space="0"/>
              <w:left w:val="nil"/>
              <w:bottom w:val="single" w:color="auto" w:sz="8" w:space="0"/>
              <w:right w:val="single" w:color="auto" w:sz="8" w:space="0"/>
            </w:tcBorders>
            <w:shd w:val="clear" w:color="auto" w:fill="auto"/>
            <w:vAlign w:val="center"/>
          </w:tcPr>
          <w:p w14:paraId="6FDF28C9">
            <w:pPr>
              <w:keepNext w:val="0"/>
              <w:keepLines w:val="0"/>
              <w:pageBreakBefore w:val="0"/>
              <w:widowControl/>
              <w:kinsoku/>
              <w:wordWrap/>
              <w:overflowPunct/>
              <w:topLinePunct w:val="0"/>
              <w:autoSpaceDE/>
              <w:autoSpaceDN/>
              <w:bidi w:val="0"/>
              <w:adjustRightInd/>
              <w:snapToGrid/>
              <w:spacing w:line="300" w:lineRule="exact"/>
              <w:jc w:val="center"/>
              <w:textAlignment w:val="auto"/>
              <w:rPr>
                <w:b/>
                <w:bCs/>
                <w:kern w:val="0"/>
                <w:sz w:val="21"/>
                <w:szCs w:val="21"/>
              </w:rPr>
            </w:pPr>
            <w:r>
              <w:rPr>
                <w:rFonts w:hint="eastAsia" w:ascii="宋体" w:hAnsi="宋体" w:eastAsia="宋体" w:cs="宋体"/>
                <w:b/>
                <w:bCs/>
                <w:kern w:val="0"/>
                <w:sz w:val="21"/>
                <w:szCs w:val="21"/>
              </w:rPr>
              <w:t>项目支出</w:t>
            </w:r>
          </w:p>
        </w:tc>
        <w:tc>
          <w:tcPr>
            <w:tcW w:w="2007" w:type="dxa"/>
            <w:gridSpan w:val="2"/>
            <w:vMerge w:val="continue"/>
            <w:tcBorders>
              <w:top w:val="single" w:color="auto" w:sz="8" w:space="0"/>
              <w:left w:val="nil"/>
              <w:bottom w:val="single" w:color="auto" w:sz="8" w:space="0"/>
              <w:right w:val="single" w:color="auto" w:sz="8" w:space="0"/>
            </w:tcBorders>
            <w:shd w:val="clear" w:color="auto" w:fill="auto"/>
            <w:vAlign w:val="center"/>
          </w:tcPr>
          <w:p w14:paraId="551845DF">
            <w:pPr>
              <w:keepNext w:val="0"/>
              <w:keepLines w:val="0"/>
              <w:pageBreakBefore w:val="0"/>
              <w:widowControl/>
              <w:kinsoku/>
              <w:wordWrap/>
              <w:overflowPunct/>
              <w:topLinePunct w:val="0"/>
              <w:autoSpaceDE/>
              <w:autoSpaceDN/>
              <w:bidi w:val="0"/>
              <w:adjustRightInd/>
              <w:snapToGrid/>
              <w:spacing w:line="300" w:lineRule="exact"/>
              <w:jc w:val="left"/>
              <w:textAlignment w:val="auto"/>
              <w:rPr>
                <w:b/>
                <w:bCs/>
                <w:kern w:val="0"/>
                <w:sz w:val="21"/>
                <w:szCs w:val="21"/>
              </w:rPr>
            </w:pPr>
          </w:p>
        </w:tc>
      </w:tr>
      <w:tr w14:paraId="132F20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435" w:hRule="atLeast"/>
          <w:jc w:val="center"/>
        </w:trPr>
        <w:tc>
          <w:tcPr>
            <w:tcW w:w="1123" w:type="dxa"/>
            <w:gridSpan w:val="3"/>
            <w:vMerge w:val="continue"/>
            <w:tcBorders>
              <w:top w:val="nil"/>
              <w:left w:val="single" w:color="auto" w:sz="8" w:space="0"/>
              <w:bottom w:val="single" w:color="auto" w:sz="8" w:space="0"/>
              <w:right w:val="single" w:color="auto" w:sz="8" w:space="0"/>
            </w:tcBorders>
            <w:shd w:val="clear" w:color="auto" w:fill="auto"/>
            <w:vAlign w:val="center"/>
          </w:tcPr>
          <w:p w14:paraId="71F1C0B2">
            <w:pPr>
              <w:widowControl/>
              <w:spacing w:line="560" w:lineRule="exact"/>
              <w:jc w:val="left"/>
              <w:rPr>
                <w:b/>
                <w:bCs/>
                <w:kern w:val="0"/>
                <w:sz w:val="21"/>
                <w:szCs w:val="21"/>
              </w:rPr>
            </w:pPr>
          </w:p>
        </w:tc>
        <w:tc>
          <w:tcPr>
            <w:tcW w:w="1327" w:type="dxa"/>
            <w:vMerge w:val="continue"/>
            <w:tcBorders>
              <w:top w:val="nil"/>
              <w:left w:val="nil"/>
              <w:bottom w:val="single" w:color="auto" w:sz="8" w:space="0"/>
              <w:right w:val="single" w:color="auto" w:sz="8" w:space="0"/>
            </w:tcBorders>
            <w:shd w:val="clear" w:color="auto" w:fill="auto"/>
            <w:vAlign w:val="center"/>
          </w:tcPr>
          <w:p w14:paraId="4E33C3C3">
            <w:pPr>
              <w:widowControl/>
              <w:spacing w:line="560" w:lineRule="exact"/>
              <w:jc w:val="left"/>
              <w:rPr>
                <w:b/>
                <w:bCs/>
                <w:kern w:val="0"/>
                <w:sz w:val="21"/>
                <w:szCs w:val="21"/>
              </w:rPr>
            </w:pPr>
          </w:p>
        </w:tc>
        <w:tc>
          <w:tcPr>
            <w:tcW w:w="2007" w:type="dxa"/>
            <w:gridSpan w:val="2"/>
            <w:vMerge w:val="continue"/>
            <w:tcBorders>
              <w:top w:val="single" w:color="auto" w:sz="8" w:space="0"/>
              <w:left w:val="nil"/>
              <w:bottom w:val="single" w:color="auto" w:sz="8" w:space="0"/>
              <w:right w:val="single" w:color="auto" w:sz="8" w:space="0"/>
            </w:tcBorders>
            <w:shd w:val="clear" w:color="auto" w:fill="auto"/>
            <w:vAlign w:val="center"/>
          </w:tcPr>
          <w:p w14:paraId="552AF36A">
            <w:pPr>
              <w:widowControl/>
              <w:spacing w:line="560" w:lineRule="exact"/>
              <w:jc w:val="left"/>
              <w:rPr>
                <w:b/>
                <w:bCs/>
                <w:kern w:val="0"/>
                <w:sz w:val="21"/>
                <w:szCs w:val="21"/>
              </w:rPr>
            </w:pPr>
          </w:p>
        </w:tc>
        <w:tc>
          <w:tcPr>
            <w:tcW w:w="2007" w:type="dxa"/>
            <w:gridSpan w:val="3"/>
            <w:vMerge w:val="continue"/>
            <w:tcBorders>
              <w:top w:val="single" w:color="auto" w:sz="8" w:space="0"/>
              <w:left w:val="nil"/>
              <w:bottom w:val="single" w:color="auto" w:sz="8" w:space="0"/>
              <w:right w:val="single" w:color="auto" w:sz="4" w:space="0"/>
            </w:tcBorders>
            <w:shd w:val="clear" w:color="auto" w:fill="auto"/>
            <w:vAlign w:val="center"/>
          </w:tcPr>
          <w:p w14:paraId="129C26B1">
            <w:pPr>
              <w:widowControl/>
              <w:spacing w:line="560" w:lineRule="exact"/>
              <w:jc w:val="left"/>
              <w:rPr>
                <w:b/>
                <w:bCs/>
                <w:kern w:val="0"/>
                <w:sz w:val="21"/>
                <w:szCs w:val="21"/>
              </w:rPr>
            </w:pPr>
          </w:p>
        </w:tc>
        <w:tc>
          <w:tcPr>
            <w:tcW w:w="200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4AAC5">
            <w:pPr>
              <w:widowControl/>
              <w:spacing w:line="560" w:lineRule="exact"/>
              <w:jc w:val="left"/>
              <w:rPr>
                <w:b/>
                <w:bCs/>
                <w:kern w:val="0"/>
                <w:sz w:val="21"/>
                <w:szCs w:val="21"/>
              </w:rPr>
            </w:pPr>
          </w:p>
        </w:tc>
        <w:tc>
          <w:tcPr>
            <w:tcW w:w="2007" w:type="dxa"/>
            <w:gridSpan w:val="3"/>
            <w:vMerge w:val="continue"/>
            <w:tcBorders>
              <w:top w:val="single" w:color="auto" w:sz="8" w:space="0"/>
              <w:left w:val="single" w:color="auto" w:sz="4" w:space="0"/>
              <w:bottom w:val="single" w:color="auto" w:sz="8" w:space="0"/>
              <w:right w:val="single" w:color="auto" w:sz="8" w:space="0"/>
            </w:tcBorders>
            <w:shd w:val="clear" w:color="auto" w:fill="auto"/>
            <w:vAlign w:val="center"/>
          </w:tcPr>
          <w:p w14:paraId="5CAC6727">
            <w:pPr>
              <w:widowControl/>
              <w:spacing w:line="560" w:lineRule="exact"/>
              <w:jc w:val="left"/>
              <w:rPr>
                <w:b/>
                <w:bCs/>
                <w:kern w:val="0"/>
                <w:sz w:val="21"/>
                <w:szCs w:val="21"/>
              </w:rPr>
            </w:pPr>
          </w:p>
        </w:tc>
        <w:tc>
          <w:tcPr>
            <w:tcW w:w="2013" w:type="dxa"/>
            <w:vMerge w:val="continue"/>
            <w:tcBorders>
              <w:top w:val="single" w:color="auto" w:sz="8" w:space="0"/>
              <w:left w:val="nil"/>
              <w:bottom w:val="single" w:color="auto" w:sz="8" w:space="0"/>
              <w:right w:val="single" w:color="auto" w:sz="8" w:space="0"/>
            </w:tcBorders>
            <w:shd w:val="clear" w:color="auto" w:fill="auto"/>
            <w:vAlign w:val="center"/>
          </w:tcPr>
          <w:p w14:paraId="6AD306F2">
            <w:pPr>
              <w:widowControl/>
              <w:spacing w:line="560" w:lineRule="exact"/>
              <w:jc w:val="left"/>
              <w:rPr>
                <w:b/>
                <w:bCs/>
                <w:kern w:val="0"/>
                <w:sz w:val="21"/>
                <w:szCs w:val="21"/>
              </w:rPr>
            </w:pPr>
          </w:p>
        </w:tc>
        <w:tc>
          <w:tcPr>
            <w:tcW w:w="2007" w:type="dxa"/>
            <w:gridSpan w:val="2"/>
            <w:vMerge w:val="continue"/>
            <w:tcBorders>
              <w:top w:val="single" w:color="auto" w:sz="8" w:space="0"/>
              <w:left w:val="nil"/>
              <w:bottom w:val="single" w:color="auto" w:sz="8" w:space="0"/>
              <w:right w:val="single" w:color="auto" w:sz="8" w:space="0"/>
            </w:tcBorders>
            <w:shd w:val="clear" w:color="auto" w:fill="auto"/>
            <w:vAlign w:val="center"/>
          </w:tcPr>
          <w:p w14:paraId="1B37D9AD">
            <w:pPr>
              <w:widowControl/>
              <w:spacing w:line="560" w:lineRule="exact"/>
              <w:jc w:val="left"/>
              <w:rPr>
                <w:b/>
                <w:bCs/>
                <w:kern w:val="0"/>
                <w:sz w:val="21"/>
                <w:szCs w:val="21"/>
              </w:rPr>
            </w:pPr>
          </w:p>
        </w:tc>
      </w:tr>
      <w:tr w14:paraId="1497AB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315" w:hRule="atLeast"/>
          <w:jc w:val="center"/>
        </w:trPr>
        <w:tc>
          <w:tcPr>
            <w:tcW w:w="1123" w:type="dxa"/>
            <w:gridSpan w:val="3"/>
            <w:vMerge w:val="continue"/>
            <w:tcBorders>
              <w:top w:val="nil"/>
              <w:left w:val="single" w:color="auto" w:sz="8" w:space="0"/>
              <w:bottom w:val="single" w:color="auto" w:sz="8" w:space="0"/>
              <w:right w:val="single" w:color="auto" w:sz="8" w:space="0"/>
            </w:tcBorders>
            <w:shd w:val="clear" w:color="auto" w:fill="auto"/>
            <w:vAlign w:val="center"/>
          </w:tcPr>
          <w:p w14:paraId="518AE71B">
            <w:pPr>
              <w:widowControl/>
              <w:spacing w:line="560" w:lineRule="exact"/>
              <w:jc w:val="left"/>
              <w:rPr>
                <w:b/>
                <w:bCs/>
                <w:kern w:val="0"/>
                <w:sz w:val="21"/>
                <w:szCs w:val="21"/>
              </w:rPr>
            </w:pPr>
          </w:p>
        </w:tc>
        <w:tc>
          <w:tcPr>
            <w:tcW w:w="1327" w:type="dxa"/>
            <w:vMerge w:val="continue"/>
            <w:tcBorders>
              <w:top w:val="nil"/>
              <w:left w:val="nil"/>
              <w:bottom w:val="single" w:color="auto" w:sz="8" w:space="0"/>
              <w:right w:val="single" w:color="auto" w:sz="8" w:space="0"/>
            </w:tcBorders>
            <w:shd w:val="clear" w:color="auto" w:fill="auto"/>
            <w:vAlign w:val="center"/>
          </w:tcPr>
          <w:p w14:paraId="5B2DDF2E">
            <w:pPr>
              <w:widowControl/>
              <w:spacing w:line="560" w:lineRule="exact"/>
              <w:jc w:val="left"/>
              <w:rPr>
                <w:b/>
                <w:bCs/>
                <w:kern w:val="0"/>
                <w:sz w:val="21"/>
                <w:szCs w:val="21"/>
              </w:rPr>
            </w:pPr>
          </w:p>
        </w:tc>
        <w:tc>
          <w:tcPr>
            <w:tcW w:w="2007" w:type="dxa"/>
            <w:gridSpan w:val="2"/>
            <w:vMerge w:val="continue"/>
            <w:tcBorders>
              <w:top w:val="single" w:color="auto" w:sz="8" w:space="0"/>
              <w:left w:val="nil"/>
              <w:bottom w:val="single" w:color="auto" w:sz="8" w:space="0"/>
              <w:right w:val="single" w:color="auto" w:sz="8" w:space="0"/>
            </w:tcBorders>
            <w:shd w:val="clear" w:color="auto" w:fill="auto"/>
            <w:vAlign w:val="center"/>
          </w:tcPr>
          <w:p w14:paraId="519CE7B1">
            <w:pPr>
              <w:widowControl/>
              <w:spacing w:line="560" w:lineRule="exact"/>
              <w:jc w:val="left"/>
              <w:rPr>
                <w:b/>
                <w:bCs/>
                <w:kern w:val="0"/>
                <w:sz w:val="21"/>
                <w:szCs w:val="21"/>
              </w:rPr>
            </w:pPr>
          </w:p>
        </w:tc>
        <w:tc>
          <w:tcPr>
            <w:tcW w:w="2007" w:type="dxa"/>
            <w:gridSpan w:val="3"/>
            <w:vMerge w:val="continue"/>
            <w:tcBorders>
              <w:top w:val="single" w:color="auto" w:sz="8" w:space="0"/>
              <w:left w:val="nil"/>
              <w:bottom w:val="single" w:color="auto" w:sz="8" w:space="0"/>
              <w:right w:val="single" w:color="auto" w:sz="4" w:space="0"/>
            </w:tcBorders>
            <w:shd w:val="clear" w:color="auto" w:fill="auto"/>
            <w:vAlign w:val="center"/>
          </w:tcPr>
          <w:p w14:paraId="6EE44F13">
            <w:pPr>
              <w:widowControl/>
              <w:spacing w:line="560" w:lineRule="exact"/>
              <w:jc w:val="left"/>
              <w:rPr>
                <w:b/>
                <w:bCs/>
                <w:kern w:val="0"/>
                <w:sz w:val="21"/>
                <w:szCs w:val="21"/>
              </w:rPr>
            </w:pPr>
          </w:p>
        </w:tc>
        <w:tc>
          <w:tcPr>
            <w:tcW w:w="200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A067B">
            <w:pPr>
              <w:widowControl/>
              <w:spacing w:line="560" w:lineRule="exact"/>
              <w:jc w:val="left"/>
              <w:rPr>
                <w:b/>
                <w:bCs/>
                <w:kern w:val="0"/>
                <w:sz w:val="21"/>
                <w:szCs w:val="21"/>
              </w:rPr>
            </w:pPr>
          </w:p>
        </w:tc>
        <w:tc>
          <w:tcPr>
            <w:tcW w:w="2007" w:type="dxa"/>
            <w:gridSpan w:val="3"/>
            <w:vMerge w:val="continue"/>
            <w:tcBorders>
              <w:top w:val="single" w:color="auto" w:sz="8" w:space="0"/>
              <w:left w:val="single" w:color="auto" w:sz="4" w:space="0"/>
              <w:bottom w:val="single" w:color="auto" w:sz="8" w:space="0"/>
              <w:right w:val="single" w:color="auto" w:sz="8" w:space="0"/>
            </w:tcBorders>
            <w:shd w:val="clear" w:color="auto" w:fill="auto"/>
            <w:vAlign w:val="center"/>
          </w:tcPr>
          <w:p w14:paraId="4F5F7AE5">
            <w:pPr>
              <w:widowControl/>
              <w:spacing w:line="560" w:lineRule="exact"/>
              <w:jc w:val="left"/>
              <w:rPr>
                <w:b/>
                <w:bCs/>
                <w:kern w:val="0"/>
                <w:sz w:val="21"/>
                <w:szCs w:val="21"/>
              </w:rPr>
            </w:pPr>
          </w:p>
        </w:tc>
        <w:tc>
          <w:tcPr>
            <w:tcW w:w="2013" w:type="dxa"/>
            <w:vMerge w:val="continue"/>
            <w:tcBorders>
              <w:top w:val="single" w:color="auto" w:sz="8" w:space="0"/>
              <w:left w:val="nil"/>
              <w:bottom w:val="single" w:color="auto" w:sz="8" w:space="0"/>
              <w:right w:val="single" w:color="auto" w:sz="8" w:space="0"/>
            </w:tcBorders>
            <w:shd w:val="clear" w:color="auto" w:fill="auto"/>
            <w:vAlign w:val="center"/>
          </w:tcPr>
          <w:p w14:paraId="7EBCF1CA">
            <w:pPr>
              <w:widowControl/>
              <w:spacing w:line="560" w:lineRule="exact"/>
              <w:jc w:val="left"/>
              <w:rPr>
                <w:b/>
                <w:bCs/>
                <w:kern w:val="0"/>
                <w:sz w:val="21"/>
                <w:szCs w:val="21"/>
              </w:rPr>
            </w:pPr>
          </w:p>
        </w:tc>
        <w:tc>
          <w:tcPr>
            <w:tcW w:w="2007" w:type="dxa"/>
            <w:gridSpan w:val="2"/>
            <w:vMerge w:val="continue"/>
            <w:tcBorders>
              <w:top w:val="single" w:color="auto" w:sz="8" w:space="0"/>
              <w:left w:val="nil"/>
              <w:bottom w:val="single" w:color="auto" w:sz="8" w:space="0"/>
              <w:right w:val="single" w:color="auto" w:sz="8" w:space="0"/>
            </w:tcBorders>
            <w:shd w:val="clear" w:color="auto" w:fill="auto"/>
            <w:vAlign w:val="center"/>
          </w:tcPr>
          <w:p w14:paraId="1E7FD33B">
            <w:pPr>
              <w:widowControl/>
              <w:spacing w:line="560" w:lineRule="exact"/>
              <w:jc w:val="left"/>
              <w:rPr>
                <w:b/>
                <w:bCs/>
                <w:kern w:val="0"/>
                <w:sz w:val="21"/>
                <w:szCs w:val="21"/>
              </w:rPr>
            </w:pPr>
          </w:p>
        </w:tc>
      </w:tr>
      <w:tr w14:paraId="586F0C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541" w:hRule="atLeast"/>
          <w:jc w:val="center"/>
        </w:trPr>
        <w:tc>
          <w:tcPr>
            <w:tcW w:w="245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25AA159">
            <w:pPr>
              <w:widowControl/>
              <w:spacing w:line="560" w:lineRule="exact"/>
              <w:jc w:val="center"/>
              <w:rPr>
                <w:kern w:val="0"/>
                <w:sz w:val="21"/>
                <w:szCs w:val="21"/>
              </w:rPr>
            </w:pPr>
            <w:r>
              <w:rPr>
                <w:rFonts w:hint="eastAsia" w:ascii="宋体" w:hAnsi="宋体" w:eastAsia="宋体" w:cs="宋体"/>
                <w:kern w:val="0"/>
                <w:sz w:val="21"/>
                <w:szCs w:val="21"/>
              </w:rPr>
              <w:t>栏次</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7EFC9F88">
            <w:pPr>
              <w:widowControl/>
              <w:spacing w:line="560" w:lineRule="exact"/>
              <w:jc w:val="center"/>
              <w:rPr>
                <w:kern w:val="0"/>
                <w:sz w:val="21"/>
                <w:szCs w:val="21"/>
              </w:rPr>
            </w:pPr>
            <w:r>
              <w:rPr>
                <w:kern w:val="0"/>
                <w:sz w:val="21"/>
                <w:szCs w:val="21"/>
              </w:rPr>
              <w:t>1</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1B7A04AD">
            <w:pPr>
              <w:widowControl/>
              <w:spacing w:line="560" w:lineRule="exact"/>
              <w:jc w:val="center"/>
              <w:rPr>
                <w:kern w:val="0"/>
                <w:sz w:val="21"/>
                <w:szCs w:val="21"/>
              </w:rPr>
            </w:pPr>
            <w:r>
              <w:rPr>
                <w:kern w:val="0"/>
                <w:sz w:val="21"/>
                <w:szCs w:val="21"/>
              </w:rPr>
              <w:t>2</w:t>
            </w:r>
          </w:p>
        </w:tc>
        <w:tc>
          <w:tcPr>
            <w:tcW w:w="2007" w:type="dxa"/>
            <w:gridSpan w:val="2"/>
            <w:tcBorders>
              <w:top w:val="single" w:color="auto" w:sz="4" w:space="0"/>
              <w:left w:val="nil"/>
              <w:bottom w:val="single" w:color="auto" w:sz="8" w:space="0"/>
              <w:right w:val="single" w:color="auto" w:sz="8" w:space="0"/>
            </w:tcBorders>
            <w:shd w:val="clear" w:color="auto" w:fill="auto"/>
            <w:vAlign w:val="center"/>
          </w:tcPr>
          <w:p w14:paraId="02D440F6">
            <w:pPr>
              <w:widowControl/>
              <w:spacing w:line="560" w:lineRule="exact"/>
              <w:jc w:val="center"/>
              <w:rPr>
                <w:kern w:val="0"/>
                <w:sz w:val="21"/>
                <w:szCs w:val="21"/>
              </w:rPr>
            </w:pPr>
            <w:r>
              <w:rPr>
                <w:kern w:val="0"/>
                <w:sz w:val="21"/>
                <w:szCs w:val="21"/>
              </w:rPr>
              <w:t>3</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598A833F">
            <w:pPr>
              <w:widowControl/>
              <w:spacing w:line="560" w:lineRule="exact"/>
              <w:jc w:val="center"/>
              <w:rPr>
                <w:kern w:val="0"/>
                <w:sz w:val="21"/>
                <w:szCs w:val="21"/>
              </w:rPr>
            </w:pPr>
            <w:r>
              <w:rPr>
                <w:kern w:val="0"/>
                <w:sz w:val="21"/>
                <w:szCs w:val="21"/>
              </w:rPr>
              <w:t>4</w:t>
            </w:r>
          </w:p>
        </w:tc>
        <w:tc>
          <w:tcPr>
            <w:tcW w:w="2013" w:type="dxa"/>
            <w:tcBorders>
              <w:top w:val="single" w:color="auto" w:sz="8" w:space="0"/>
              <w:left w:val="nil"/>
              <w:bottom w:val="single" w:color="auto" w:sz="8" w:space="0"/>
              <w:right w:val="single" w:color="auto" w:sz="8" w:space="0"/>
            </w:tcBorders>
            <w:shd w:val="clear" w:color="auto" w:fill="auto"/>
            <w:vAlign w:val="center"/>
          </w:tcPr>
          <w:p w14:paraId="62AC12EC">
            <w:pPr>
              <w:widowControl/>
              <w:spacing w:line="560" w:lineRule="exact"/>
              <w:jc w:val="center"/>
              <w:rPr>
                <w:kern w:val="0"/>
                <w:sz w:val="21"/>
                <w:szCs w:val="21"/>
              </w:rPr>
            </w:pPr>
            <w:r>
              <w:rPr>
                <w:kern w:val="0"/>
                <w:sz w:val="21"/>
                <w:szCs w:val="21"/>
              </w:rPr>
              <w:t>5</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43B2284F">
            <w:pPr>
              <w:widowControl/>
              <w:spacing w:line="560" w:lineRule="exact"/>
              <w:jc w:val="center"/>
              <w:rPr>
                <w:kern w:val="0"/>
                <w:sz w:val="21"/>
                <w:szCs w:val="21"/>
              </w:rPr>
            </w:pPr>
            <w:r>
              <w:rPr>
                <w:kern w:val="0"/>
                <w:sz w:val="21"/>
                <w:szCs w:val="21"/>
              </w:rPr>
              <w:t>6</w:t>
            </w:r>
          </w:p>
        </w:tc>
      </w:tr>
      <w:tr w14:paraId="0ED9C7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541" w:hRule="atLeast"/>
          <w:jc w:val="center"/>
        </w:trPr>
        <w:tc>
          <w:tcPr>
            <w:tcW w:w="245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07128902">
            <w:pPr>
              <w:widowControl/>
              <w:spacing w:line="560" w:lineRule="exact"/>
              <w:jc w:val="center"/>
              <w:rPr>
                <w:kern w:val="0"/>
                <w:sz w:val="21"/>
                <w:szCs w:val="21"/>
              </w:rPr>
            </w:pPr>
            <w:r>
              <w:rPr>
                <w:rFonts w:hint="eastAsia" w:ascii="宋体" w:hAnsi="宋体" w:eastAsia="宋体" w:cs="宋体"/>
                <w:kern w:val="0"/>
                <w:sz w:val="21"/>
                <w:szCs w:val="21"/>
              </w:rPr>
              <w:t>合计</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68CF6F74">
            <w:pPr>
              <w:widowControl/>
              <w:spacing w:line="560" w:lineRule="exact"/>
              <w:jc w:val="center"/>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45E21EE9">
            <w:pPr>
              <w:widowControl/>
              <w:spacing w:line="560" w:lineRule="exact"/>
              <w:jc w:val="center"/>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08ACE060">
            <w:pPr>
              <w:widowControl/>
              <w:spacing w:line="560" w:lineRule="exact"/>
              <w:jc w:val="center"/>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1447EECE">
            <w:pPr>
              <w:widowControl/>
              <w:spacing w:line="560" w:lineRule="exact"/>
              <w:jc w:val="center"/>
              <w:rPr>
                <w:kern w:val="0"/>
                <w:sz w:val="21"/>
                <w:szCs w:val="21"/>
              </w:rPr>
            </w:pPr>
            <w:r>
              <w:rPr>
                <w:rFonts w:hint="eastAsia" w:ascii="宋体" w:hAnsi="宋体" w:eastAsia="宋体" w:cs="宋体"/>
                <w:kern w:val="0"/>
                <w:sz w:val="21"/>
                <w:szCs w:val="21"/>
              </w:rPr>
              <w:t>　</w:t>
            </w:r>
          </w:p>
        </w:tc>
        <w:tc>
          <w:tcPr>
            <w:tcW w:w="2013" w:type="dxa"/>
            <w:tcBorders>
              <w:top w:val="single" w:color="auto" w:sz="8" w:space="0"/>
              <w:left w:val="nil"/>
              <w:bottom w:val="single" w:color="auto" w:sz="8" w:space="0"/>
              <w:right w:val="single" w:color="auto" w:sz="8" w:space="0"/>
            </w:tcBorders>
            <w:shd w:val="clear" w:color="auto" w:fill="auto"/>
            <w:vAlign w:val="center"/>
          </w:tcPr>
          <w:p w14:paraId="0FD9CF71">
            <w:pPr>
              <w:widowControl/>
              <w:spacing w:line="560" w:lineRule="exact"/>
              <w:jc w:val="center"/>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5B16695B">
            <w:pPr>
              <w:widowControl/>
              <w:spacing w:line="560" w:lineRule="exact"/>
              <w:jc w:val="center"/>
              <w:rPr>
                <w:kern w:val="0"/>
                <w:sz w:val="21"/>
                <w:szCs w:val="21"/>
              </w:rPr>
            </w:pPr>
            <w:r>
              <w:rPr>
                <w:rFonts w:hint="eastAsia" w:ascii="宋体" w:hAnsi="宋体" w:eastAsia="宋体" w:cs="宋体"/>
                <w:kern w:val="0"/>
                <w:sz w:val="21"/>
                <w:szCs w:val="21"/>
              </w:rPr>
              <w:t>　</w:t>
            </w:r>
          </w:p>
        </w:tc>
      </w:tr>
      <w:tr w14:paraId="7364ED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541" w:hRule="atLeast"/>
          <w:jc w:val="center"/>
        </w:trPr>
        <w:tc>
          <w:tcPr>
            <w:tcW w:w="112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2C2541D">
            <w:pPr>
              <w:widowControl/>
              <w:spacing w:line="560" w:lineRule="exact"/>
              <w:jc w:val="center"/>
              <w:rPr>
                <w:kern w:val="0"/>
                <w:sz w:val="21"/>
                <w:szCs w:val="21"/>
              </w:rPr>
            </w:pPr>
            <w:r>
              <w:rPr>
                <w:rFonts w:hint="eastAsia" w:ascii="宋体" w:hAnsi="宋体" w:eastAsia="宋体" w:cs="宋体"/>
                <w:kern w:val="0"/>
                <w:sz w:val="21"/>
                <w:szCs w:val="21"/>
              </w:rPr>
              <w:t>　</w:t>
            </w:r>
          </w:p>
        </w:tc>
        <w:tc>
          <w:tcPr>
            <w:tcW w:w="1327" w:type="dxa"/>
            <w:tcBorders>
              <w:top w:val="single" w:color="auto" w:sz="8" w:space="0"/>
              <w:left w:val="nil"/>
              <w:bottom w:val="single" w:color="auto" w:sz="8" w:space="0"/>
              <w:right w:val="single" w:color="auto" w:sz="8" w:space="0"/>
            </w:tcBorders>
            <w:shd w:val="clear" w:color="auto" w:fill="auto"/>
            <w:vAlign w:val="center"/>
          </w:tcPr>
          <w:p w14:paraId="5B66A41A">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627B9025">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0C4FD84B">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4A0D7411">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677C6DC3">
            <w:pPr>
              <w:widowControl/>
              <w:spacing w:line="560" w:lineRule="exact"/>
              <w:jc w:val="left"/>
              <w:rPr>
                <w:kern w:val="0"/>
                <w:sz w:val="21"/>
                <w:szCs w:val="21"/>
              </w:rPr>
            </w:pPr>
            <w:r>
              <w:rPr>
                <w:rFonts w:hint="eastAsia" w:ascii="宋体" w:hAnsi="宋体" w:eastAsia="宋体" w:cs="宋体"/>
                <w:kern w:val="0"/>
                <w:sz w:val="21"/>
                <w:szCs w:val="21"/>
              </w:rPr>
              <w:t>　</w:t>
            </w:r>
          </w:p>
        </w:tc>
        <w:tc>
          <w:tcPr>
            <w:tcW w:w="2013" w:type="dxa"/>
            <w:tcBorders>
              <w:top w:val="single" w:color="auto" w:sz="8" w:space="0"/>
              <w:left w:val="nil"/>
              <w:bottom w:val="single" w:color="auto" w:sz="8" w:space="0"/>
              <w:right w:val="single" w:color="auto" w:sz="8" w:space="0"/>
            </w:tcBorders>
            <w:shd w:val="clear" w:color="auto" w:fill="auto"/>
            <w:vAlign w:val="center"/>
          </w:tcPr>
          <w:p w14:paraId="0F6CFC3E">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5659F7BD">
            <w:pPr>
              <w:widowControl/>
              <w:spacing w:line="560" w:lineRule="exact"/>
              <w:jc w:val="left"/>
              <w:rPr>
                <w:kern w:val="0"/>
                <w:sz w:val="21"/>
                <w:szCs w:val="21"/>
              </w:rPr>
            </w:pPr>
            <w:r>
              <w:rPr>
                <w:rFonts w:hint="eastAsia" w:ascii="宋体" w:hAnsi="宋体" w:eastAsia="宋体" w:cs="宋体"/>
                <w:kern w:val="0"/>
                <w:sz w:val="21"/>
                <w:szCs w:val="21"/>
              </w:rPr>
              <w:t>　</w:t>
            </w:r>
          </w:p>
        </w:tc>
      </w:tr>
      <w:tr w14:paraId="516B80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541" w:hRule="atLeast"/>
          <w:jc w:val="center"/>
        </w:trPr>
        <w:tc>
          <w:tcPr>
            <w:tcW w:w="112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6640276">
            <w:pPr>
              <w:widowControl/>
              <w:spacing w:line="560" w:lineRule="exact"/>
              <w:jc w:val="center"/>
              <w:rPr>
                <w:kern w:val="0"/>
                <w:sz w:val="21"/>
                <w:szCs w:val="21"/>
              </w:rPr>
            </w:pPr>
            <w:r>
              <w:rPr>
                <w:rFonts w:hint="eastAsia" w:ascii="宋体" w:hAnsi="宋体" w:eastAsia="宋体" w:cs="宋体"/>
                <w:kern w:val="0"/>
                <w:sz w:val="21"/>
                <w:szCs w:val="21"/>
              </w:rPr>
              <w:t>　</w:t>
            </w:r>
          </w:p>
        </w:tc>
        <w:tc>
          <w:tcPr>
            <w:tcW w:w="1327" w:type="dxa"/>
            <w:tcBorders>
              <w:top w:val="single" w:color="auto" w:sz="8" w:space="0"/>
              <w:left w:val="nil"/>
              <w:bottom w:val="single" w:color="auto" w:sz="8" w:space="0"/>
              <w:right w:val="single" w:color="auto" w:sz="8" w:space="0"/>
            </w:tcBorders>
            <w:shd w:val="clear" w:color="auto" w:fill="auto"/>
            <w:vAlign w:val="center"/>
          </w:tcPr>
          <w:p w14:paraId="40C79A8B">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11FAF42D">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6D345D2F">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0CF703DB">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1BE0373F">
            <w:pPr>
              <w:widowControl/>
              <w:spacing w:line="560" w:lineRule="exact"/>
              <w:jc w:val="left"/>
              <w:rPr>
                <w:kern w:val="0"/>
                <w:sz w:val="21"/>
                <w:szCs w:val="21"/>
              </w:rPr>
            </w:pPr>
            <w:r>
              <w:rPr>
                <w:rFonts w:hint="eastAsia" w:ascii="宋体" w:hAnsi="宋体" w:eastAsia="宋体" w:cs="宋体"/>
                <w:kern w:val="0"/>
                <w:sz w:val="21"/>
                <w:szCs w:val="21"/>
              </w:rPr>
              <w:t>　</w:t>
            </w:r>
          </w:p>
        </w:tc>
        <w:tc>
          <w:tcPr>
            <w:tcW w:w="2013" w:type="dxa"/>
            <w:tcBorders>
              <w:top w:val="single" w:color="auto" w:sz="8" w:space="0"/>
              <w:left w:val="nil"/>
              <w:bottom w:val="single" w:color="auto" w:sz="8" w:space="0"/>
              <w:right w:val="single" w:color="auto" w:sz="8" w:space="0"/>
            </w:tcBorders>
            <w:shd w:val="clear" w:color="auto" w:fill="auto"/>
            <w:vAlign w:val="center"/>
          </w:tcPr>
          <w:p w14:paraId="40C8F644">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6112D119">
            <w:pPr>
              <w:widowControl/>
              <w:spacing w:line="560" w:lineRule="exact"/>
              <w:jc w:val="left"/>
              <w:rPr>
                <w:kern w:val="0"/>
                <w:sz w:val="21"/>
                <w:szCs w:val="21"/>
              </w:rPr>
            </w:pPr>
            <w:r>
              <w:rPr>
                <w:rFonts w:hint="eastAsia" w:ascii="宋体" w:hAnsi="宋体" w:eastAsia="宋体" w:cs="宋体"/>
                <w:kern w:val="0"/>
                <w:sz w:val="21"/>
                <w:szCs w:val="21"/>
              </w:rPr>
              <w:t>　</w:t>
            </w:r>
          </w:p>
        </w:tc>
      </w:tr>
      <w:tr w14:paraId="6C49D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541" w:hRule="atLeast"/>
          <w:jc w:val="center"/>
        </w:trPr>
        <w:tc>
          <w:tcPr>
            <w:tcW w:w="112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5F34AAA">
            <w:pPr>
              <w:widowControl/>
              <w:spacing w:line="560" w:lineRule="exact"/>
              <w:jc w:val="center"/>
              <w:rPr>
                <w:kern w:val="0"/>
                <w:sz w:val="21"/>
                <w:szCs w:val="21"/>
              </w:rPr>
            </w:pPr>
            <w:r>
              <w:rPr>
                <w:rFonts w:hint="eastAsia" w:ascii="宋体" w:hAnsi="宋体" w:eastAsia="宋体" w:cs="宋体"/>
                <w:kern w:val="0"/>
                <w:sz w:val="21"/>
                <w:szCs w:val="21"/>
              </w:rPr>
              <w:t>　</w:t>
            </w:r>
          </w:p>
        </w:tc>
        <w:tc>
          <w:tcPr>
            <w:tcW w:w="1327" w:type="dxa"/>
            <w:tcBorders>
              <w:top w:val="single" w:color="auto" w:sz="8" w:space="0"/>
              <w:left w:val="nil"/>
              <w:bottom w:val="single" w:color="auto" w:sz="8" w:space="0"/>
              <w:right w:val="single" w:color="auto" w:sz="8" w:space="0"/>
            </w:tcBorders>
            <w:shd w:val="clear" w:color="auto" w:fill="auto"/>
            <w:vAlign w:val="center"/>
          </w:tcPr>
          <w:p w14:paraId="597A52D1">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591AC7C9">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35D2CE7B">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1CC5DA53">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0CE99EB6">
            <w:pPr>
              <w:widowControl/>
              <w:spacing w:line="560" w:lineRule="exact"/>
              <w:jc w:val="left"/>
              <w:rPr>
                <w:kern w:val="0"/>
                <w:sz w:val="21"/>
                <w:szCs w:val="21"/>
              </w:rPr>
            </w:pPr>
            <w:r>
              <w:rPr>
                <w:rFonts w:hint="eastAsia" w:ascii="宋体" w:hAnsi="宋体" w:eastAsia="宋体" w:cs="宋体"/>
                <w:kern w:val="0"/>
                <w:sz w:val="21"/>
                <w:szCs w:val="21"/>
              </w:rPr>
              <w:t>　</w:t>
            </w:r>
          </w:p>
        </w:tc>
        <w:tc>
          <w:tcPr>
            <w:tcW w:w="2013" w:type="dxa"/>
            <w:tcBorders>
              <w:top w:val="single" w:color="auto" w:sz="8" w:space="0"/>
              <w:left w:val="nil"/>
              <w:bottom w:val="single" w:color="auto" w:sz="8" w:space="0"/>
              <w:right w:val="single" w:color="auto" w:sz="8" w:space="0"/>
            </w:tcBorders>
            <w:shd w:val="clear" w:color="auto" w:fill="auto"/>
            <w:vAlign w:val="center"/>
          </w:tcPr>
          <w:p w14:paraId="43B973AD">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07F858B1">
            <w:pPr>
              <w:widowControl/>
              <w:spacing w:line="560" w:lineRule="exact"/>
              <w:jc w:val="left"/>
              <w:rPr>
                <w:kern w:val="0"/>
                <w:sz w:val="21"/>
                <w:szCs w:val="21"/>
              </w:rPr>
            </w:pPr>
            <w:r>
              <w:rPr>
                <w:rFonts w:hint="eastAsia" w:ascii="宋体" w:hAnsi="宋体" w:eastAsia="宋体" w:cs="宋体"/>
                <w:kern w:val="0"/>
                <w:sz w:val="21"/>
                <w:szCs w:val="21"/>
              </w:rPr>
              <w:t>　</w:t>
            </w:r>
          </w:p>
        </w:tc>
      </w:tr>
      <w:tr w14:paraId="018A48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541" w:hRule="atLeast"/>
          <w:jc w:val="center"/>
        </w:trPr>
        <w:tc>
          <w:tcPr>
            <w:tcW w:w="112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E522AA4">
            <w:pPr>
              <w:widowControl/>
              <w:spacing w:line="560" w:lineRule="exact"/>
              <w:jc w:val="center"/>
              <w:rPr>
                <w:kern w:val="0"/>
                <w:sz w:val="21"/>
                <w:szCs w:val="21"/>
              </w:rPr>
            </w:pPr>
            <w:r>
              <w:rPr>
                <w:rFonts w:hint="eastAsia" w:ascii="宋体" w:hAnsi="宋体" w:eastAsia="宋体" w:cs="宋体"/>
                <w:kern w:val="0"/>
                <w:sz w:val="21"/>
                <w:szCs w:val="21"/>
              </w:rPr>
              <w:t>　</w:t>
            </w:r>
          </w:p>
        </w:tc>
        <w:tc>
          <w:tcPr>
            <w:tcW w:w="1327" w:type="dxa"/>
            <w:tcBorders>
              <w:top w:val="single" w:color="auto" w:sz="8" w:space="0"/>
              <w:left w:val="nil"/>
              <w:bottom w:val="single" w:color="auto" w:sz="8" w:space="0"/>
              <w:right w:val="single" w:color="auto" w:sz="8" w:space="0"/>
            </w:tcBorders>
            <w:shd w:val="clear" w:color="auto" w:fill="auto"/>
            <w:vAlign w:val="center"/>
          </w:tcPr>
          <w:p w14:paraId="78561E9C">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06E7F0F8">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0C711E10">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5E94374D">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08162B81">
            <w:pPr>
              <w:widowControl/>
              <w:spacing w:line="560" w:lineRule="exact"/>
              <w:jc w:val="left"/>
              <w:rPr>
                <w:kern w:val="0"/>
                <w:sz w:val="21"/>
                <w:szCs w:val="21"/>
              </w:rPr>
            </w:pPr>
            <w:r>
              <w:rPr>
                <w:rFonts w:hint="eastAsia" w:ascii="宋体" w:hAnsi="宋体" w:eastAsia="宋体" w:cs="宋体"/>
                <w:kern w:val="0"/>
                <w:sz w:val="21"/>
                <w:szCs w:val="21"/>
              </w:rPr>
              <w:t>　</w:t>
            </w:r>
          </w:p>
        </w:tc>
        <w:tc>
          <w:tcPr>
            <w:tcW w:w="2013" w:type="dxa"/>
            <w:tcBorders>
              <w:top w:val="single" w:color="auto" w:sz="8" w:space="0"/>
              <w:left w:val="nil"/>
              <w:bottom w:val="single" w:color="auto" w:sz="8" w:space="0"/>
              <w:right w:val="single" w:color="auto" w:sz="8" w:space="0"/>
            </w:tcBorders>
            <w:shd w:val="clear" w:color="auto" w:fill="auto"/>
            <w:vAlign w:val="center"/>
          </w:tcPr>
          <w:p w14:paraId="33B39436">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37CC49A2">
            <w:pPr>
              <w:widowControl/>
              <w:spacing w:line="560" w:lineRule="exact"/>
              <w:jc w:val="left"/>
              <w:rPr>
                <w:kern w:val="0"/>
                <w:sz w:val="21"/>
                <w:szCs w:val="21"/>
              </w:rPr>
            </w:pPr>
            <w:r>
              <w:rPr>
                <w:rFonts w:hint="eastAsia" w:ascii="宋体" w:hAnsi="宋体" w:eastAsia="宋体" w:cs="宋体"/>
                <w:kern w:val="0"/>
                <w:sz w:val="21"/>
                <w:szCs w:val="21"/>
              </w:rPr>
              <w:t>　</w:t>
            </w:r>
          </w:p>
        </w:tc>
      </w:tr>
      <w:tr w14:paraId="044E4E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541" w:hRule="atLeast"/>
          <w:jc w:val="center"/>
        </w:trPr>
        <w:tc>
          <w:tcPr>
            <w:tcW w:w="112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6175131">
            <w:pPr>
              <w:widowControl/>
              <w:spacing w:line="560" w:lineRule="exact"/>
              <w:jc w:val="center"/>
              <w:rPr>
                <w:kern w:val="0"/>
                <w:sz w:val="21"/>
                <w:szCs w:val="21"/>
              </w:rPr>
            </w:pPr>
            <w:r>
              <w:rPr>
                <w:rFonts w:hint="eastAsia" w:ascii="宋体" w:hAnsi="宋体" w:eastAsia="宋体" w:cs="宋体"/>
                <w:kern w:val="0"/>
                <w:sz w:val="21"/>
                <w:szCs w:val="21"/>
              </w:rPr>
              <w:t>　</w:t>
            </w:r>
          </w:p>
        </w:tc>
        <w:tc>
          <w:tcPr>
            <w:tcW w:w="1327" w:type="dxa"/>
            <w:tcBorders>
              <w:top w:val="single" w:color="auto" w:sz="8" w:space="0"/>
              <w:left w:val="nil"/>
              <w:bottom w:val="single" w:color="auto" w:sz="8" w:space="0"/>
              <w:right w:val="single" w:color="auto" w:sz="8" w:space="0"/>
            </w:tcBorders>
            <w:shd w:val="clear" w:color="auto" w:fill="auto"/>
            <w:vAlign w:val="center"/>
          </w:tcPr>
          <w:p w14:paraId="6A83452D">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11D2343A">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79E5FAFB">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64507A95">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2881C710">
            <w:pPr>
              <w:widowControl/>
              <w:spacing w:line="560" w:lineRule="exact"/>
              <w:jc w:val="left"/>
              <w:rPr>
                <w:kern w:val="0"/>
                <w:sz w:val="21"/>
                <w:szCs w:val="21"/>
              </w:rPr>
            </w:pPr>
            <w:r>
              <w:rPr>
                <w:rFonts w:hint="eastAsia" w:ascii="宋体" w:hAnsi="宋体" w:eastAsia="宋体" w:cs="宋体"/>
                <w:kern w:val="0"/>
                <w:sz w:val="21"/>
                <w:szCs w:val="21"/>
              </w:rPr>
              <w:t>　</w:t>
            </w:r>
          </w:p>
        </w:tc>
        <w:tc>
          <w:tcPr>
            <w:tcW w:w="2013" w:type="dxa"/>
            <w:tcBorders>
              <w:top w:val="single" w:color="auto" w:sz="8" w:space="0"/>
              <w:left w:val="nil"/>
              <w:bottom w:val="single" w:color="auto" w:sz="8" w:space="0"/>
              <w:right w:val="single" w:color="auto" w:sz="8" w:space="0"/>
            </w:tcBorders>
            <w:shd w:val="clear" w:color="auto" w:fill="auto"/>
            <w:vAlign w:val="center"/>
          </w:tcPr>
          <w:p w14:paraId="22FA8662">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1E945BD7">
            <w:pPr>
              <w:widowControl/>
              <w:spacing w:line="560" w:lineRule="exact"/>
              <w:jc w:val="left"/>
              <w:rPr>
                <w:kern w:val="0"/>
                <w:sz w:val="21"/>
                <w:szCs w:val="21"/>
              </w:rPr>
            </w:pPr>
            <w:r>
              <w:rPr>
                <w:rFonts w:hint="eastAsia" w:ascii="宋体" w:hAnsi="宋体" w:eastAsia="宋体" w:cs="宋体"/>
                <w:kern w:val="0"/>
                <w:sz w:val="21"/>
                <w:szCs w:val="21"/>
              </w:rPr>
              <w:t>　</w:t>
            </w:r>
          </w:p>
        </w:tc>
      </w:tr>
      <w:tr w14:paraId="578DAC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38" w:type="dxa"/>
          <w:trHeight w:val="572" w:hRule="atLeast"/>
          <w:jc w:val="center"/>
        </w:trPr>
        <w:tc>
          <w:tcPr>
            <w:tcW w:w="112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9BB7A16">
            <w:pPr>
              <w:widowControl/>
              <w:spacing w:line="560" w:lineRule="exact"/>
              <w:jc w:val="center"/>
              <w:rPr>
                <w:kern w:val="0"/>
                <w:sz w:val="21"/>
                <w:szCs w:val="21"/>
              </w:rPr>
            </w:pPr>
            <w:r>
              <w:rPr>
                <w:rFonts w:hint="eastAsia" w:ascii="宋体" w:hAnsi="宋体" w:eastAsia="宋体" w:cs="宋体"/>
                <w:kern w:val="0"/>
                <w:sz w:val="21"/>
                <w:szCs w:val="21"/>
              </w:rPr>
              <w:t>　</w:t>
            </w:r>
          </w:p>
        </w:tc>
        <w:tc>
          <w:tcPr>
            <w:tcW w:w="1327" w:type="dxa"/>
            <w:tcBorders>
              <w:top w:val="single" w:color="auto" w:sz="8" w:space="0"/>
              <w:left w:val="nil"/>
              <w:bottom w:val="single" w:color="auto" w:sz="8" w:space="0"/>
              <w:right w:val="single" w:color="auto" w:sz="8" w:space="0"/>
            </w:tcBorders>
            <w:shd w:val="clear" w:color="auto" w:fill="auto"/>
            <w:vAlign w:val="center"/>
          </w:tcPr>
          <w:p w14:paraId="01572171">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257018EF">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5DB6FC51">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4C618619">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3"/>
            <w:tcBorders>
              <w:top w:val="single" w:color="auto" w:sz="8" w:space="0"/>
              <w:left w:val="nil"/>
              <w:bottom w:val="single" w:color="auto" w:sz="8" w:space="0"/>
              <w:right w:val="single" w:color="auto" w:sz="8" w:space="0"/>
            </w:tcBorders>
            <w:shd w:val="clear" w:color="auto" w:fill="auto"/>
            <w:vAlign w:val="center"/>
          </w:tcPr>
          <w:p w14:paraId="2D239D98">
            <w:pPr>
              <w:widowControl/>
              <w:spacing w:line="560" w:lineRule="exact"/>
              <w:jc w:val="left"/>
              <w:rPr>
                <w:kern w:val="0"/>
                <w:sz w:val="21"/>
                <w:szCs w:val="21"/>
              </w:rPr>
            </w:pPr>
            <w:r>
              <w:rPr>
                <w:rFonts w:hint="eastAsia" w:ascii="宋体" w:hAnsi="宋体" w:eastAsia="宋体" w:cs="宋体"/>
                <w:kern w:val="0"/>
                <w:sz w:val="21"/>
                <w:szCs w:val="21"/>
              </w:rPr>
              <w:t>　</w:t>
            </w:r>
          </w:p>
        </w:tc>
        <w:tc>
          <w:tcPr>
            <w:tcW w:w="2013" w:type="dxa"/>
            <w:tcBorders>
              <w:top w:val="single" w:color="auto" w:sz="8" w:space="0"/>
              <w:left w:val="nil"/>
              <w:bottom w:val="single" w:color="auto" w:sz="8" w:space="0"/>
              <w:right w:val="single" w:color="auto" w:sz="8" w:space="0"/>
            </w:tcBorders>
            <w:shd w:val="clear" w:color="auto" w:fill="auto"/>
            <w:vAlign w:val="center"/>
          </w:tcPr>
          <w:p w14:paraId="06E9BE3A">
            <w:pPr>
              <w:widowControl/>
              <w:spacing w:line="560" w:lineRule="exact"/>
              <w:jc w:val="left"/>
              <w:rPr>
                <w:kern w:val="0"/>
                <w:sz w:val="21"/>
                <w:szCs w:val="21"/>
              </w:rPr>
            </w:pPr>
            <w:r>
              <w:rPr>
                <w:rFonts w:hint="eastAsia" w:ascii="宋体" w:hAnsi="宋体" w:eastAsia="宋体" w:cs="宋体"/>
                <w:kern w:val="0"/>
                <w:sz w:val="21"/>
                <w:szCs w:val="21"/>
              </w:rPr>
              <w:t>　</w:t>
            </w:r>
          </w:p>
        </w:tc>
        <w:tc>
          <w:tcPr>
            <w:tcW w:w="2007" w:type="dxa"/>
            <w:gridSpan w:val="2"/>
            <w:tcBorders>
              <w:top w:val="single" w:color="auto" w:sz="8" w:space="0"/>
              <w:left w:val="nil"/>
              <w:bottom w:val="single" w:color="auto" w:sz="8" w:space="0"/>
              <w:right w:val="single" w:color="auto" w:sz="8" w:space="0"/>
            </w:tcBorders>
            <w:shd w:val="clear" w:color="auto" w:fill="auto"/>
            <w:vAlign w:val="center"/>
          </w:tcPr>
          <w:p w14:paraId="449BD717">
            <w:pPr>
              <w:widowControl/>
              <w:spacing w:line="560" w:lineRule="exact"/>
              <w:jc w:val="left"/>
              <w:rPr>
                <w:kern w:val="0"/>
                <w:sz w:val="21"/>
                <w:szCs w:val="21"/>
              </w:rPr>
            </w:pPr>
            <w:r>
              <w:rPr>
                <w:rFonts w:hint="eastAsia" w:ascii="宋体" w:hAnsi="宋体" w:eastAsia="宋体" w:cs="宋体"/>
                <w:kern w:val="0"/>
                <w:sz w:val="21"/>
                <w:szCs w:val="21"/>
              </w:rPr>
              <w:t>　</w:t>
            </w:r>
          </w:p>
        </w:tc>
      </w:tr>
    </w:tbl>
    <w:p w14:paraId="06C00B9E">
      <w:pPr>
        <w:widowControl/>
        <w:spacing w:line="560" w:lineRule="exact"/>
        <w:ind w:firstLine="400" w:firstLineChars="200"/>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rPr>
        <w:t>注：本表反映部门本年度政府性基金预算财政拨款收入、支出及结转和结余情况</w:t>
      </w:r>
      <w:r>
        <w:rPr>
          <w:rFonts w:hint="eastAsia" w:asciiTheme="minorEastAsia" w:hAnsiTheme="minorEastAsia" w:eastAsiaTheme="minorEastAsia" w:cstheme="minorEastAsia"/>
          <w:kern w:val="0"/>
          <w:sz w:val="20"/>
          <w:szCs w:val="20"/>
          <w:lang w:eastAsia="zh-CN"/>
        </w:rPr>
        <w:t>。</w:t>
      </w:r>
    </w:p>
    <w:p w14:paraId="3215F0BA">
      <w:pPr>
        <w:widowControl/>
        <w:spacing w:line="560" w:lineRule="exact"/>
        <w:ind w:firstLine="400" w:firstLineChars="20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衡阳市人力资源和社会保障局本年度</w:t>
      </w:r>
      <w:r>
        <w:rPr>
          <w:rFonts w:hint="eastAsia" w:asciiTheme="minorEastAsia" w:hAnsiTheme="minorEastAsia" w:eastAsiaTheme="minorEastAsia" w:cstheme="minorEastAsia"/>
          <w:kern w:val="0"/>
          <w:sz w:val="20"/>
          <w:szCs w:val="20"/>
        </w:rPr>
        <w:t>没有政府性基金收入，也没有使用政府性基金安排的支出，故本表无数据。</w:t>
      </w:r>
    </w:p>
    <w:p w14:paraId="42584E0F">
      <w:pPr>
        <w:widowControl/>
        <w:spacing w:line="560" w:lineRule="exact"/>
        <w:jc w:val="left"/>
        <w:rPr>
          <w:rFonts w:hint="eastAsia" w:asciiTheme="minorEastAsia" w:hAnsiTheme="minorEastAsia" w:eastAsiaTheme="minorEastAsia" w:cstheme="minorEastAsia"/>
          <w:b/>
          <w:bCs/>
          <w:sz w:val="20"/>
          <w:szCs w:val="20"/>
        </w:rPr>
        <w:sectPr>
          <w:pgSz w:w="16838" w:h="11906" w:orient="landscape"/>
          <w:pgMar w:top="1440" w:right="1440" w:bottom="1134" w:left="1440" w:header="720" w:footer="720" w:gutter="0"/>
          <w:cols w:space="720" w:num="1"/>
          <w:docGrid w:type="lines" w:linePitch="448" w:charSpace="0"/>
        </w:sectPr>
      </w:pPr>
    </w:p>
    <w:p w14:paraId="7BB1F793">
      <w:pPr>
        <w:spacing w:line="560" w:lineRule="exact"/>
        <w:jc w:val="center"/>
        <w:rPr>
          <w:b/>
          <w:bCs/>
          <w:sz w:val="72"/>
          <w:szCs w:val="72"/>
        </w:rPr>
      </w:pPr>
    </w:p>
    <w:p w14:paraId="39CAC02C">
      <w:pPr>
        <w:spacing w:line="800" w:lineRule="exact"/>
        <w:jc w:val="center"/>
        <w:rPr>
          <w:b/>
          <w:bCs/>
          <w:sz w:val="72"/>
          <w:szCs w:val="72"/>
        </w:rPr>
      </w:pPr>
    </w:p>
    <w:p w14:paraId="59703A47">
      <w:pPr>
        <w:spacing w:line="800" w:lineRule="exact"/>
        <w:jc w:val="center"/>
        <w:rPr>
          <w:b/>
          <w:bCs/>
          <w:sz w:val="72"/>
          <w:szCs w:val="72"/>
        </w:rPr>
      </w:pPr>
    </w:p>
    <w:p w14:paraId="2DEEEFF0">
      <w:pPr>
        <w:spacing w:line="800" w:lineRule="exact"/>
        <w:jc w:val="center"/>
        <w:rPr>
          <w:b/>
          <w:bCs/>
          <w:sz w:val="72"/>
          <w:szCs w:val="72"/>
        </w:rPr>
      </w:pPr>
      <w:r>
        <w:rPr>
          <w:b/>
          <w:bCs/>
          <w:sz w:val="72"/>
          <w:szCs w:val="72"/>
        </w:rPr>
        <w:t xml:space="preserve"> </w:t>
      </w:r>
    </w:p>
    <w:p w14:paraId="1948A1F0">
      <w:pPr>
        <w:spacing w:line="800" w:lineRule="exact"/>
        <w:jc w:val="center"/>
        <w:rPr>
          <w:rFonts w:hint="eastAsia" w:ascii="华文中宋" w:hAnsi="华文中宋" w:eastAsia="华文中宋" w:cs="华文中宋"/>
          <w:b/>
          <w:bCs/>
          <w:sz w:val="72"/>
          <w:szCs w:val="72"/>
        </w:rPr>
      </w:pPr>
      <w:r>
        <w:rPr>
          <w:rFonts w:hint="eastAsia" w:ascii="华文中宋" w:hAnsi="华文中宋" w:eastAsia="华文中宋" w:cs="华文中宋"/>
          <w:b/>
          <w:bCs/>
          <w:sz w:val="72"/>
          <w:szCs w:val="72"/>
        </w:rPr>
        <w:t>第三部分</w:t>
      </w:r>
    </w:p>
    <w:p w14:paraId="3F1175EC">
      <w:pPr>
        <w:spacing w:line="800" w:lineRule="exact"/>
        <w:jc w:val="center"/>
        <w:rPr>
          <w:rFonts w:hint="eastAsia" w:ascii="华文中宋" w:hAnsi="华文中宋" w:eastAsia="华文中宋" w:cs="华文中宋"/>
          <w:b/>
          <w:bCs/>
          <w:sz w:val="72"/>
          <w:szCs w:val="72"/>
        </w:rPr>
      </w:pPr>
    </w:p>
    <w:p w14:paraId="4D42C63C">
      <w:pPr>
        <w:spacing w:line="800" w:lineRule="exact"/>
        <w:jc w:val="center"/>
        <w:rPr>
          <w:rFonts w:hint="eastAsia" w:ascii="华文中宋" w:hAnsi="华文中宋" w:eastAsia="华文中宋" w:cs="华文中宋"/>
          <w:b/>
          <w:bCs/>
          <w:sz w:val="72"/>
          <w:szCs w:val="72"/>
        </w:rPr>
      </w:pPr>
      <w:r>
        <w:rPr>
          <w:rFonts w:hint="eastAsia" w:ascii="华文中宋" w:hAnsi="华文中宋" w:eastAsia="华文中宋" w:cs="华文中宋"/>
          <w:b/>
          <w:bCs/>
          <w:sz w:val="72"/>
          <w:szCs w:val="72"/>
        </w:rPr>
        <w:t xml:space="preserve"> </w:t>
      </w:r>
    </w:p>
    <w:p w14:paraId="6C748948">
      <w:pPr>
        <w:spacing w:line="800" w:lineRule="exact"/>
        <w:jc w:val="center"/>
        <w:rPr>
          <w:rFonts w:hint="eastAsia" w:ascii="华文中宋" w:hAnsi="华文中宋" w:eastAsia="华文中宋" w:cs="华文中宋"/>
          <w:b/>
          <w:bCs/>
          <w:sz w:val="60"/>
          <w:szCs w:val="60"/>
        </w:rPr>
      </w:pPr>
      <w:r>
        <w:rPr>
          <w:rFonts w:hint="eastAsia" w:ascii="华文中宋" w:hAnsi="华文中宋" w:eastAsia="华文中宋" w:cs="华文中宋"/>
          <w:b/>
          <w:bCs/>
          <w:sz w:val="60"/>
          <w:szCs w:val="60"/>
        </w:rPr>
        <w:t>2019年度部门决算情况说明</w:t>
      </w:r>
    </w:p>
    <w:p w14:paraId="446486DD">
      <w:pPr>
        <w:widowControl/>
        <w:spacing w:line="800" w:lineRule="exact"/>
        <w:rPr>
          <w:rFonts w:eastAsia="黑体"/>
          <w:color w:val="000000"/>
          <w:kern w:val="0"/>
          <w:sz w:val="70"/>
          <w:szCs w:val="70"/>
        </w:rPr>
      </w:pPr>
      <w:r>
        <w:rPr>
          <w:rFonts w:eastAsia="黑体"/>
          <w:color w:val="000000"/>
          <w:kern w:val="0"/>
          <w:sz w:val="70"/>
          <w:szCs w:val="70"/>
        </w:rPr>
        <w:t xml:space="preserve"> </w:t>
      </w:r>
    </w:p>
    <w:p w14:paraId="038B5CE5">
      <w:pPr>
        <w:widowControl/>
        <w:spacing w:line="560" w:lineRule="exact"/>
        <w:jc w:val="center"/>
        <w:rPr>
          <w:rFonts w:eastAsia="黑体"/>
          <w:color w:val="000000"/>
          <w:kern w:val="0"/>
          <w:sz w:val="70"/>
          <w:szCs w:val="70"/>
        </w:rPr>
      </w:pPr>
      <w:r>
        <w:rPr>
          <w:rFonts w:eastAsia="黑体"/>
          <w:color w:val="000000"/>
          <w:kern w:val="0"/>
          <w:sz w:val="70"/>
          <w:szCs w:val="70"/>
        </w:rPr>
        <w:t xml:space="preserve"> </w:t>
      </w:r>
    </w:p>
    <w:p w14:paraId="2F881FD1">
      <w:pPr>
        <w:widowControl/>
        <w:spacing w:line="560" w:lineRule="exact"/>
        <w:rPr>
          <w:rFonts w:eastAsia="黑体"/>
          <w:color w:val="000000"/>
          <w:kern w:val="0"/>
          <w:sz w:val="70"/>
          <w:szCs w:val="70"/>
        </w:rPr>
      </w:pPr>
      <w:r>
        <w:rPr>
          <w:rFonts w:eastAsia="黑体"/>
          <w:color w:val="000000"/>
          <w:kern w:val="0"/>
          <w:sz w:val="70"/>
          <w:szCs w:val="70"/>
        </w:rPr>
        <w:t xml:space="preserve"> </w:t>
      </w:r>
    </w:p>
    <w:p w14:paraId="539415C4">
      <w:pPr>
        <w:pStyle w:val="11"/>
        <w:spacing w:line="560" w:lineRule="exact"/>
        <w:ind w:firstLine="640" w:firstLineChars="200"/>
        <w:jc w:val="both"/>
        <w:rPr>
          <w:rFonts w:hAnsi="黑体" w:cs="Times New Roman"/>
          <w:sz w:val="32"/>
          <w:szCs w:val="32"/>
        </w:rPr>
      </w:pPr>
      <w:r>
        <w:rPr>
          <w:rFonts w:hint="eastAsia" w:hAnsi="黑体" w:cs="Times New Roman"/>
          <w:sz w:val="32"/>
          <w:szCs w:val="32"/>
        </w:rPr>
        <w:t xml:space="preserve"> </w:t>
      </w:r>
    </w:p>
    <w:p w14:paraId="3EBA7B8F">
      <w:pPr>
        <w:pStyle w:val="11"/>
        <w:spacing w:line="560" w:lineRule="exact"/>
        <w:ind w:firstLine="640" w:firstLineChars="200"/>
        <w:jc w:val="both"/>
        <w:rPr>
          <w:rFonts w:hint="eastAsia" w:hAnsi="黑体" w:cs="Times New Roman"/>
          <w:sz w:val="32"/>
          <w:szCs w:val="32"/>
        </w:rPr>
      </w:pPr>
      <w:r>
        <w:rPr>
          <w:rFonts w:hint="eastAsia" w:hAnsi="黑体" w:cs="Times New Roman"/>
          <w:sz w:val="32"/>
          <w:szCs w:val="32"/>
        </w:rPr>
        <w:t xml:space="preserve"> </w:t>
      </w:r>
    </w:p>
    <w:p w14:paraId="7E49427F">
      <w:pPr>
        <w:pStyle w:val="11"/>
        <w:spacing w:line="560" w:lineRule="exact"/>
        <w:ind w:firstLine="640" w:firstLineChars="200"/>
        <w:jc w:val="both"/>
        <w:rPr>
          <w:rFonts w:hint="eastAsia" w:hAnsi="黑体" w:cs="Times New Roman"/>
          <w:sz w:val="32"/>
          <w:szCs w:val="32"/>
        </w:rPr>
      </w:pPr>
      <w:r>
        <w:rPr>
          <w:rFonts w:hint="eastAsia" w:hAnsi="黑体" w:cs="Times New Roman"/>
          <w:sz w:val="32"/>
          <w:szCs w:val="32"/>
        </w:rPr>
        <w:t xml:space="preserve"> </w:t>
      </w:r>
    </w:p>
    <w:p w14:paraId="642F7D74">
      <w:pPr>
        <w:pStyle w:val="11"/>
        <w:spacing w:line="560" w:lineRule="exact"/>
        <w:ind w:firstLine="640" w:firstLineChars="200"/>
        <w:jc w:val="both"/>
        <w:rPr>
          <w:rFonts w:hint="eastAsia" w:hAnsi="黑体" w:cs="Times New Roman"/>
          <w:sz w:val="32"/>
          <w:szCs w:val="32"/>
        </w:rPr>
      </w:pPr>
      <w:r>
        <w:rPr>
          <w:rFonts w:hint="eastAsia" w:hAnsi="黑体" w:cs="Times New Roman"/>
          <w:sz w:val="32"/>
          <w:szCs w:val="32"/>
        </w:rPr>
        <w:t xml:space="preserve"> </w:t>
      </w:r>
    </w:p>
    <w:p w14:paraId="77C85F58">
      <w:pPr>
        <w:pStyle w:val="11"/>
        <w:spacing w:line="560" w:lineRule="exact"/>
        <w:ind w:firstLine="640" w:firstLineChars="200"/>
        <w:jc w:val="both"/>
        <w:rPr>
          <w:rFonts w:hint="eastAsia" w:hAnsi="黑体" w:cs="Times New Roman"/>
          <w:sz w:val="32"/>
          <w:szCs w:val="32"/>
        </w:rPr>
      </w:pPr>
      <w:r>
        <w:rPr>
          <w:rFonts w:hint="eastAsia" w:hAnsi="黑体" w:cs="Times New Roman"/>
          <w:sz w:val="32"/>
          <w:szCs w:val="32"/>
        </w:rPr>
        <w:t xml:space="preserve"> </w:t>
      </w:r>
    </w:p>
    <w:p w14:paraId="2AED1333">
      <w:pPr>
        <w:pStyle w:val="11"/>
        <w:spacing w:line="560" w:lineRule="exact"/>
        <w:ind w:firstLine="640" w:firstLineChars="200"/>
        <w:jc w:val="both"/>
        <w:rPr>
          <w:rFonts w:hint="eastAsia" w:hAnsi="黑体" w:cs="Times New Roman"/>
          <w:sz w:val="32"/>
          <w:szCs w:val="32"/>
        </w:rPr>
      </w:pPr>
      <w:r>
        <w:rPr>
          <w:rFonts w:hint="eastAsia" w:hAnsi="黑体" w:cs="Times New Roman"/>
          <w:sz w:val="32"/>
          <w:szCs w:val="32"/>
        </w:rPr>
        <w:t xml:space="preserve"> </w:t>
      </w:r>
    </w:p>
    <w:p w14:paraId="28C48274">
      <w:pPr>
        <w:pStyle w:val="11"/>
        <w:spacing w:line="560" w:lineRule="exact"/>
        <w:ind w:firstLine="640" w:firstLineChars="200"/>
        <w:jc w:val="both"/>
        <w:rPr>
          <w:rFonts w:hint="eastAsia" w:hAnsi="黑体" w:cs="Times New Roman"/>
          <w:sz w:val="32"/>
          <w:szCs w:val="32"/>
        </w:rPr>
      </w:pPr>
      <w:r>
        <w:rPr>
          <w:rFonts w:hint="eastAsia" w:hAnsi="黑体" w:cs="Times New Roman"/>
          <w:sz w:val="32"/>
          <w:szCs w:val="32"/>
        </w:rPr>
        <w:t xml:space="preserve"> </w:t>
      </w:r>
    </w:p>
    <w:p w14:paraId="2B4C6C4D">
      <w:pPr>
        <w:pStyle w:val="11"/>
        <w:spacing w:line="560" w:lineRule="exact"/>
        <w:ind w:firstLine="640" w:firstLineChars="200"/>
        <w:jc w:val="both"/>
        <w:rPr>
          <w:rFonts w:hint="eastAsia" w:hAnsi="黑体" w:cs="Times New Roman"/>
          <w:sz w:val="32"/>
          <w:szCs w:val="32"/>
        </w:rPr>
      </w:pPr>
      <w:r>
        <w:rPr>
          <w:rFonts w:hint="eastAsia" w:hAnsi="黑体" w:cs="Times New Roman"/>
          <w:sz w:val="32"/>
          <w:szCs w:val="32"/>
        </w:rPr>
        <w:t xml:space="preserve"> </w:t>
      </w:r>
    </w:p>
    <w:p w14:paraId="130CD475">
      <w:pPr>
        <w:pStyle w:val="11"/>
        <w:spacing w:line="560" w:lineRule="exact"/>
        <w:ind w:firstLine="640" w:firstLineChars="200"/>
        <w:jc w:val="both"/>
        <w:rPr>
          <w:rFonts w:hint="eastAsia" w:hAnsi="黑体" w:cs="Times New Roman"/>
          <w:sz w:val="32"/>
          <w:szCs w:val="32"/>
        </w:rPr>
      </w:pPr>
      <w:r>
        <w:rPr>
          <w:rFonts w:hint="eastAsia" w:hAnsi="黑体" w:cs="Times New Roman"/>
          <w:sz w:val="32"/>
          <w:szCs w:val="32"/>
        </w:rPr>
        <w:t xml:space="preserve"> </w:t>
      </w:r>
    </w:p>
    <w:p w14:paraId="56B5958F">
      <w:pPr>
        <w:spacing w:line="560" w:lineRule="exact"/>
        <w:ind w:firstLine="1600" w:firstLineChars="500"/>
        <w:rPr>
          <w:rFonts w:hint="eastAsia" w:ascii="仿宋_GB2312" w:hAnsi="仿宋_GB2312" w:eastAsiaTheme="minorEastAsia"/>
        </w:rPr>
      </w:pPr>
    </w:p>
    <w:p w14:paraId="29E60882">
      <w:pPr>
        <w:keepNext w:val="0"/>
        <w:keepLines w:val="0"/>
        <w:pageBreakBefore w:val="0"/>
        <w:kinsoku/>
        <w:wordWrap/>
        <w:overflowPunct/>
        <w:topLinePunct w:val="0"/>
        <w:bidi w:val="0"/>
        <w:snapToGrid/>
        <w:spacing w:beforeAutospacing="0" w:afterAutospacing="0" w:line="560" w:lineRule="exact"/>
        <w:ind w:leftChars="0"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一、收入支出决算总体情况说</w:t>
      </w:r>
      <w:r>
        <w:rPr>
          <w:rFonts w:hint="eastAsia" w:ascii="黑体" w:hAnsi="黑体" w:eastAsia="黑体" w:cs="宋体"/>
          <w:color w:val="000000" w:themeColor="text1"/>
          <w:sz w:val="32"/>
          <w:szCs w:val="32"/>
          <w14:textFill>
            <w14:solidFill>
              <w14:schemeClr w14:val="tx1"/>
            </w14:solidFill>
          </w14:textFill>
        </w:rPr>
        <w:t>明</w:t>
      </w:r>
    </w:p>
    <w:p w14:paraId="333E3BBB">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hint="eastAsia" w:ascii="仿宋" w:hAnsi="仿宋" w:eastAsia="仿宋" w:cs="Times New Roman"/>
          <w:b/>
          <w:color w:val="000000" w:themeColor="text1"/>
          <w:sz w:val="32"/>
          <w:szCs w:val="32"/>
          <w:lang w:eastAsia="zh-CN"/>
          <w14:textFill>
            <w14:solidFill>
              <w14:schemeClr w14:val="tx1"/>
            </w14:solidFill>
          </w14:textFill>
        </w:rPr>
      </w:pPr>
      <w:r>
        <w:rPr>
          <w:rFonts w:ascii="仿宋" w:hAnsi="仿宋" w:eastAsia="仿宋" w:cs="Times New Roman"/>
          <w:sz w:val="32"/>
          <w:szCs w:val="32"/>
        </w:rPr>
        <w:t>2019年度收</w:t>
      </w:r>
      <w:r>
        <w:rPr>
          <w:rFonts w:hint="eastAsia" w:ascii="仿宋" w:hAnsi="仿宋" w:eastAsia="仿宋" w:cs="Times New Roman"/>
          <w:sz w:val="32"/>
          <w:szCs w:val="32"/>
        </w:rPr>
        <w:t>、</w:t>
      </w:r>
      <w:r>
        <w:rPr>
          <w:rFonts w:ascii="仿宋" w:hAnsi="仿宋" w:eastAsia="仿宋" w:cs="Times New Roman"/>
          <w:sz w:val="32"/>
          <w:szCs w:val="32"/>
        </w:rPr>
        <w:t>支总计7503.18万元。与2018年相比，减少1413.8</w:t>
      </w:r>
      <w:r>
        <w:rPr>
          <w:rFonts w:hint="eastAsia" w:ascii="仿宋" w:hAnsi="仿宋" w:eastAsia="仿宋" w:cs="Times New Roman"/>
          <w:sz w:val="32"/>
          <w:szCs w:val="32"/>
        </w:rPr>
        <w:t>4</w:t>
      </w:r>
      <w:r>
        <w:rPr>
          <w:rFonts w:ascii="仿宋" w:hAnsi="仿宋" w:eastAsia="仿宋" w:cs="Times New Roman"/>
          <w:sz w:val="32"/>
          <w:szCs w:val="32"/>
        </w:rPr>
        <w:t>万元，减少15.9%，主要</w:t>
      </w:r>
      <w:r>
        <w:rPr>
          <w:rFonts w:hint="eastAsia" w:ascii="仿宋" w:hAnsi="仿宋" w:eastAsia="仿宋" w:cs="Times New Roman"/>
          <w:sz w:val="32"/>
          <w:szCs w:val="32"/>
          <w:lang w:val="en-US" w:eastAsia="zh-CN"/>
        </w:rPr>
        <w:t>原因：一</w:t>
      </w:r>
      <w:r>
        <w:rPr>
          <w:rFonts w:ascii="仿宋" w:hAnsi="仿宋" w:eastAsia="仿宋" w:cs="Times New Roman"/>
          <w:sz w:val="32"/>
          <w:szCs w:val="32"/>
        </w:rPr>
        <w:t>是2019年机构改革，</w:t>
      </w:r>
      <w:r>
        <w:rPr>
          <w:rFonts w:hint="eastAsia" w:ascii="仿宋" w:hAnsi="仿宋" w:eastAsia="仿宋" w:cs="Times New Roman"/>
          <w:sz w:val="32"/>
          <w:szCs w:val="32"/>
          <w:lang w:val="en-US" w:eastAsia="zh-CN"/>
        </w:rPr>
        <w:t>部分职能</w:t>
      </w:r>
      <w:r>
        <w:rPr>
          <w:rFonts w:ascii="仿宋" w:hAnsi="仿宋" w:eastAsia="仿宋" w:cs="Times New Roman"/>
          <w:sz w:val="32"/>
          <w:szCs w:val="32"/>
        </w:rPr>
        <w:t>划转，</w:t>
      </w:r>
      <w:r>
        <w:rPr>
          <w:rFonts w:hint="eastAsia" w:ascii="仿宋" w:hAnsi="仿宋" w:eastAsia="仿宋" w:cs="Times New Roman"/>
          <w:sz w:val="32"/>
          <w:szCs w:val="32"/>
        </w:rPr>
        <w:t>财政拨款支出相应减少</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二是厉行节约，严控支出</w:t>
      </w:r>
      <w:r>
        <w:rPr>
          <w:rFonts w:hint="eastAsia" w:ascii="仿宋" w:hAnsi="仿宋" w:eastAsia="仿宋" w:cs="Times New Roman"/>
          <w:sz w:val="32"/>
          <w:szCs w:val="32"/>
          <w:lang w:eastAsia="zh-CN"/>
        </w:rPr>
        <w:t>。</w:t>
      </w:r>
    </w:p>
    <w:p w14:paraId="1C6856DD">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hAnsi="黑体" w:cs="Times New Roman"/>
          <w:sz w:val="32"/>
          <w:szCs w:val="32"/>
        </w:rPr>
      </w:pPr>
      <w:r>
        <w:rPr>
          <w:rFonts w:hint="eastAsia" w:hAnsi="黑体" w:cs="Times New Roman"/>
          <w:sz w:val="32"/>
          <w:szCs w:val="32"/>
        </w:rPr>
        <w:t>二、收入决算情况说明</w:t>
      </w:r>
    </w:p>
    <w:p w14:paraId="722E16A3">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hint="eastAsia" w:ascii="仿宋" w:hAnsi="仿宋" w:eastAsia="仿宋" w:cs="Times New Roman"/>
          <w:sz w:val="32"/>
          <w:szCs w:val="32"/>
        </w:rPr>
      </w:pPr>
      <w:r>
        <w:rPr>
          <w:rFonts w:ascii="仿宋" w:hAnsi="仿宋" w:eastAsia="仿宋" w:cs="Times New Roman"/>
          <w:sz w:val="32"/>
          <w:szCs w:val="32"/>
        </w:rPr>
        <w:t>本年收入合计6968.11万元，其中：财政拨款收入5859.36万元，占84.1%；上级补助收入9.19万元，占0.1%；事业收入27万元，占0.4%；其他收入1072.55万元，占15.4%</w:t>
      </w:r>
      <w:r>
        <w:rPr>
          <w:rFonts w:hint="eastAsia" w:ascii="仿宋" w:hAnsi="仿宋" w:eastAsia="仿宋"/>
          <w:sz w:val="32"/>
          <w:szCs w:val="32"/>
        </w:rPr>
        <w:t>。</w:t>
      </w:r>
    </w:p>
    <w:p w14:paraId="0ADD045F">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hAnsi="黑体" w:cs="Times New Roman"/>
          <w:sz w:val="32"/>
          <w:szCs w:val="32"/>
        </w:rPr>
      </w:pPr>
      <w:r>
        <w:rPr>
          <w:rFonts w:hint="eastAsia" w:hAnsi="黑体" w:cs="Times New Roman"/>
          <w:sz w:val="32"/>
          <w:szCs w:val="32"/>
        </w:rPr>
        <w:t>三、支出决算情况说明</w:t>
      </w:r>
    </w:p>
    <w:p w14:paraId="481EA91E">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hint="eastAsia" w:ascii="仿宋" w:hAnsi="仿宋" w:eastAsia="仿宋" w:cs="Times New Roman"/>
          <w:sz w:val="32"/>
          <w:szCs w:val="32"/>
        </w:rPr>
      </w:pPr>
      <w:r>
        <w:rPr>
          <w:rFonts w:ascii="仿宋" w:hAnsi="仿宋" w:eastAsia="仿宋" w:cs="Times New Roman"/>
          <w:sz w:val="32"/>
          <w:szCs w:val="32"/>
        </w:rPr>
        <w:t>本年支出合计7257.05万元，其中：基本支出6257.61万元，占86.2%；项目支出999.44万元，占13.8%。</w:t>
      </w:r>
    </w:p>
    <w:p w14:paraId="7F581B9D">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14:paraId="6CF1B866">
      <w:pPr>
        <w:pStyle w:val="11"/>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Chars="0" w:firstLine="640" w:firstLineChars="200"/>
        <w:jc w:val="both"/>
        <w:textAlignment w:val="auto"/>
        <w:rPr>
          <w:rFonts w:hint="eastAsia" w:ascii="仿宋" w:hAnsi="仿宋" w:eastAsia="仿宋" w:cs="Times New Roman"/>
          <w:sz w:val="32"/>
          <w:szCs w:val="32"/>
          <w:lang w:eastAsia="zh-CN"/>
        </w:rPr>
      </w:pPr>
      <w:r>
        <w:rPr>
          <w:rFonts w:ascii="仿宋" w:hAnsi="仿宋" w:eastAsia="仿宋" w:cs="Times New Roman"/>
          <w:sz w:val="32"/>
          <w:szCs w:val="32"/>
        </w:rPr>
        <w:t>2019年度财政拨款收、支总计6359.04万元，与2018年相比，减少1935.97万元,减少</w:t>
      </w:r>
      <w:r>
        <w:rPr>
          <w:rFonts w:hint="eastAsia" w:ascii="仿宋" w:hAnsi="仿宋" w:eastAsia="仿宋" w:cs="Times New Roman"/>
          <w:sz w:val="32"/>
          <w:szCs w:val="32"/>
        </w:rPr>
        <w:t>23.3</w:t>
      </w:r>
      <w:r>
        <w:rPr>
          <w:rFonts w:ascii="仿宋" w:hAnsi="仿宋" w:eastAsia="仿宋" w:cs="Times New Roman"/>
          <w:sz w:val="32"/>
          <w:szCs w:val="32"/>
        </w:rPr>
        <w:t>%，主要</w:t>
      </w:r>
      <w:r>
        <w:rPr>
          <w:rFonts w:hint="eastAsia" w:ascii="仿宋" w:hAnsi="仿宋" w:eastAsia="仿宋" w:cs="Times New Roman"/>
          <w:sz w:val="32"/>
          <w:szCs w:val="32"/>
          <w:lang w:val="en-US" w:eastAsia="zh-CN"/>
        </w:rPr>
        <w:t>原因：一</w:t>
      </w:r>
      <w:r>
        <w:rPr>
          <w:rFonts w:ascii="仿宋" w:hAnsi="仿宋" w:eastAsia="仿宋" w:cs="Times New Roman"/>
          <w:sz w:val="32"/>
          <w:szCs w:val="32"/>
        </w:rPr>
        <w:t>是2019年机构改革，</w:t>
      </w:r>
      <w:r>
        <w:rPr>
          <w:rFonts w:hint="eastAsia" w:ascii="仿宋" w:hAnsi="仿宋" w:eastAsia="仿宋" w:cs="Times New Roman"/>
          <w:sz w:val="32"/>
          <w:szCs w:val="32"/>
          <w:lang w:val="en-US" w:eastAsia="zh-CN"/>
        </w:rPr>
        <w:t>部分</w:t>
      </w:r>
      <w:r>
        <w:rPr>
          <w:rFonts w:ascii="仿宋" w:hAnsi="仿宋" w:eastAsia="仿宋" w:cs="Times New Roman"/>
          <w:sz w:val="32"/>
          <w:szCs w:val="32"/>
        </w:rPr>
        <w:t>职能划转</w:t>
      </w:r>
      <w:r>
        <w:rPr>
          <w:rFonts w:hint="eastAsia" w:ascii="仿宋" w:hAnsi="仿宋" w:eastAsia="仿宋" w:cs="Times New Roman"/>
          <w:sz w:val="32"/>
          <w:szCs w:val="32"/>
          <w:lang w:eastAsia="zh-CN"/>
        </w:rPr>
        <w:t>，</w:t>
      </w:r>
      <w:r>
        <w:rPr>
          <w:rFonts w:hint="eastAsia" w:ascii="仿宋" w:hAnsi="仿宋" w:eastAsia="仿宋" w:cs="Times New Roman"/>
          <w:sz w:val="32"/>
          <w:szCs w:val="32"/>
        </w:rPr>
        <w:t>财政拨款支出相应减少</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二是厉行节约，严控支出</w:t>
      </w:r>
      <w:r>
        <w:rPr>
          <w:rFonts w:hint="eastAsia" w:ascii="仿宋" w:hAnsi="仿宋" w:eastAsia="仿宋" w:cs="Times New Roman"/>
          <w:sz w:val="32"/>
          <w:szCs w:val="32"/>
          <w:lang w:eastAsia="zh-CN"/>
        </w:rPr>
        <w:t>。</w:t>
      </w:r>
    </w:p>
    <w:p w14:paraId="5AF06F16">
      <w:pPr>
        <w:pStyle w:val="11"/>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一般公共预算财政拨款支出决算情况说明</w:t>
      </w:r>
    </w:p>
    <w:p w14:paraId="62D9E6CF">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（一）财政拨款支出决算总体情况</w:t>
      </w:r>
    </w:p>
    <w:p w14:paraId="3359C231">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2019年度财政拨款支出6174.38万元，占本年支出的85.1%，与2018年相比，财政拨款支出减少1590.24万元，减少20.5%，</w:t>
      </w:r>
      <w:r>
        <w:rPr>
          <w:rFonts w:ascii="仿宋" w:hAnsi="仿宋" w:eastAsia="仿宋" w:cs="Times New Roman"/>
          <w:sz w:val="32"/>
          <w:szCs w:val="32"/>
        </w:rPr>
        <w:t>主要</w:t>
      </w:r>
      <w:r>
        <w:rPr>
          <w:rFonts w:hint="eastAsia" w:ascii="仿宋" w:hAnsi="仿宋" w:eastAsia="仿宋" w:cs="Times New Roman"/>
          <w:sz w:val="32"/>
          <w:szCs w:val="32"/>
          <w:lang w:val="en-US" w:eastAsia="zh-CN"/>
        </w:rPr>
        <w:t>原因：一</w:t>
      </w:r>
      <w:r>
        <w:rPr>
          <w:rFonts w:ascii="仿宋" w:hAnsi="仿宋" w:eastAsia="仿宋" w:cs="Times New Roman"/>
          <w:sz w:val="32"/>
          <w:szCs w:val="32"/>
        </w:rPr>
        <w:t>是2019年机构改革，</w:t>
      </w:r>
      <w:r>
        <w:rPr>
          <w:rFonts w:hint="eastAsia" w:ascii="仿宋" w:hAnsi="仿宋" w:eastAsia="仿宋" w:cs="Times New Roman"/>
          <w:sz w:val="32"/>
          <w:szCs w:val="32"/>
          <w:lang w:val="en-US" w:eastAsia="zh-CN"/>
        </w:rPr>
        <w:t>部分职能</w:t>
      </w:r>
      <w:r>
        <w:rPr>
          <w:rFonts w:ascii="仿宋" w:hAnsi="仿宋" w:eastAsia="仿宋" w:cs="Times New Roman"/>
          <w:sz w:val="32"/>
          <w:szCs w:val="32"/>
        </w:rPr>
        <w:t>划转，</w:t>
      </w:r>
      <w:r>
        <w:rPr>
          <w:rFonts w:hint="eastAsia" w:ascii="仿宋" w:hAnsi="仿宋" w:eastAsia="仿宋" w:cs="Times New Roman"/>
          <w:sz w:val="32"/>
          <w:szCs w:val="32"/>
        </w:rPr>
        <w:t>财政拨款支出相应减少</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二是厉行节约，严控支出</w:t>
      </w:r>
      <w:r>
        <w:rPr>
          <w:rFonts w:hint="eastAsia" w:ascii="仿宋" w:hAnsi="仿宋" w:eastAsia="仿宋" w:cs="Times New Roman"/>
          <w:sz w:val="32"/>
          <w:szCs w:val="32"/>
          <w:lang w:eastAsia="zh-CN"/>
        </w:rPr>
        <w:t>。</w:t>
      </w:r>
    </w:p>
    <w:p w14:paraId="7E28CB30">
      <w:pPr>
        <w:pStyle w:val="11"/>
        <w:keepNext w:val="0"/>
        <w:keepLines w:val="0"/>
        <w:pageBreakBefore w:val="0"/>
        <w:kinsoku/>
        <w:wordWrap/>
        <w:overflowPunct/>
        <w:topLinePunct w:val="0"/>
        <w:bidi w:val="0"/>
        <w:snapToGrid/>
        <w:spacing w:beforeAutospacing="0" w:afterAutospacing="0" w:line="560" w:lineRule="exact"/>
        <w:ind w:leftChars="0" w:firstLine="643" w:firstLineChars="200"/>
        <w:jc w:val="both"/>
        <w:textAlignment w:val="auto"/>
        <w:rPr>
          <w:rFonts w:ascii="仿宋" w:hAnsi="仿宋" w:eastAsia="仿宋" w:cs="Times New Roman"/>
          <w:b/>
          <w:bCs/>
          <w:sz w:val="32"/>
          <w:szCs w:val="32"/>
        </w:rPr>
      </w:pPr>
      <w:r>
        <w:rPr>
          <w:rFonts w:ascii="仿宋" w:hAnsi="仿宋" w:eastAsia="仿宋" w:cs="Times New Roman"/>
          <w:b/>
          <w:bCs/>
          <w:sz w:val="32"/>
          <w:szCs w:val="32"/>
        </w:rPr>
        <w:t>（二）财政拨款支出决算结构情况</w:t>
      </w:r>
    </w:p>
    <w:p w14:paraId="5758A951">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仿宋" w:hAnsi="仿宋" w:eastAsia="仿宋" w:cs="宋体"/>
          <w:color w:val="000000"/>
          <w:kern w:val="0"/>
          <w:sz w:val="32"/>
          <w:szCs w:val="32"/>
        </w:rPr>
      </w:pPr>
      <w:r>
        <w:rPr>
          <w:rFonts w:ascii="仿宋" w:hAnsi="仿宋" w:eastAsia="仿宋"/>
          <w:sz w:val="32"/>
          <w:szCs w:val="32"/>
        </w:rPr>
        <w:t>2019年度财政拨款支出6174.38万元，主要用于以下方面：一般公共服务（类）支出638.25万元，占10.3%；</w:t>
      </w:r>
      <w:r>
        <w:rPr>
          <w:rFonts w:ascii="仿宋" w:hAnsi="仿宋" w:eastAsia="仿宋" w:cs="宋体"/>
          <w:color w:val="000000"/>
          <w:kern w:val="0"/>
          <w:sz w:val="32"/>
          <w:szCs w:val="32"/>
        </w:rPr>
        <w:t>社会保障和就业（类）支出4917.62万元，占79.7%；医疗卫生与计划生育支出418.85万元，占6.8%；农林水（类）支出0.73万元，占0.0</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%；住房保障（类）支出198.92万元，占3.2%。</w:t>
      </w:r>
    </w:p>
    <w:p w14:paraId="397E1C77">
      <w:pPr>
        <w:pStyle w:val="11"/>
        <w:keepNext w:val="0"/>
        <w:keepLines w:val="0"/>
        <w:pageBreakBefore w:val="0"/>
        <w:numPr>
          <w:ilvl w:val="0"/>
          <w:numId w:val="1"/>
        </w:numPr>
        <w:kinsoku/>
        <w:wordWrap/>
        <w:overflowPunct/>
        <w:topLinePunct w:val="0"/>
        <w:bidi w:val="0"/>
        <w:snapToGrid/>
        <w:spacing w:beforeAutospacing="0" w:afterAutospacing="0" w:line="560" w:lineRule="exact"/>
        <w:ind w:leftChars="0" w:firstLine="643" w:firstLineChars="200"/>
        <w:jc w:val="both"/>
        <w:textAlignment w:val="auto"/>
        <w:rPr>
          <w:rFonts w:ascii="仿宋" w:hAnsi="仿宋" w:eastAsia="仿宋" w:cs="Times New Roman"/>
          <w:b/>
          <w:bCs/>
          <w:sz w:val="32"/>
          <w:szCs w:val="32"/>
        </w:rPr>
      </w:pPr>
      <w:r>
        <w:rPr>
          <w:rFonts w:ascii="仿宋" w:hAnsi="仿宋" w:eastAsia="仿宋" w:cs="Times New Roman"/>
          <w:b/>
          <w:bCs/>
          <w:sz w:val="32"/>
          <w:szCs w:val="32"/>
        </w:rPr>
        <w:t>财政拨款支出决算具体情况</w:t>
      </w:r>
    </w:p>
    <w:p w14:paraId="40575B7C">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2019年度财政拨款支出年初预算为</w:t>
      </w:r>
      <w:r>
        <w:rPr>
          <w:rFonts w:hint="eastAsia" w:ascii="仿宋" w:hAnsi="仿宋" w:eastAsia="仿宋" w:cs="宋体"/>
          <w:color w:val="000000"/>
          <w:kern w:val="0"/>
          <w:sz w:val="32"/>
          <w:szCs w:val="32"/>
        </w:rPr>
        <w:t>5741.56</w:t>
      </w:r>
      <w:r>
        <w:rPr>
          <w:rFonts w:ascii="仿宋" w:hAnsi="仿宋" w:eastAsia="仿宋" w:cs="宋体"/>
          <w:color w:val="000000"/>
          <w:kern w:val="0"/>
          <w:sz w:val="32"/>
          <w:szCs w:val="32"/>
        </w:rPr>
        <w:t>万元，支出决算为6174.38万元，完成年初预算的</w:t>
      </w:r>
      <w:r>
        <w:rPr>
          <w:rFonts w:hint="eastAsia" w:ascii="仿宋" w:hAnsi="仿宋" w:eastAsia="仿宋" w:cs="宋体"/>
          <w:color w:val="000000"/>
          <w:kern w:val="0"/>
          <w:sz w:val="32"/>
          <w:szCs w:val="32"/>
        </w:rPr>
        <w:t>107.5</w:t>
      </w:r>
      <w:r>
        <w:rPr>
          <w:rFonts w:ascii="仿宋" w:hAnsi="仿宋" w:eastAsia="仿宋" w:cs="宋体"/>
          <w:color w:val="000000"/>
          <w:kern w:val="0"/>
          <w:sz w:val="32"/>
          <w:szCs w:val="32"/>
        </w:rPr>
        <w:t>%。其中：</w:t>
      </w:r>
    </w:p>
    <w:p w14:paraId="394CAE0C">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default" w:ascii="仿宋" w:hAnsi="仿宋" w:eastAsia="仿宋" w:cs="宋体"/>
          <w:strike/>
          <w:dstrike w:val="0"/>
          <w:kern w:val="0"/>
          <w:sz w:val="32"/>
          <w:szCs w:val="32"/>
          <w:lang w:val="en-US" w:eastAsia="zh-CN"/>
        </w:rPr>
      </w:pPr>
      <w:r>
        <w:rPr>
          <w:rFonts w:ascii="仿宋" w:hAnsi="仿宋" w:eastAsia="仿宋" w:cs="宋体"/>
          <w:color w:val="000000"/>
          <w:kern w:val="0"/>
          <w:sz w:val="32"/>
          <w:szCs w:val="32"/>
        </w:rPr>
        <w:t>1.一般公共服务（类</w:t>
      </w:r>
      <w:r>
        <w:rPr>
          <w:rFonts w:ascii="仿宋" w:hAnsi="仿宋" w:eastAsia="仿宋" w:cs="宋体"/>
          <w:kern w:val="0"/>
          <w:sz w:val="32"/>
          <w:szCs w:val="32"/>
        </w:rPr>
        <w:t>）人力资源事务（款）一般行政管理务（项）。年初预算为77万元，支出决算为124.3万元，完成年初预算的161.4%</w:t>
      </w:r>
      <w:r>
        <w:rPr>
          <w:rFonts w:hint="eastAsia" w:ascii="仿宋" w:hAnsi="仿宋" w:eastAsia="仿宋" w:cs="宋体"/>
          <w:kern w:val="0"/>
          <w:sz w:val="32"/>
          <w:szCs w:val="32"/>
          <w:lang w:eastAsia="zh-CN"/>
        </w:rPr>
        <w:t>，</w:t>
      </w:r>
      <w:r>
        <w:rPr>
          <w:rFonts w:ascii="仿宋" w:hAnsi="仿宋" w:eastAsia="仿宋" w:cs="宋体"/>
          <w:kern w:val="0"/>
          <w:sz w:val="32"/>
          <w:szCs w:val="32"/>
        </w:rPr>
        <w:t>决算数大于预算数的主要原因是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决算数包含了上年结余数和年中追加数。</w:t>
      </w:r>
    </w:p>
    <w:p w14:paraId="288E3E11">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default" w:ascii="仿宋" w:hAnsi="仿宋" w:eastAsia="仿宋" w:cs="宋体"/>
          <w:color w:val="000000"/>
          <w:kern w:val="0"/>
          <w:sz w:val="32"/>
          <w:szCs w:val="32"/>
          <w:lang w:val="en-US" w:eastAsia="zh-CN"/>
        </w:rPr>
      </w:pPr>
      <w:r>
        <w:rPr>
          <w:rFonts w:ascii="仿宋" w:hAnsi="仿宋" w:eastAsia="仿宋" w:cs="宋体"/>
          <w:color w:val="000000"/>
          <w:kern w:val="0"/>
          <w:sz w:val="32"/>
          <w:szCs w:val="32"/>
        </w:rPr>
        <w:t>2.一般公共服务（类）人力资源事务（款）军队转业干部安置（项）。年初预算为100.73 万元，支出决算为0万元，决算数小于预算数的主要原因是</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工作计划调整，部分资金未形成支出。</w:t>
      </w:r>
    </w:p>
    <w:p w14:paraId="065DF3EC">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3.一般公共服务（类）人力资源事务（款）引进人才（项）。年初预算为10 万元，支出决算为10万元，完成年初预算的100%</w:t>
      </w:r>
      <w:r>
        <w:rPr>
          <w:rFonts w:hint="eastAsia" w:ascii="仿宋" w:hAnsi="仿宋" w:eastAsia="仿宋" w:cs="宋体"/>
          <w:color w:val="000000"/>
          <w:kern w:val="0"/>
          <w:sz w:val="32"/>
          <w:szCs w:val="32"/>
          <w:lang w:eastAsia="zh-CN"/>
        </w:rPr>
        <w:t>，</w:t>
      </w:r>
      <w:r>
        <w:rPr>
          <w:rFonts w:ascii="仿宋" w:hAnsi="仿宋" w:eastAsia="仿宋" w:cs="宋体"/>
          <w:color w:val="000000"/>
          <w:kern w:val="0"/>
          <w:sz w:val="32"/>
          <w:szCs w:val="32"/>
        </w:rPr>
        <w:t>决算数与预算数持平。</w:t>
      </w:r>
    </w:p>
    <w:p w14:paraId="631F0118">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4.一般公共服务（类）人力资源事务（款）公务员招考（项）。年初预算为48万元，支出决算为48万元，完成预算的100%，决算数与预算数持平。</w:t>
      </w:r>
    </w:p>
    <w:p w14:paraId="54CEFCDC">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5.一般公共服务（类）人力资源事务（款）事业运行（项）。年初预算为661.55万元，支出决算为362.32万元，完成预算的49.5 %</w:t>
      </w:r>
      <w:r>
        <w:rPr>
          <w:rFonts w:hint="eastAsia" w:ascii="仿宋" w:hAnsi="仿宋" w:eastAsia="仿宋" w:cs="宋体"/>
          <w:color w:val="000000"/>
          <w:kern w:val="0"/>
          <w:sz w:val="32"/>
          <w:szCs w:val="32"/>
          <w:lang w:eastAsia="zh-CN"/>
        </w:rPr>
        <w:t>，</w:t>
      </w:r>
      <w:r>
        <w:rPr>
          <w:rFonts w:ascii="仿宋" w:hAnsi="仿宋" w:eastAsia="仿宋" w:cs="宋体"/>
          <w:kern w:val="0"/>
          <w:sz w:val="32"/>
          <w:szCs w:val="32"/>
        </w:rPr>
        <w:t>决算数小于预算数的主要原因是</w:t>
      </w:r>
      <w:r>
        <w:rPr>
          <w:rFonts w:hint="eastAsia" w:ascii="仿宋" w:hAnsi="仿宋" w:eastAsia="仿宋" w:cs="宋体"/>
          <w:kern w:val="0"/>
          <w:sz w:val="32"/>
          <w:szCs w:val="32"/>
          <w:lang w:eastAsia="zh-CN"/>
        </w:rPr>
        <w:t>：</w:t>
      </w:r>
      <w:r>
        <w:rPr>
          <w:rFonts w:hint="eastAsia" w:ascii="仿宋" w:hAnsi="仿宋" w:eastAsia="仿宋" w:cs="宋体"/>
          <w:color w:val="000000"/>
          <w:kern w:val="0"/>
          <w:sz w:val="32"/>
          <w:szCs w:val="32"/>
          <w:lang w:val="en-US" w:eastAsia="zh-CN"/>
        </w:rPr>
        <w:t>工作计划调整，部分资金未形成支出。</w:t>
      </w:r>
      <w:r>
        <w:rPr>
          <w:rFonts w:ascii="仿宋" w:hAnsi="仿宋" w:eastAsia="仿宋" w:cs="宋体"/>
          <w:color w:val="000000"/>
          <w:kern w:val="0"/>
          <w:sz w:val="32"/>
          <w:szCs w:val="32"/>
        </w:rPr>
        <w:t xml:space="preserve">                                                                                             </w:t>
      </w:r>
    </w:p>
    <w:p w14:paraId="7F1A6463">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6.一般公共服务（类）人力资源事务（款）其他人力资源事务支出（项）。年初预算为0元，支出决算为73.13万元，完成预算的0%。</w:t>
      </w:r>
      <w:r>
        <w:rPr>
          <w:rFonts w:ascii="仿宋" w:hAnsi="仿宋" w:eastAsia="仿宋" w:cs="宋体"/>
          <w:kern w:val="0"/>
          <w:sz w:val="32"/>
          <w:szCs w:val="32"/>
        </w:rPr>
        <w:t>决算数大于预算数的主要原因是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决算数包含了上年结余数和年中追加数。</w:t>
      </w:r>
    </w:p>
    <w:p w14:paraId="17D62CAB">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7.一般公共服务支出（类）纪检监察事务（款）一般行政管理事务（项）。年初预算为20.5万元，支出决算为20.50万元，完成预算的100%，决算数与预算数持平。</w:t>
      </w:r>
    </w:p>
    <w:p w14:paraId="70E21EB4">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eastAsia" w:ascii="仿宋" w:hAnsi="仿宋" w:eastAsia="仿宋" w:cs="宋体"/>
          <w:kern w:val="0"/>
          <w:sz w:val="32"/>
          <w:szCs w:val="32"/>
          <w:lang w:val="en-US" w:eastAsia="zh-CN"/>
        </w:rPr>
      </w:pPr>
      <w:r>
        <w:rPr>
          <w:rFonts w:hint="eastAsia" w:ascii="仿宋" w:hAnsi="仿宋" w:eastAsia="仿宋" w:cs="宋体"/>
          <w:color w:val="000000"/>
          <w:kern w:val="0"/>
          <w:sz w:val="32"/>
          <w:szCs w:val="32"/>
          <w:lang w:val="en-US" w:eastAsia="zh-CN"/>
        </w:rPr>
        <w:t>8</w:t>
      </w:r>
      <w:r>
        <w:rPr>
          <w:rFonts w:ascii="仿宋" w:hAnsi="仿宋" w:eastAsia="仿宋" w:cs="宋体"/>
          <w:color w:val="000000"/>
          <w:kern w:val="0"/>
          <w:sz w:val="32"/>
          <w:szCs w:val="32"/>
        </w:rPr>
        <w:t>.社会保障和就业支出（类）人力资源和社会保障管理事务（款）行政运行（项）。年初预算为1253.29万元，支出决算为1608.18万元，完成预算的128.3%</w:t>
      </w:r>
      <w:r>
        <w:rPr>
          <w:rFonts w:hint="eastAsia" w:ascii="仿宋" w:hAnsi="仿宋" w:eastAsia="仿宋" w:cs="宋体"/>
          <w:color w:val="000000"/>
          <w:kern w:val="0"/>
          <w:sz w:val="32"/>
          <w:szCs w:val="32"/>
          <w:lang w:eastAsia="zh-CN"/>
        </w:rPr>
        <w:t>，</w:t>
      </w:r>
      <w:r>
        <w:rPr>
          <w:rFonts w:ascii="仿宋" w:hAnsi="仿宋" w:eastAsia="仿宋" w:cs="宋体"/>
          <w:kern w:val="0"/>
          <w:sz w:val="32"/>
          <w:szCs w:val="32"/>
        </w:rPr>
        <w:t>决算数大于预算数的主要原因是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决算数包含了上年结余数和年中追加数。</w:t>
      </w:r>
    </w:p>
    <w:p w14:paraId="34F26493">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eastAsia" w:ascii="仿宋" w:hAnsi="仿宋" w:eastAsia="仿宋" w:cs="宋体"/>
          <w:kern w:val="0"/>
          <w:sz w:val="32"/>
          <w:szCs w:val="32"/>
          <w:lang w:val="en-US" w:eastAsia="zh-CN"/>
        </w:rPr>
      </w:pPr>
      <w:r>
        <w:rPr>
          <w:rFonts w:hint="eastAsia" w:ascii="仿宋" w:hAnsi="仿宋" w:eastAsia="仿宋" w:cs="宋体"/>
          <w:color w:val="000000"/>
          <w:kern w:val="0"/>
          <w:sz w:val="32"/>
          <w:szCs w:val="32"/>
          <w:lang w:val="en-US" w:eastAsia="zh-CN"/>
        </w:rPr>
        <w:t>9</w:t>
      </w:r>
      <w:r>
        <w:rPr>
          <w:rFonts w:ascii="仿宋" w:hAnsi="仿宋" w:eastAsia="仿宋" w:cs="宋体"/>
          <w:color w:val="000000"/>
          <w:kern w:val="0"/>
          <w:sz w:val="32"/>
          <w:szCs w:val="32"/>
        </w:rPr>
        <w:t>.社会保障和就业支出（类）人力资源和社会保障管理事务（款）一般行政管理事务（项）。年初预算为38万元，支出决算为326.63万元，完成预算的859.6%。</w:t>
      </w:r>
      <w:r>
        <w:rPr>
          <w:rFonts w:ascii="仿宋" w:hAnsi="仿宋" w:eastAsia="仿宋" w:cs="宋体"/>
          <w:kern w:val="0"/>
          <w:sz w:val="32"/>
          <w:szCs w:val="32"/>
        </w:rPr>
        <w:t>决算数大于预算数的主要原因是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决算数包含了上年结余数和年中追加数。</w:t>
      </w:r>
    </w:p>
    <w:p w14:paraId="597EF329">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eastAsia" w:ascii="仿宋" w:hAnsi="仿宋" w:eastAsia="仿宋" w:cs="宋体"/>
          <w:kern w:val="0"/>
          <w:sz w:val="32"/>
          <w:szCs w:val="32"/>
          <w:lang w:val="en-US" w:eastAsia="zh-CN"/>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0</w:t>
      </w:r>
      <w:r>
        <w:rPr>
          <w:rFonts w:ascii="仿宋" w:hAnsi="仿宋" w:eastAsia="仿宋" w:cs="宋体"/>
          <w:color w:val="000000"/>
          <w:kern w:val="0"/>
          <w:sz w:val="32"/>
          <w:szCs w:val="32"/>
        </w:rPr>
        <w:t>.社会保障和就业支出（类）人力资源和社会保障管理事务（款）劳动保障监察（项）。年初预算为182万元，支出决算为237.99万元，完成预算的130.8%</w:t>
      </w:r>
      <w:r>
        <w:rPr>
          <w:rFonts w:hint="eastAsia" w:ascii="仿宋" w:hAnsi="仿宋" w:eastAsia="仿宋" w:cs="宋体"/>
          <w:color w:val="000000"/>
          <w:kern w:val="0"/>
          <w:sz w:val="32"/>
          <w:szCs w:val="32"/>
          <w:lang w:eastAsia="zh-CN"/>
        </w:rPr>
        <w:t>，</w:t>
      </w:r>
      <w:r>
        <w:rPr>
          <w:rFonts w:ascii="仿宋" w:hAnsi="仿宋" w:eastAsia="仿宋" w:cs="宋体"/>
          <w:kern w:val="0"/>
          <w:sz w:val="32"/>
          <w:szCs w:val="32"/>
        </w:rPr>
        <w:t>决算数大于预算数的主要原因是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决算数包含了上年结余数和年中追加数。</w:t>
      </w:r>
    </w:p>
    <w:p w14:paraId="71AF1B7E">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eastAsia" w:ascii="仿宋" w:hAnsi="仿宋" w:eastAsia="仿宋" w:cs="宋体"/>
          <w:kern w:val="0"/>
          <w:sz w:val="32"/>
          <w:szCs w:val="32"/>
          <w:lang w:val="en-US" w:eastAsia="zh-CN"/>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1</w:t>
      </w:r>
      <w:r>
        <w:rPr>
          <w:rFonts w:ascii="仿宋" w:hAnsi="仿宋" w:eastAsia="仿宋" w:cs="宋体"/>
          <w:color w:val="000000"/>
          <w:kern w:val="0"/>
          <w:sz w:val="32"/>
          <w:szCs w:val="32"/>
        </w:rPr>
        <w:t>.社会保障和就业支出（类）人力资源和社会保障管理事务（款）信息化建设（项）。年初预算为114.26万元，支出决算为139.4万元，完成预算的122%</w:t>
      </w:r>
      <w:r>
        <w:rPr>
          <w:rFonts w:hint="eastAsia" w:ascii="仿宋" w:hAnsi="仿宋" w:eastAsia="仿宋" w:cs="宋体"/>
          <w:color w:val="000000"/>
          <w:kern w:val="0"/>
          <w:sz w:val="32"/>
          <w:szCs w:val="32"/>
          <w:lang w:eastAsia="zh-CN"/>
        </w:rPr>
        <w:t>，</w:t>
      </w:r>
      <w:r>
        <w:rPr>
          <w:rFonts w:ascii="仿宋" w:hAnsi="仿宋" w:eastAsia="仿宋" w:cs="宋体"/>
          <w:kern w:val="0"/>
          <w:sz w:val="32"/>
          <w:szCs w:val="32"/>
        </w:rPr>
        <w:t>决算数大于预算数的主要原因是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 xml:space="preserve">决算数包含了上年结余数和年中追加数。 </w:t>
      </w:r>
    </w:p>
    <w:p w14:paraId="2B234744">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default" w:ascii="仿宋" w:hAnsi="仿宋" w:eastAsia="仿宋" w:cs="宋体"/>
          <w:color w:val="000000"/>
          <w:kern w:val="0"/>
          <w:sz w:val="32"/>
          <w:szCs w:val="32"/>
          <w:lang w:val="en-US" w:eastAsia="zh-CN"/>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2</w:t>
      </w:r>
      <w:r>
        <w:rPr>
          <w:rFonts w:ascii="仿宋" w:hAnsi="仿宋" w:eastAsia="仿宋" w:cs="宋体"/>
          <w:color w:val="000000"/>
          <w:kern w:val="0"/>
          <w:sz w:val="32"/>
          <w:szCs w:val="32"/>
        </w:rPr>
        <w:t>.社会保障和就业支出（类）人力资源和社会保障管理事务（款）社会保险经办机构（项）。年初预算为1817.07万元，支出决算为1637.12万元，完成预算的90.1%</w:t>
      </w:r>
      <w:r>
        <w:rPr>
          <w:rFonts w:hint="eastAsia" w:ascii="仿宋" w:hAnsi="仿宋" w:eastAsia="仿宋" w:cs="宋体"/>
          <w:color w:val="000000"/>
          <w:kern w:val="0"/>
          <w:sz w:val="32"/>
          <w:szCs w:val="32"/>
          <w:lang w:eastAsia="zh-CN"/>
        </w:rPr>
        <w:t>，</w:t>
      </w:r>
      <w:r>
        <w:rPr>
          <w:rFonts w:ascii="仿宋" w:hAnsi="仿宋" w:eastAsia="仿宋" w:cs="宋体"/>
          <w:color w:val="000000"/>
          <w:kern w:val="0"/>
          <w:sz w:val="32"/>
          <w:szCs w:val="32"/>
        </w:rPr>
        <w:t>决算数小于预算数的主要原因是</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工作计划调整，部分资金未形成支出。</w:t>
      </w:r>
    </w:p>
    <w:p w14:paraId="10BC9FF6">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eastAsia" w:ascii="仿宋" w:hAnsi="仿宋" w:eastAsia="仿宋" w:cs="宋体"/>
          <w:kern w:val="0"/>
          <w:sz w:val="32"/>
          <w:szCs w:val="32"/>
          <w:lang w:val="en-US" w:eastAsia="zh-CN"/>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3</w:t>
      </w:r>
      <w:r>
        <w:rPr>
          <w:rFonts w:ascii="仿宋" w:hAnsi="仿宋" w:eastAsia="仿宋" w:cs="宋体"/>
          <w:color w:val="000000"/>
          <w:kern w:val="0"/>
          <w:sz w:val="32"/>
          <w:szCs w:val="32"/>
        </w:rPr>
        <w:t>.社会保障和就业支出（类）人力资源和社会保障管理事务（款）劳动关系和维权（项）。年初预算为95.71万元，支出决算为119.62万元，完成预算的125%。</w:t>
      </w:r>
      <w:r>
        <w:rPr>
          <w:rFonts w:ascii="仿宋" w:hAnsi="仿宋" w:eastAsia="仿宋" w:cs="宋体"/>
          <w:kern w:val="0"/>
          <w:sz w:val="32"/>
          <w:szCs w:val="32"/>
        </w:rPr>
        <w:t>决算数大于预算数的主要原因是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决算数包含了上年结余数和年中追加数。</w:t>
      </w:r>
    </w:p>
    <w:p w14:paraId="02E853EC">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default" w:ascii="仿宋" w:hAnsi="仿宋" w:eastAsia="仿宋" w:cs="宋体"/>
          <w:color w:val="000000"/>
          <w:kern w:val="0"/>
          <w:sz w:val="32"/>
          <w:szCs w:val="32"/>
          <w:lang w:val="en-US" w:eastAsia="zh-CN"/>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4</w:t>
      </w:r>
      <w:r>
        <w:rPr>
          <w:rFonts w:ascii="仿宋" w:hAnsi="仿宋" w:eastAsia="仿宋" w:cs="宋体"/>
          <w:color w:val="000000"/>
          <w:kern w:val="0"/>
          <w:sz w:val="32"/>
          <w:szCs w:val="32"/>
        </w:rPr>
        <w:t>.社会保障和就业支出（类）人力资源和社会保障管理事务（款）公共就业服务和职业技能鉴定机构（项）。年初预算为274.22万元，支出决算为85.76万元，完成预算的31.3%</w:t>
      </w:r>
      <w:r>
        <w:rPr>
          <w:rFonts w:hint="eastAsia" w:ascii="仿宋" w:hAnsi="仿宋" w:eastAsia="仿宋" w:cs="宋体"/>
          <w:color w:val="000000"/>
          <w:kern w:val="0"/>
          <w:sz w:val="32"/>
          <w:szCs w:val="32"/>
          <w:lang w:eastAsia="zh-CN"/>
        </w:rPr>
        <w:t>，</w:t>
      </w:r>
      <w:r>
        <w:rPr>
          <w:rFonts w:ascii="仿宋" w:hAnsi="仿宋" w:eastAsia="仿宋" w:cs="宋体"/>
          <w:color w:val="000000"/>
          <w:kern w:val="0"/>
          <w:sz w:val="32"/>
          <w:szCs w:val="32"/>
        </w:rPr>
        <w:t>决算数小于预算数的主要原因是</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工作计划调整，部分资金未形成支出。</w:t>
      </w:r>
    </w:p>
    <w:p w14:paraId="38D4BC5E">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eastAsia" w:ascii="仿宋" w:hAnsi="仿宋" w:eastAsia="仿宋" w:cs="宋体"/>
          <w:kern w:val="0"/>
          <w:sz w:val="32"/>
          <w:szCs w:val="32"/>
          <w:lang w:val="en-US" w:eastAsia="zh-CN"/>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5</w:t>
      </w:r>
      <w:r>
        <w:rPr>
          <w:rFonts w:ascii="仿宋" w:hAnsi="仿宋" w:eastAsia="仿宋" w:cs="宋体"/>
          <w:color w:val="000000"/>
          <w:kern w:val="0"/>
          <w:sz w:val="32"/>
          <w:szCs w:val="32"/>
        </w:rPr>
        <w:t>.社会保障和就业支出（类）人力资源和社会保障管理事务（款）其他人力资源和社会保障管理事务支出（项）。年初预算为0万元，支出决算为411.93万元，完成预算的0%</w:t>
      </w:r>
      <w:r>
        <w:rPr>
          <w:rFonts w:hint="eastAsia" w:ascii="仿宋" w:hAnsi="仿宋" w:eastAsia="仿宋" w:cs="宋体"/>
          <w:color w:val="000000"/>
          <w:kern w:val="0"/>
          <w:sz w:val="32"/>
          <w:szCs w:val="32"/>
          <w:lang w:eastAsia="zh-CN"/>
        </w:rPr>
        <w:t>，</w:t>
      </w:r>
      <w:r>
        <w:rPr>
          <w:rFonts w:ascii="仿宋" w:hAnsi="仿宋" w:eastAsia="仿宋" w:cs="宋体"/>
          <w:kern w:val="0"/>
          <w:sz w:val="32"/>
          <w:szCs w:val="32"/>
        </w:rPr>
        <w:t>决算数大于预算数的主要原因是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 xml:space="preserve">决算数包含了上年结余数和年中追加数。                               </w:t>
      </w:r>
    </w:p>
    <w:p w14:paraId="755C2508">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default" w:ascii="仿宋" w:hAnsi="仿宋" w:eastAsia="仿宋" w:cs="宋体"/>
          <w:color w:val="000000"/>
          <w:kern w:val="0"/>
          <w:sz w:val="32"/>
          <w:szCs w:val="32"/>
          <w:lang w:val="en-US" w:eastAsia="zh-CN"/>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6</w:t>
      </w:r>
      <w:r>
        <w:rPr>
          <w:rFonts w:ascii="仿宋" w:hAnsi="仿宋" w:eastAsia="仿宋" w:cs="宋体"/>
          <w:color w:val="000000"/>
          <w:kern w:val="0"/>
          <w:sz w:val="32"/>
          <w:szCs w:val="32"/>
        </w:rPr>
        <w:t>.社会保障和就业支出（类）行政事业单位离退休（款）机关事业单位基本养老保险缴费支出（项）。年初预算为379.26万元，支出决算为325.84万元，完成预算的85.9%。决算数小于预算数的主要原因是</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工作计划调整，部分资金未形成支出。</w:t>
      </w:r>
    </w:p>
    <w:p w14:paraId="4FEF7224">
      <w:pPr>
        <w:keepNext w:val="0"/>
        <w:keepLines w:val="0"/>
        <w:pageBreakBefore w:val="0"/>
        <w:kinsoku/>
        <w:wordWrap/>
        <w:overflowPunct/>
        <w:topLinePunct w:val="0"/>
        <w:bidi w:val="0"/>
        <w:snapToGrid/>
        <w:spacing w:beforeAutospacing="0" w:afterAutospacing="0"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社会保障和就业支出（类）就业补助（款）就业创业服务补</w:t>
      </w:r>
      <w:r>
        <w:rPr>
          <w:rFonts w:ascii="仿宋" w:hAnsi="仿宋" w:eastAsia="仿宋" w:cs="宋体"/>
          <w:color w:val="000000" w:themeColor="text1"/>
          <w:kern w:val="0"/>
          <w:sz w:val="32"/>
          <w:szCs w:val="32"/>
          <w14:textFill>
            <w14:solidFill>
              <w14:schemeClr w14:val="tx1"/>
            </w14:solidFill>
          </w14:textFill>
        </w:rPr>
        <w:t>贴（项）。年初预算为0万元，支出决算为25.15万元，完成预算的0%</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ascii="仿宋" w:hAnsi="仿宋" w:eastAsia="仿宋" w:cs="宋体"/>
          <w:kern w:val="0"/>
          <w:sz w:val="32"/>
          <w:szCs w:val="32"/>
        </w:rPr>
        <w:t>决算数大于预算数的主要原因是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决算数包含了上年结余数和年中追加数。</w:t>
      </w:r>
    </w:p>
    <w:p w14:paraId="7DCB932F">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8</w:t>
      </w:r>
      <w:r>
        <w:rPr>
          <w:rFonts w:ascii="仿宋" w:hAnsi="仿宋" w:eastAsia="仿宋" w:cs="宋体"/>
          <w:color w:val="000000"/>
          <w:kern w:val="0"/>
          <w:sz w:val="32"/>
          <w:szCs w:val="32"/>
        </w:rPr>
        <w:t>.卫生健康支出（类）行政事业单位医疗（</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款）行政单位医疗（项）。年初预算为92.12万元，支出决算为92.12万元，完成预算为100%。决算数与预算数持平。</w:t>
      </w:r>
    </w:p>
    <w:p w14:paraId="328D5E2F">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19</w:t>
      </w:r>
      <w:r>
        <w:rPr>
          <w:rFonts w:ascii="仿宋" w:hAnsi="仿宋" w:eastAsia="仿宋" w:cs="宋体"/>
          <w:color w:val="000000"/>
          <w:kern w:val="0"/>
          <w:sz w:val="32"/>
          <w:szCs w:val="32"/>
        </w:rPr>
        <w:t>.卫生健康支出（类）行政事业单位医疗（款）事业单位医疗（项）。年初预算为217.59万元，支出决算为170.59万元，完成预算为78.4%</w:t>
      </w:r>
      <w:r>
        <w:rPr>
          <w:rFonts w:hint="eastAsia" w:ascii="仿宋" w:hAnsi="仿宋" w:eastAsia="仿宋" w:cs="宋体"/>
          <w:color w:val="000000"/>
          <w:kern w:val="0"/>
          <w:sz w:val="32"/>
          <w:szCs w:val="32"/>
          <w:lang w:eastAsia="zh-CN"/>
        </w:rPr>
        <w:t>，</w:t>
      </w:r>
      <w:r>
        <w:rPr>
          <w:rFonts w:ascii="仿宋" w:hAnsi="仿宋" w:eastAsia="仿宋" w:cs="宋体"/>
          <w:color w:val="000000"/>
          <w:kern w:val="0"/>
          <w:sz w:val="32"/>
          <w:szCs w:val="32"/>
        </w:rPr>
        <w:t>决算数小于预算数的主要原因是</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工作计划调整，部分资金未形成支出。</w:t>
      </w:r>
    </w:p>
    <w:p w14:paraId="104CDDFC">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0</w:t>
      </w:r>
      <w:r>
        <w:rPr>
          <w:rFonts w:ascii="仿宋" w:hAnsi="仿宋" w:eastAsia="仿宋" w:cs="宋体"/>
          <w:color w:val="000000"/>
          <w:kern w:val="0"/>
          <w:sz w:val="32"/>
          <w:szCs w:val="32"/>
        </w:rPr>
        <w:t>.卫生健康支出（类）行政事业单位医疗（款）公务员医疗补助（项）。年初预算为132.74万元，支出决算为112.04万元，完成预算为84.4%</w:t>
      </w:r>
      <w:r>
        <w:rPr>
          <w:rFonts w:hint="eastAsia" w:ascii="仿宋" w:hAnsi="仿宋" w:eastAsia="仿宋" w:cs="宋体"/>
          <w:color w:val="000000"/>
          <w:kern w:val="0"/>
          <w:sz w:val="32"/>
          <w:szCs w:val="32"/>
          <w:lang w:eastAsia="zh-CN"/>
        </w:rPr>
        <w:t>，</w:t>
      </w:r>
      <w:r>
        <w:rPr>
          <w:rFonts w:ascii="仿宋" w:hAnsi="仿宋" w:eastAsia="仿宋" w:cs="宋体"/>
          <w:color w:val="000000"/>
          <w:kern w:val="0"/>
          <w:sz w:val="32"/>
          <w:szCs w:val="32"/>
        </w:rPr>
        <w:t>决算数小于预算数的主要原因是</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工作计划调整，部分资金未形成支出。</w:t>
      </w:r>
    </w:p>
    <w:p w14:paraId="056A8983">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eastAsia" w:ascii="仿宋" w:hAnsi="仿宋" w:eastAsia="仿宋" w:cs="宋体"/>
          <w:kern w:val="0"/>
          <w:sz w:val="32"/>
          <w:szCs w:val="32"/>
          <w:lang w:val="en-US" w:eastAsia="zh-CN"/>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1</w:t>
      </w:r>
      <w:r>
        <w:rPr>
          <w:rFonts w:ascii="仿宋" w:hAnsi="仿宋" w:eastAsia="仿宋" w:cs="宋体"/>
          <w:color w:val="000000"/>
          <w:kern w:val="0"/>
          <w:sz w:val="32"/>
          <w:szCs w:val="32"/>
        </w:rPr>
        <w:t>.卫生健康支出（类）行政事业单位医疗（款）其他行政事业单位医疗支出（项）。年初预算为0万元，支出决算为44.1万元，完成预算为0%。</w:t>
      </w:r>
      <w:r>
        <w:rPr>
          <w:rFonts w:ascii="仿宋" w:hAnsi="仿宋" w:eastAsia="仿宋" w:cs="宋体"/>
          <w:kern w:val="0"/>
          <w:sz w:val="32"/>
          <w:szCs w:val="32"/>
        </w:rPr>
        <w:t>决算数大于预算数的主要原因是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决算数包含了上年结余数和年中追加数。</w:t>
      </w:r>
    </w:p>
    <w:p w14:paraId="3C23FE40">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2</w:t>
      </w:r>
      <w:r>
        <w:rPr>
          <w:rFonts w:ascii="仿宋" w:hAnsi="仿宋" w:eastAsia="仿宋" w:cs="宋体"/>
          <w:color w:val="000000"/>
          <w:kern w:val="0"/>
          <w:sz w:val="32"/>
          <w:szCs w:val="32"/>
        </w:rPr>
        <w:t>.农林水支出（类）普惠金融发展支出（款）创业担保贷款贴息（项）。年初预算为0万元，支出决算为0.73万元，完成预算为0%</w:t>
      </w:r>
      <w:r>
        <w:rPr>
          <w:rFonts w:hint="eastAsia" w:ascii="仿宋" w:hAnsi="仿宋" w:eastAsia="仿宋" w:cs="宋体"/>
          <w:color w:val="000000"/>
          <w:kern w:val="0"/>
          <w:sz w:val="32"/>
          <w:szCs w:val="32"/>
          <w:lang w:eastAsia="zh-CN"/>
        </w:rPr>
        <w:t>，</w:t>
      </w:r>
      <w:r>
        <w:rPr>
          <w:rFonts w:ascii="仿宋" w:hAnsi="仿宋" w:eastAsia="仿宋" w:cs="宋体"/>
          <w:kern w:val="0"/>
          <w:sz w:val="32"/>
          <w:szCs w:val="32"/>
        </w:rPr>
        <w:t>决算数大于预算数的主要原因是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决算数包含了上年结余数和年中追加数。</w:t>
      </w:r>
    </w:p>
    <w:p w14:paraId="590F2043">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default" w:ascii="仿宋" w:hAnsi="仿宋" w:eastAsia="仿宋" w:cs="宋体"/>
          <w:color w:val="000000"/>
          <w:kern w:val="0"/>
          <w:sz w:val="32"/>
          <w:szCs w:val="32"/>
          <w:lang w:val="en-US" w:eastAsia="zh-CN"/>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3</w:t>
      </w:r>
      <w:r>
        <w:rPr>
          <w:rFonts w:ascii="仿宋" w:hAnsi="仿宋" w:eastAsia="仿宋" w:cs="宋体"/>
          <w:color w:val="000000"/>
          <w:kern w:val="0"/>
          <w:sz w:val="32"/>
          <w:szCs w:val="32"/>
        </w:rPr>
        <w:t>.住房保险支出（类）住房改革支出（款）住房公积金（项）。年初预算为227.52万元，支出决算为198.92万元，完成预算为87.4%</w:t>
      </w:r>
      <w:r>
        <w:rPr>
          <w:rFonts w:hint="eastAsia" w:ascii="仿宋" w:hAnsi="仿宋" w:eastAsia="仿宋" w:cs="宋体"/>
          <w:color w:val="000000"/>
          <w:kern w:val="0"/>
          <w:sz w:val="32"/>
          <w:szCs w:val="32"/>
          <w:lang w:eastAsia="zh-CN"/>
        </w:rPr>
        <w:t>，</w:t>
      </w:r>
      <w:r>
        <w:rPr>
          <w:rFonts w:ascii="仿宋" w:hAnsi="仿宋" w:eastAsia="仿宋" w:cs="宋体"/>
          <w:color w:val="000000"/>
          <w:kern w:val="0"/>
          <w:sz w:val="32"/>
          <w:szCs w:val="32"/>
        </w:rPr>
        <w:t>决算数小于预算数的主要原因是</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工作计划调整，部分资金未形成支出。</w:t>
      </w:r>
    </w:p>
    <w:p w14:paraId="0CBF791D">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olor w:val="000000"/>
          <w:kern w:val="0"/>
          <w:sz w:val="32"/>
          <w:szCs w:val="32"/>
        </w:rPr>
        <w:t>六、一般公共预算财政拨款基本支出决算情况说明</w:t>
      </w:r>
    </w:p>
    <w:p w14:paraId="237C2ED6">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eastAsia" w:ascii="仿宋" w:hAnsi="仿宋" w:eastAsia="仿宋" w:cs="宋体"/>
          <w:color w:val="000000"/>
          <w:kern w:val="0"/>
          <w:sz w:val="32"/>
          <w:szCs w:val="32"/>
        </w:rPr>
      </w:pPr>
      <w:r>
        <w:rPr>
          <w:rFonts w:ascii="仿宋" w:hAnsi="仿宋" w:eastAsia="仿宋" w:cs="宋体"/>
          <w:color w:val="000000"/>
          <w:kern w:val="0"/>
          <w:sz w:val="32"/>
          <w:szCs w:val="32"/>
        </w:rPr>
        <w:t>2019年度财政拨款基本支出5510.91万元，其中：人员经费4712.24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公用经费789.67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0D5EEA78">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七、一般公共预算财政拨款“三公”经费支出决算情况说明</w:t>
      </w:r>
    </w:p>
    <w:p w14:paraId="1448100E">
      <w:pPr>
        <w:keepNext w:val="0"/>
        <w:keepLines w:val="0"/>
        <w:pageBreakBefore w:val="0"/>
        <w:widowControl/>
        <w:kinsoku/>
        <w:wordWrap/>
        <w:overflowPunct/>
        <w:topLinePunct w:val="0"/>
        <w:bidi w:val="0"/>
        <w:snapToGrid/>
        <w:spacing w:beforeAutospacing="0" w:afterAutospacing="0" w:line="560" w:lineRule="exact"/>
        <w:ind w:firstLine="643" w:firstLineChars="200"/>
        <w:jc w:val="left"/>
        <w:textAlignment w:val="auto"/>
        <w:rPr>
          <w:rFonts w:hint="eastAsia" w:ascii="仿宋" w:hAnsi="仿宋" w:eastAsia="仿宋" w:cs="宋体"/>
          <w:b/>
          <w:bCs/>
          <w:color w:val="000000"/>
          <w:kern w:val="0"/>
          <w:sz w:val="32"/>
          <w:szCs w:val="32"/>
        </w:rPr>
      </w:pPr>
      <w:r>
        <w:rPr>
          <w:rFonts w:ascii="仿宋" w:hAnsi="仿宋" w:eastAsia="仿宋" w:cs="宋体"/>
          <w:b/>
          <w:bCs/>
          <w:color w:val="000000"/>
          <w:kern w:val="0"/>
          <w:sz w:val="32"/>
          <w:szCs w:val="32"/>
        </w:rPr>
        <w:t>（一）“三公”经费财政拨款支出决算总体情况说明</w:t>
      </w:r>
    </w:p>
    <w:p w14:paraId="518C5CFB">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2019年度“三公”经费财政拨款支出预算为12</w:t>
      </w:r>
      <w:r>
        <w:rPr>
          <w:rFonts w:hint="eastAsia" w:ascii="仿宋" w:hAnsi="仿宋" w:eastAsia="仿宋" w:cs="宋体"/>
          <w:color w:val="000000"/>
          <w:kern w:val="0"/>
          <w:sz w:val="32"/>
          <w:szCs w:val="32"/>
        </w:rPr>
        <w:t>8.8</w:t>
      </w:r>
      <w:r>
        <w:rPr>
          <w:rFonts w:ascii="仿宋" w:hAnsi="仿宋" w:eastAsia="仿宋" w:cs="宋体"/>
          <w:color w:val="000000"/>
          <w:kern w:val="0"/>
          <w:sz w:val="32"/>
          <w:szCs w:val="32"/>
        </w:rPr>
        <w:t>万元，支出决算为61.68万元，完成预算的4</w:t>
      </w:r>
      <w:r>
        <w:rPr>
          <w:rFonts w:hint="eastAsia" w:ascii="仿宋" w:hAnsi="仿宋" w:eastAsia="仿宋" w:cs="宋体"/>
          <w:color w:val="000000"/>
          <w:kern w:val="0"/>
          <w:sz w:val="32"/>
          <w:szCs w:val="32"/>
        </w:rPr>
        <w:t>7</w:t>
      </w:r>
      <w:r>
        <w:rPr>
          <w:rFonts w:ascii="仿宋" w:hAnsi="仿宋" w:eastAsia="仿宋" w:cs="宋体"/>
          <w:color w:val="000000"/>
          <w:kern w:val="0"/>
          <w:sz w:val="32"/>
          <w:szCs w:val="32"/>
        </w:rPr>
        <w:t>.9%，</w:t>
      </w:r>
      <w:r>
        <w:rPr>
          <w:rFonts w:hint="eastAsia" w:ascii="仿宋" w:hAnsi="仿宋" w:eastAsia="仿宋" w:cs="宋体"/>
          <w:color w:val="000000"/>
          <w:kern w:val="0"/>
          <w:sz w:val="32"/>
          <w:szCs w:val="32"/>
          <w:lang w:val="en-US" w:eastAsia="zh-CN"/>
        </w:rPr>
        <w:t>其中公务接待支出决算19.54万元，公务出国支出决算4.8万元，公务用车支出</w:t>
      </w:r>
      <w:r>
        <w:rPr>
          <w:rFonts w:ascii="仿宋" w:hAnsi="仿宋" w:eastAsia="仿宋" w:cs="宋体"/>
          <w:color w:val="000000"/>
          <w:kern w:val="0"/>
          <w:sz w:val="32"/>
          <w:szCs w:val="32"/>
        </w:rPr>
        <w:t>决算</w:t>
      </w:r>
      <w:r>
        <w:rPr>
          <w:rFonts w:hint="eastAsia" w:ascii="仿宋" w:hAnsi="仿宋" w:eastAsia="仿宋" w:cs="宋体"/>
          <w:color w:val="000000"/>
          <w:kern w:val="0"/>
          <w:sz w:val="32"/>
          <w:szCs w:val="32"/>
          <w:lang w:val="en-US" w:eastAsia="zh-CN"/>
        </w:rPr>
        <w:t>37.33万元，决</w:t>
      </w:r>
      <w:r>
        <w:rPr>
          <w:rFonts w:ascii="仿宋" w:hAnsi="仿宋" w:eastAsia="仿宋" w:cs="宋体"/>
          <w:color w:val="000000"/>
          <w:kern w:val="0"/>
          <w:sz w:val="32"/>
          <w:szCs w:val="32"/>
        </w:rPr>
        <w:t>数小于预算数的主要原因是认真贯彻落实中央八项规定精神和厉行节约要求，进一步从严控制“三公”经费开支，全年实际支出比预算有所节约。</w:t>
      </w:r>
    </w:p>
    <w:p w14:paraId="5AE67458">
      <w:pPr>
        <w:keepNext w:val="0"/>
        <w:keepLines w:val="0"/>
        <w:pageBreakBefore w:val="0"/>
        <w:widowControl/>
        <w:kinsoku/>
        <w:wordWrap/>
        <w:overflowPunct/>
        <w:topLinePunct w:val="0"/>
        <w:bidi w:val="0"/>
        <w:snapToGrid/>
        <w:spacing w:beforeAutospacing="0" w:afterAutospacing="0" w:line="560" w:lineRule="exact"/>
        <w:ind w:firstLine="643" w:firstLineChars="200"/>
        <w:jc w:val="left"/>
        <w:textAlignment w:val="auto"/>
        <w:rPr>
          <w:rFonts w:ascii="仿宋" w:hAnsi="仿宋" w:eastAsia="仿宋" w:cs="宋体"/>
          <w:b/>
          <w:bCs/>
          <w:color w:val="000000"/>
          <w:kern w:val="0"/>
          <w:sz w:val="32"/>
          <w:szCs w:val="32"/>
        </w:rPr>
      </w:pPr>
      <w:r>
        <w:rPr>
          <w:rFonts w:ascii="仿宋" w:hAnsi="仿宋" w:eastAsia="仿宋" w:cs="宋体"/>
          <w:b/>
          <w:bCs/>
          <w:color w:val="000000"/>
          <w:kern w:val="0"/>
          <w:sz w:val="32"/>
          <w:szCs w:val="32"/>
        </w:rPr>
        <w:t xml:space="preserve">（二）“三公”经费财政拨款支出决算具体情况说明 </w:t>
      </w:r>
    </w:p>
    <w:p w14:paraId="71BD1B61">
      <w:pPr>
        <w:keepNext w:val="0"/>
        <w:keepLines w:val="0"/>
        <w:pageBreakBefore w:val="0"/>
        <w:widowControl/>
        <w:kinsoku/>
        <w:wordWrap/>
        <w:overflowPunct/>
        <w:topLinePunct w:val="0"/>
        <w:bidi w:val="0"/>
        <w:snapToGrid/>
        <w:spacing w:beforeAutospacing="0" w:afterAutospacing="0" w:line="560" w:lineRule="exact"/>
        <w:ind w:firstLine="960" w:firstLineChars="3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2019年度“三公”经费财政拨款支出决算中，因公出国（境）费支出决算4.8万元，占</w:t>
      </w:r>
      <w:bookmarkStart w:id="0" w:name="_GoBack"/>
      <w:bookmarkEnd w:id="0"/>
      <w:r>
        <w:rPr>
          <w:rFonts w:ascii="仿宋" w:hAnsi="仿宋" w:eastAsia="仿宋" w:cs="宋体"/>
          <w:color w:val="000000"/>
          <w:kern w:val="0"/>
          <w:sz w:val="32"/>
          <w:szCs w:val="32"/>
        </w:rPr>
        <w:t>7.8%；公务用车购置及运行费支出决算37.33万元，占60.5%；公务接待费支出决算19.54万元，占31.7%。具体情况如下：</w:t>
      </w:r>
    </w:p>
    <w:p w14:paraId="57D53657">
      <w:pPr>
        <w:keepNext w:val="0"/>
        <w:keepLines w:val="0"/>
        <w:pageBreakBefore w:val="0"/>
        <w:widowControl/>
        <w:kinsoku/>
        <w:wordWrap/>
        <w:overflowPunct/>
        <w:topLinePunct w:val="0"/>
        <w:bidi w:val="0"/>
        <w:snapToGrid/>
        <w:spacing w:beforeAutospacing="0" w:afterAutospacing="0" w:line="560" w:lineRule="exact"/>
        <w:ind w:leftChars="0" w:firstLine="643" w:firstLineChars="200"/>
        <w:jc w:val="left"/>
        <w:textAlignment w:val="auto"/>
        <w:rPr>
          <w:rFonts w:hint="eastAsia" w:ascii="仿宋" w:hAnsi="仿宋" w:eastAsia="仿宋" w:cs="宋体"/>
          <w:color w:val="000000"/>
          <w:kern w:val="0"/>
          <w:sz w:val="32"/>
          <w:szCs w:val="32"/>
          <w:lang w:eastAsia="zh-CN"/>
        </w:rPr>
      </w:pPr>
      <w:r>
        <w:rPr>
          <w:rFonts w:ascii="仿宋" w:hAnsi="仿宋" w:eastAsia="仿宋" w:cs="宋体"/>
          <w:b/>
          <w:bCs/>
          <w:color w:val="000000"/>
          <w:kern w:val="0"/>
          <w:sz w:val="32"/>
          <w:szCs w:val="32"/>
        </w:rPr>
        <w:t>1.因公出国（境）费支出 4.8万元</w:t>
      </w:r>
      <w:r>
        <w:rPr>
          <w:rFonts w:ascii="仿宋" w:hAnsi="仿宋" w:eastAsia="仿宋" w:cs="宋体"/>
          <w:color w:val="000000"/>
          <w:kern w:val="0"/>
          <w:sz w:val="32"/>
          <w:szCs w:val="32"/>
        </w:rPr>
        <w:t>。2019年因公出国（境）支出年初预算5万元。因公出国（境）费支出决算2019年比2018年增加4.8万元，</w:t>
      </w:r>
      <w:r>
        <w:rPr>
          <w:rFonts w:hint="eastAsia" w:ascii="仿宋" w:hAnsi="仿宋" w:eastAsia="仿宋" w:cs="宋体"/>
          <w:color w:val="000000"/>
          <w:kern w:val="0"/>
          <w:sz w:val="32"/>
          <w:szCs w:val="32"/>
        </w:rPr>
        <w:t xml:space="preserve">全年安排因公出国（境）团组 </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 xml:space="preserve">  个，累计 </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人次,开支内容包括：</w:t>
      </w:r>
      <w:r>
        <w:rPr>
          <w:rFonts w:ascii="仿宋" w:hAnsi="仿宋" w:eastAsia="仿宋" w:cs="宋体"/>
          <w:color w:val="000000"/>
          <w:kern w:val="0"/>
          <w:sz w:val="32"/>
          <w:szCs w:val="32"/>
        </w:rPr>
        <w:t>参加“第二届中英高层次人才交流大会”</w:t>
      </w:r>
      <w:r>
        <w:rPr>
          <w:rFonts w:hint="eastAsia" w:ascii="仿宋" w:hAnsi="仿宋" w:eastAsia="仿宋" w:cs="宋体"/>
          <w:color w:val="000000"/>
          <w:kern w:val="0"/>
          <w:sz w:val="32"/>
          <w:szCs w:val="32"/>
          <w:lang w:val="en-US" w:eastAsia="zh-CN"/>
        </w:rPr>
        <w:t>支出4.8万，主要用于食宿、交通、保险等费用。</w:t>
      </w:r>
      <w:r>
        <w:rPr>
          <w:rFonts w:hint="eastAsia" w:ascii="仿宋" w:hAnsi="仿宋" w:eastAsia="仿宋" w:cs="宋体"/>
          <w:color w:val="000000"/>
          <w:kern w:val="0"/>
          <w:sz w:val="32"/>
          <w:szCs w:val="32"/>
          <w:lang w:eastAsia="zh-CN"/>
        </w:rPr>
        <w:t>（决算数小于年初预算数的主要原因是</w:t>
      </w:r>
      <w:r>
        <w:rPr>
          <w:rFonts w:hint="eastAsia" w:ascii="仿宋" w:hAnsi="仿宋" w:eastAsia="仿宋" w:cs="宋体"/>
          <w:color w:val="000000"/>
          <w:kern w:val="0"/>
          <w:sz w:val="32"/>
          <w:szCs w:val="32"/>
          <w:lang w:val="en-US" w:eastAsia="zh-CN"/>
        </w:rPr>
        <w:t>节俭开支</w:t>
      </w:r>
      <w:r>
        <w:rPr>
          <w:rFonts w:hint="eastAsia" w:ascii="仿宋" w:hAnsi="仿宋" w:eastAsia="仿宋" w:cs="宋体"/>
          <w:color w:val="000000"/>
          <w:kern w:val="0"/>
          <w:sz w:val="32"/>
          <w:szCs w:val="32"/>
          <w:lang w:eastAsia="zh-CN"/>
        </w:rPr>
        <w:t>，与上年相比增加</w:t>
      </w:r>
      <w:r>
        <w:rPr>
          <w:rFonts w:hint="eastAsia" w:ascii="仿宋" w:hAnsi="仿宋" w:eastAsia="仿宋" w:cs="宋体"/>
          <w:color w:val="000000"/>
          <w:kern w:val="0"/>
          <w:sz w:val="32"/>
          <w:szCs w:val="32"/>
          <w:lang w:val="en-US" w:eastAsia="zh-CN"/>
        </w:rPr>
        <w:t>4.8</w:t>
      </w:r>
      <w:r>
        <w:rPr>
          <w:rFonts w:hint="eastAsia" w:ascii="仿宋" w:hAnsi="仿宋" w:eastAsia="仿宋" w:cs="宋体"/>
          <w:color w:val="000000"/>
          <w:kern w:val="0"/>
          <w:sz w:val="32"/>
          <w:szCs w:val="32"/>
          <w:lang w:eastAsia="zh-CN"/>
        </w:rPr>
        <w:t>万元，增长的主要原因是</w:t>
      </w:r>
      <w:r>
        <w:rPr>
          <w:rFonts w:hint="eastAsia" w:ascii="仿宋" w:hAnsi="仿宋" w:eastAsia="仿宋" w:cs="宋体"/>
          <w:color w:val="000000"/>
          <w:kern w:val="0"/>
          <w:sz w:val="32"/>
          <w:szCs w:val="32"/>
          <w:lang w:val="en-US" w:eastAsia="zh-CN"/>
        </w:rPr>
        <w:t>上年度无</w:t>
      </w:r>
      <w:r>
        <w:rPr>
          <w:rFonts w:hint="eastAsia" w:ascii="仿宋" w:hAnsi="仿宋" w:eastAsia="仿宋" w:cs="宋体"/>
          <w:color w:val="000000"/>
          <w:kern w:val="0"/>
          <w:sz w:val="32"/>
          <w:szCs w:val="32"/>
          <w:lang w:eastAsia="zh-CN"/>
        </w:rPr>
        <w:t>出国人</w:t>
      </w:r>
      <w:r>
        <w:rPr>
          <w:rFonts w:hint="eastAsia" w:ascii="仿宋" w:hAnsi="仿宋" w:eastAsia="仿宋" w:cs="宋体"/>
          <w:color w:val="000000"/>
          <w:kern w:val="0"/>
          <w:sz w:val="32"/>
          <w:szCs w:val="32"/>
          <w:lang w:val="en-US" w:eastAsia="zh-CN"/>
        </w:rPr>
        <w:t>员。</w:t>
      </w:r>
      <w:r>
        <w:rPr>
          <w:rFonts w:hint="eastAsia" w:ascii="仿宋" w:hAnsi="仿宋" w:eastAsia="仿宋" w:cs="宋体"/>
          <w:color w:val="000000"/>
          <w:kern w:val="0"/>
          <w:sz w:val="32"/>
          <w:szCs w:val="32"/>
          <w:lang w:eastAsia="zh-CN"/>
        </w:rPr>
        <w:t>）</w:t>
      </w:r>
    </w:p>
    <w:p w14:paraId="169B4EF3">
      <w:pPr>
        <w:keepNext w:val="0"/>
        <w:keepLines w:val="0"/>
        <w:pageBreakBefore w:val="0"/>
        <w:widowControl/>
        <w:kinsoku/>
        <w:wordWrap/>
        <w:overflowPunct/>
        <w:topLinePunct w:val="0"/>
        <w:bidi w:val="0"/>
        <w:snapToGrid/>
        <w:spacing w:beforeAutospacing="0" w:afterAutospacing="0" w:line="560" w:lineRule="exact"/>
        <w:ind w:leftChars="0" w:firstLine="643" w:firstLineChars="200"/>
        <w:jc w:val="left"/>
        <w:textAlignment w:val="auto"/>
        <w:rPr>
          <w:rFonts w:ascii="仿宋" w:hAnsi="仿宋" w:eastAsia="仿宋" w:cs="宋体"/>
          <w:color w:val="000000"/>
          <w:kern w:val="0"/>
          <w:sz w:val="32"/>
          <w:szCs w:val="32"/>
        </w:rPr>
      </w:pPr>
      <w:r>
        <w:rPr>
          <w:rFonts w:ascii="仿宋" w:hAnsi="仿宋" w:eastAsia="仿宋" w:cs="宋体"/>
          <w:b/>
          <w:bCs/>
          <w:color w:val="000000"/>
          <w:kern w:val="0"/>
          <w:sz w:val="32"/>
          <w:szCs w:val="32"/>
        </w:rPr>
        <w:t>2.公务用车购置及运行费支出37.33万元</w:t>
      </w:r>
      <w:r>
        <w:rPr>
          <w:rFonts w:ascii="仿宋" w:hAnsi="仿宋" w:eastAsia="仿宋" w:cs="宋体"/>
          <w:color w:val="000000"/>
          <w:kern w:val="0"/>
          <w:sz w:val="32"/>
          <w:szCs w:val="32"/>
        </w:rPr>
        <w:t>。其中：公务用车购置支出0万元，公务用车运行支出37.33万元。主要是按规定保留的公用车的燃料费、维修费、过桥过路费、保险费、安全奖励费用等支出。局机关和局属事业单位开支财政拨款的公务用车保有量为</w:t>
      </w:r>
      <w:r>
        <w:rPr>
          <w:rFonts w:hint="eastAsia" w:ascii="仿宋" w:hAnsi="仿宋" w:eastAsia="仿宋" w:cs="宋体"/>
          <w:color w:val="000000"/>
          <w:kern w:val="0"/>
          <w:sz w:val="32"/>
          <w:szCs w:val="32"/>
          <w:lang w:val="en-US" w:eastAsia="zh-CN"/>
        </w:rPr>
        <w:t>9</w:t>
      </w:r>
      <w:r>
        <w:rPr>
          <w:rFonts w:ascii="仿宋" w:hAnsi="仿宋" w:eastAsia="仿宋" w:cs="宋体"/>
          <w:color w:val="000000"/>
          <w:kern w:val="0"/>
          <w:sz w:val="32"/>
          <w:szCs w:val="32"/>
        </w:rPr>
        <w:t>辆。</w:t>
      </w:r>
    </w:p>
    <w:p w14:paraId="2558217D">
      <w:pPr>
        <w:pStyle w:val="4"/>
        <w:keepNext w:val="0"/>
        <w:keepLines w:val="0"/>
        <w:pageBreakBefore w:val="0"/>
        <w:kinsoku/>
        <w:wordWrap/>
        <w:overflowPunct/>
        <w:topLinePunct w:val="0"/>
        <w:bidi w:val="0"/>
        <w:snapToGrid/>
        <w:spacing w:before="0" w:beforeAutospacing="0" w:after="0" w:afterAutospacing="0" w:line="560" w:lineRule="exact"/>
        <w:ind w:leftChars="0" w:firstLine="640" w:firstLineChars="200"/>
        <w:jc w:val="both"/>
        <w:textAlignment w:val="auto"/>
        <w:rPr>
          <w:rFonts w:ascii="仿宋" w:hAnsi="仿宋" w:eastAsia="仿宋"/>
          <w:color w:val="000000"/>
          <w:sz w:val="32"/>
          <w:szCs w:val="32"/>
        </w:rPr>
      </w:pPr>
      <w:r>
        <w:rPr>
          <w:rFonts w:ascii="仿宋" w:hAnsi="仿宋" w:eastAsia="仿宋"/>
          <w:color w:val="000000"/>
          <w:sz w:val="32"/>
          <w:szCs w:val="32"/>
        </w:rPr>
        <w:t>公务用车购置及运行费支出决算比2018年增加 4.35万元，增加13.2%。主要</w:t>
      </w:r>
      <w:r>
        <w:rPr>
          <w:rFonts w:hint="eastAsia" w:ascii="仿宋" w:hAnsi="仿宋" w:eastAsia="仿宋"/>
          <w:color w:val="000000"/>
          <w:sz w:val="32"/>
          <w:szCs w:val="32"/>
          <w:lang w:val="en-US" w:eastAsia="zh-CN"/>
        </w:rPr>
        <w:t>原因</w:t>
      </w:r>
      <w:r>
        <w:rPr>
          <w:rFonts w:ascii="仿宋" w:hAnsi="仿宋" w:eastAsia="仿宋"/>
          <w:color w:val="000000"/>
          <w:sz w:val="32"/>
          <w:szCs w:val="32"/>
        </w:rPr>
        <w:t>是：</w:t>
      </w:r>
      <w:r>
        <w:rPr>
          <w:rFonts w:hint="eastAsia" w:ascii="仿宋" w:hAnsi="仿宋" w:eastAsia="仿宋"/>
          <w:color w:val="000000"/>
          <w:sz w:val="32"/>
          <w:szCs w:val="32"/>
          <w:lang w:val="en-US" w:eastAsia="zh-CN"/>
        </w:rPr>
        <w:t>车辆老化，维修费增加。全局</w:t>
      </w:r>
      <w:r>
        <w:rPr>
          <w:rFonts w:hint="eastAsia" w:ascii="仿宋" w:hAnsi="仿宋" w:eastAsia="仿宋" w:cs="仿宋_GB2312"/>
          <w:sz w:val="32"/>
          <w:szCs w:val="32"/>
          <w:shd w:val="clear" w:color="auto" w:fill="FFFFFF"/>
        </w:rPr>
        <w:t>车辆由局办公室统一管理</w:t>
      </w:r>
      <w:r>
        <w:rPr>
          <w:rFonts w:hint="eastAsia" w:ascii="仿宋" w:hAnsi="仿宋" w:eastAsia="仿宋" w:cs="仿宋_GB2312"/>
          <w:sz w:val="32"/>
          <w:szCs w:val="32"/>
          <w:shd w:val="clear" w:color="auto" w:fill="FFFFFF"/>
          <w:lang w:eastAsia="zh-CN"/>
        </w:rPr>
        <w:t>，</w:t>
      </w:r>
      <w:r>
        <w:rPr>
          <w:rFonts w:hint="eastAsia" w:ascii="仿宋" w:hAnsi="仿宋" w:eastAsia="仿宋" w:cs="仿宋_GB2312"/>
          <w:sz w:val="32"/>
          <w:szCs w:val="32"/>
          <w:shd w:val="clear" w:color="auto" w:fill="FFFFFF"/>
          <w:lang w:val="en-US" w:eastAsia="zh-CN"/>
        </w:rPr>
        <w:t>调配使用</w:t>
      </w:r>
      <w:r>
        <w:rPr>
          <w:rFonts w:hint="eastAsia" w:ascii="仿宋" w:hAnsi="仿宋" w:eastAsia="仿宋" w:cs="仿宋_GB2312"/>
          <w:sz w:val="32"/>
          <w:szCs w:val="32"/>
          <w:shd w:val="clear" w:color="auto" w:fill="FFFFFF"/>
        </w:rPr>
        <w:t>，严格执行公务用车管理制度，各项经费支出严格按照制度执行。</w:t>
      </w:r>
    </w:p>
    <w:p w14:paraId="305F6729">
      <w:pPr>
        <w:keepNext w:val="0"/>
        <w:keepLines w:val="0"/>
        <w:pageBreakBefore w:val="0"/>
        <w:widowControl/>
        <w:kinsoku/>
        <w:wordWrap/>
        <w:overflowPunct/>
        <w:topLinePunct w:val="0"/>
        <w:bidi w:val="0"/>
        <w:snapToGrid/>
        <w:spacing w:beforeAutospacing="0" w:afterAutospacing="0" w:line="560" w:lineRule="exact"/>
        <w:ind w:leftChars="0" w:firstLine="643" w:firstLineChars="200"/>
        <w:jc w:val="left"/>
        <w:textAlignment w:val="auto"/>
        <w:rPr>
          <w:rFonts w:hint="eastAsia" w:ascii="仿宋" w:hAnsi="仿宋" w:eastAsia="仿宋"/>
          <w:b w:val="0"/>
          <w:bCs w:val="0"/>
          <w:strike w:val="0"/>
          <w:dstrike w:val="0"/>
          <w:color w:val="000000"/>
          <w:kern w:val="0"/>
          <w:sz w:val="32"/>
          <w:szCs w:val="32"/>
        </w:rPr>
      </w:pPr>
      <w:r>
        <w:rPr>
          <w:rFonts w:ascii="仿宋" w:hAnsi="仿宋" w:eastAsia="仿宋"/>
          <w:b/>
          <w:bCs/>
          <w:color w:val="000000"/>
          <w:kern w:val="0"/>
          <w:sz w:val="32"/>
          <w:szCs w:val="32"/>
        </w:rPr>
        <w:t>3.公务接待费支出19.54万元</w:t>
      </w:r>
      <w:r>
        <w:rPr>
          <w:rFonts w:ascii="仿宋" w:hAnsi="仿宋" w:eastAsia="仿宋"/>
          <w:color w:val="000000"/>
          <w:kern w:val="0"/>
          <w:sz w:val="32"/>
          <w:szCs w:val="32"/>
        </w:rPr>
        <w:t>。</w:t>
      </w:r>
      <w:r>
        <w:rPr>
          <w:rFonts w:hint="eastAsia" w:ascii="仿宋" w:hAnsi="仿宋" w:eastAsia="仿宋"/>
          <w:color w:val="000000"/>
          <w:kern w:val="0"/>
          <w:sz w:val="32"/>
          <w:szCs w:val="32"/>
          <w:lang w:val="en-US" w:eastAsia="zh-CN"/>
        </w:rPr>
        <w:t>全年共接待156批次，1767人次。</w:t>
      </w:r>
      <w:r>
        <w:rPr>
          <w:rFonts w:ascii="仿宋" w:hAnsi="仿宋" w:eastAsia="仿宋"/>
          <w:color w:val="000000"/>
          <w:kern w:val="0"/>
          <w:sz w:val="32"/>
          <w:szCs w:val="32"/>
        </w:rPr>
        <w:t>主要用于</w:t>
      </w:r>
      <w:r>
        <w:rPr>
          <w:rFonts w:hint="eastAsia" w:ascii="仿宋" w:hAnsi="仿宋" w:eastAsia="仿宋"/>
          <w:b w:val="0"/>
          <w:bCs w:val="0"/>
          <w:sz w:val="32"/>
          <w:szCs w:val="32"/>
        </w:rPr>
        <w:t>考务</w:t>
      </w:r>
      <w:r>
        <w:rPr>
          <w:rFonts w:hint="eastAsia" w:ascii="仿宋" w:hAnsi="仿宋" w:eastAsia="仿宋"/>
          <w:b w:val="0"/>
          <w:bCs w:val="0"/>
          <w:sz w:val="32"/>
          <w:szCs w:val="32"/>
          <w:lang w:val="en-US" w:eastAsia="zh-CN"/>
        </w:rPr>
        <w:t>工作</w:t>
      </w:r>
      <w:r>
        <w:rPr>
          <w:rFonts w:hint="eastAsia" w:ascii="仿宋" w:hAnsi="仿宋" w:eastAsia="仿宋"/>
          <w:b w:val="0"/>
          <w:bCs w:val="0"/>
          <w:sz w:val="32"/>
          <w:szCs w:val="32"/>
        </w:rPr>
        <w:t>用餐</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人才市场招聘会活动用餐、</w:t>
      </w:r>
      <w:r>
        <w:rPr>
          <w:rFonts w:ascii="仿宋" w:hAnsi="仿宋" w:eastAsia="仿宋"/>
          <w:color w:val="000000"/>
          <w:kern w:val="0"/>
          <w:sz w:val="32"/>
          <w:szCs w:val="32"/>
        </w:rPr>
        <w:t>与兄弟地市及业务往来相关单位交流工作情况及接受相关部门检查指导工作发生的接待支出。</w:t>
      </w:r>
    </w:p>
    <w:p w14:paraId="2359728B">
      <w:pPr>
        <w:pStyle w:val="4"/>
        <w:keepNext w:val="0"/>
        <w:keepLines w:val="0"/>
        <w:pageBreakBefore w:val="0"/>
        <w:kinsoku/>
        <w:wordWrap/>
        <w:overflowPunct/>
        <w:topLinePunct w:val="0"/>
        <w:bidi w:val="0"/>
        <w:snapToGrid/>
        <w:spacing w:before="0" w:beforeAutospacing="0" w:after="0" w:afterAutospacing="0" w:line="560" w:lineRule="exact"/>
        <w:ind w:leftChars="0" w:firstLine="640" w:firstLineChars="200"/>
        <w:jc w:val="both"/>
        <w:textAlignment w:val="auto"/>
        <w:rPr>
          <w:rFonts w:ascii="仿宋" w:hAnsi="仿宋" w:eastAsia="仿宋" w:cs="仿宋_GB2312"/>
          <w:sz w:val="32"/>
          <w:szCs w:val="32"/>
          <w:shd w:val="clear" w:color="auto" w:fill="FFFFFF"/>
        </w:rPr>
      </w:pPr>
      <w:r>
        <w:rPr>
          <w:rFonts w:ascii="仿宋" w:hAnsi="仿宋" w:eastAsia="仿宋"/>
          <w:color w:val="000000"/>
          <w:sz w:val="32"/>
          <w:szCs w:val="32"/>
        </w:rPr>
        <w:t>公务接待费支出决算比2018年减少0.36万元，下降1.8%。</w:t>
      </w:r>
      <w:r>
        <w:rPr>
          <w:rFonts w:hint="eastAsia" w:ascii="仿宋" w:hAnsi="仿宋" w:eastAsia="仿宋" w:cs="仿宋_GB2312"/>
          <w:sz w:val="32"/>
          <w:szCs w:val="32"/>
          <w:shd w:val="clear" w:color="auto" w:fill="FFFFFF"/>
        </w:rPr>
        <w:t>主要是认真贯彻落实中央八项规定精神，坚持过紧日子思想，厉行勤俭节约，</w:t>
      </w:r>
      <w:r>
        <w:rPr>
          <w:rFonts w:ascii="仿宋" w:hAnsi="仿宋" w:eastAsia="仿宋"/>
          <w:color w:val="000000"/>
          <w:sz w:val="32"/>
          <w:szCs w:val="32"/>
        </w:rPr>
        <w:t>从严控制公务接待行为。</w:t>
      </w:r>
    </w:p>
    <w:p w14:paraId="2E67E3DC">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八、政府性基金预算收入支出决算情况说明</w:t>
      </w:r>
    </w:p>
    <w:p w14:paraId="4D5BDE3E">
      <w:pPr>
        <w:keepNext w:val="0"/>
        <w:keepLines w:val="0"/>
        <w:pageBreakBefore w:val="0"/>
        <w:widowControl/>
        <w:kinsoku/>
        <w:wordWrap/>
        <w:overflowPunct/>
        <w:topLinePunct w:val="0"/>
        <w:bidi w:val="0"/>
        <w:snapToGrid/>
        <w:spacing w:beforeAutospacing="0" w:afterAutospacing="0" w:line="560" w:lineRule="exact"/>
        <w:ind w:leftChars="0" w:firstLine="640" w:firstLineChars="200"/>
        <w:jc w:val="left"/>
        <w:textAlignment w:val="auto"/>
        <w:rPr>
          <w:rFonts w:ascii="仿宋" w:hAnsi="仿宋" w:eastAsia="仿宋"/>
          <w:color w:val="000000"/>
          <w:kern w:val="0"/>
          <w:sz w:val="32"/>
          <w:szCs w:val="32"/>
        </w:rPr>
      </w:pPr>
      <w:r>
        <w:rPr>
          <w:rFonts w:hint="eastAsia" w:ascii="仿宋" w:hAnsi="仿宋" w:eastAsia="仿宋"/>
          <w:color w:val="000000"/>
          <w:kern w:val="0"/>
          <w:sz w:val="32"/>
          <w:szCs w:val="32"/>
          <w:lang w:val="en-US" w:eastAsia="zh-CN"/>
        </w:rPr>
        <w:t>衡阳市</w:t>
      </w:r>
      <w:r>
        <w:rPr>
          <w:rFonts w:ascii="仿宋" w:hAnsi="仿宋" w:eastAsia="仿宋"/>
          <w:color w:val="000000"/>
          <w:kern w:val="0"/>
          <w:sz w:val="32"/>
          <w:szCs w:val="32"/>
        </w:rPr>
        <w:t>人力资源和社会保障局没有政府性基金收入，也没有使用政府性基金安排的支出。</w:t>
      </w:r>
    </w:p>
    <w:p w14:paraId="4BD6D744">
      <w:pPr>
        <w:pStyle w:val="4"/>
        <w:keepNext w:val="0"/>
        <w:keepLines w:val="0"/>
        <w:pageBreakBefore w:val="0"/>
        <w:numPr>
          <w:ilvl w:val="0"/>
          <w:numId w:val="0"/>
        </w:numPr>
        <w:kinsoku/>
        <w:wordWrap/>
        <w:overflowPunct/>
        <w:topLinePunct w:val="0"/>
        <w:bidi w:val="0"/>
        <w:snapToGrid/>
        <w:spacing w:before="0" w:beforeAutospacing="0" w:after="0" w:afterAutospacing="0" w:line="560" w:lineRule="exact"/>
        <w:ind w:leftChars="200"/>
        <w:jc w:val="both"/>
        <w:textAlignment w:val="auto"/>
        <w:rPr>
          <w:rFonts w:hint="eastAsia" w:hAnsi="黑体" w:cs="Times New Roman"/>
          <w:sz w:val="32"/>
          <w:szCs w:val="32"/>
          <w:lang w:val="en-US" w:eastAsia="zh-CN"/>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预算绩效情况说明</w:t>
      </w:r>
      <w:r>
        <w:rPr>
          <w:rFonts w:hint="eastAsia" w:ascii="黑体" w:hAnsi="黑体" w:eastAsia="黑体" w:cs="黑体"/>
          <w:b w:val="0"/>
          <w:bCs w:val="0"/>
          <w:sz w:val="32"/>
          <w:szCs w:val="32"/>
          <w:lang w:val="en-US" w:eastAsia="zh-CN"/>
        </w:rPr>
        <w:t xml:space="preserve">    </w:t>
      </w:r>
      <w:r>
        <w:rPr>
          <w:rFonts w:hint="eastAsia" w:hAnsi="黑体" w:cs="Times New Roman"/>
          <w:b/>
          <w:bCs/>
          <w:sz w:val="32"/>
          <w:szCs w:val="32"/>
          <w:lang w:val="en-US" w:eastAsia="zh-CN"/>
        </w:rPr>
        <w:t xml:space="preserve"> </w:t>
      </w:r>
      <w:r>
        <w:rPr>
          <w:rFonts w:hint="eastAsia" w:hAnsi="黑体" w:cs="Times New Roman"/>
          <w:sz w:val="32"/>
          <w:szCs w:val="32"/>
          <w:lang w:val="en-US" w:eastAsia="zh-CN"/>
        </w:rPr>
        <w:t xml:space="preserve">       </w:t>
      </w:r>
    </w:p>
    <w:p w14:paraId="512E4651">
      <w:pPr>
        <w:pStyle w:val="4"/>
        <w:keepNext w:val="0"/>
        <w:keepLines w:val="0"/>
        <w:pageBreakBefore w:val="0"/>
        <w:kinsoku/>
        <w:wordWrap/>
        <w:overflowPunct/>
        <w:topLinePunct w:val="0"/>
        <w:bidi w:val="0"/>
        <w:snapToGrid/>
        <w:spacing w:before="0" w:beforeAutospacing="0" w:after="0" w:afterAutospacing="0" w:line="560" w:lineRule="exact"/>
        <w:ind w:leftChars="0" w:firstLine="640" w:firstLineChars="200"/>
        <w:jc w:val="both"/>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我局将所有预算支出全面纳入绩效管理，坚持花钱必问效，无效必问责；围绕稳就业、推改革、强人才、促和谐、抓扶贫、优行风等六个方面重点工作，制定了预算支出绩效目标；严格按照财政部门的要求，组织开</w:t>
      </w:r>
      <w:r>
        <w:rPr>
          <w:rFonts w:hint="eastAsia" w:ascii="仿宋" w:hAnsi="仿宋" w:eastAsia="仿宋"/>
          <w:color w:val="000000"/>
          <w:sz w:val="32"/>
          <w:szCs w:val="32"/>
        </w:rPr>
        <w:t>展了2019年度部门整体支出绩效自评，并将评价结果向社会公开。</w:t>
      </w:r>
    </w:p>
    <w:p w14:paraId="1A739836">
      <w:pPr>
        <w:pStyle w:val="11"/>
        <w:keepNext w:val="0"/>
        <w:keepLines w:val="0"/>
        <w:pageBreakBefore w:val="0"/>
        <w:numPr>
          <w:ilvl w:val="0"/>
          <w:numId w:val="0"/>
        </w:numPr>
        <w:kinsoku/>
        <w:wordWrap/>
        <w:overflowPunct/>
        <w:topLinePunct w:val="0"/>
        <w:bidi w:val="0"/>
        <w:snapToGrid/>
        <w:spacing w:beforeAutospacing="0" w:afterAutospacing="0" w:line="560" w:lineRule="exact"/>
        <w:ind w:leftChars="200"/>
        <w:jc w:val="both"/>
        <w:textAlignment w:val="auto"/>
        <w:rPr>
          <w:rFonts w:hint="eastAsia" w:ascii="黑体" w:hAnsi="黑体" w:eastAsia="黑体" w:cs="黑体"/>
          <w:b w:val="0"/>
          <w:bCs w:val="0"/>
          <w:color w:val="auto"/>
          <w:kern w:val="0"/>
          <w:sz w:val="32"/>
          <w:szCs w:val="32"/>
          <w:lang w:val="en-US" w:eastAsia="zh-CN" w:bidi="ar-SA"/>
        </w:rPr>
      </w:pPr>
      <w:r>
        <w:rPr>
          <w:rFonts w:hint="eastAsia" w:hAnsi="黑体" w:cs="黑体"/>
          <w:b w:val="0"/>
          <w:bCs w:val="0"/>
          <w:color w:val="auto"/>
          <w:kern w:val="0"/>
          <w:sz w:val="32"/>
          <w:szCs w:val="32"/>
          <w:lang w:val="en-US" w:eastAsia="zh-CN" w:bidi="ar-SA"/>
        </w:rPr>
        <w:t>十、</w:t>
      </w:r>
      <w:r>
        <w:rPr>
          <w:rFonts w:hint="eastAsia" w:ascii="黑体" w:hAnsi="黑体" w:eastAsia="黑体" w:cs="黑体"/>
          <w:b w:val="0"/>
          <w:bCs w:val="0"/>
          <w:color w:val="auto"/>
          <w:kern w:val="0"/>
          <w:sz w:val="32"/>
          <w:szCs w:val="32"/>
          <w:lang w:val="en-US" w:eastAsia="zh-CN" w:bidi="ar-SA"/>
        </w:rPr>
        <w:t>其他重要事项情况说明</w:t>
      </w:r>
    </w:p>
    <w:p w14:paraId="162F355B">
      <w:pPr>
        <w:pStyle w:val="11"/>
        <w:keepNext w:val="0"/>
        <w:keepLines w:val="0"/>
        <w:pageBreakBefore w:val="0"/>
        <w:kinsoku/>
        <w:wordWrap/>
        <w:overflowPunct/>
        <w:topLinePunct w:val="0"/>
        <w:bidi w:val="0"/>
        <w:snapToGrid/>
        <w:spacing w:beforeAutospacing="0" w:afterAutospacing="0" w:line="560" w:lineRule="exact"/>
        <w:ind w:leftChars="0" w:firstLine="643" w:firstLineChars="200"/>
        <w:jc w:val="both"/>
        <w:textAlignment w:val="auto"/>
        <w:rPr>
          <w:rFonts w:hint="eastAsia" w:ascii="仿宋" w:hAnsi="仿宋" w:eastAsia="仿宋" w:cs="Times New Roman"/>
          <w:b/>
          <w:bCs/>
          <w:sz w:val="32"/>
          <w:szCs w:val="32"/>
        </w:rPr>
      </w:pPr>
      <w:r>
        <w:rPr>
          <w:rFonts w:ascii="仿宋" w:hAnsi="仿宋" w:eastAsia="仿宋" w:cs="Times New Roman"/>
          <w:b/>
          <w:bCs/>
          <w:sz w:val="32"/>
          <w:szCs w:val="32"/>
        </w:rPr>
        <w:t>（一）机关运行经费支出情况</w:t>
      </w:r>
    </w:p>
    <w:p w14:paraId="32F8ECC7">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本部门2019 年度机关运行经费支出789.67万元，2019年年初预算669.79万元，比年初预算数增加119.88万元。主要原因是：</w:t>
      </w:r>
      <w:r>
        <w:rPr>
          <w:rFonts w:hint="eastAsia" w:ascii="仿宋" w:hAnsi="仿宋" w:eastAsia="仿宋" w:cs="Times New Roman"/>
          <w:sz w:val="32"/>
          <w:szCs w:val="32"/>
        </w:rPr>
        <w:t>1、</w:t>
      </w:r>
      <w:r>
        <w:rPr>
          <w:rFonts w:ascii="仿宋" w:hAnsi="仿宋" w:eastAsia="仿宋" w:cs="Times New Roman"/>
          <w:sz w:val="32"/>
          <w:szCs w:val="32"/>
        </w:rPr>
        <w:t>2019年衡阳市社会养老保险处下拨各社区离退休人员生存认证经费88.53万元，2018年此费用是在项目支出中体现；</w:t>
      </w:r>
      <w:r>
        <w:rPr>
          <w:rFonts w:hint="eastAsia" w:ascii="仿宋" w:hAnsi="仿宋" w:eastAsia="仿宋" w:cs="Times New Roman"/>
          <w:sz w:val="32"/>
          <w:szCs w:val="32"/>
        </w:rPr>
        <w:t>2、</w:t>
      </w:r>
      <w:r>
        <w:rPr>
          <w:rFonts w:ascii="仿宋" w:hAnsi="仿宋" w:eastAsia="仿宋" w:cs="Times New Roman"/>
          <w:sz w:val="32"/>
          <w:szCs w:val="32"/>
        </w:rPr>
        <w:t>社会养老保险处驻村扶贫经费也在机关运行经费中体现。</w:t>
      </w:r>
    </w:p>
    <w:p w14:paraId="4BF16278">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ascii="仿宋" w:hAnsi="仿宋" w:eastAsia="仿宋" w:cs="Times New Roman"/>
          <w:b/>
          <w:bCs/>
          <w:sz w:val="32"/>
          <w:szCs w:val="32"/>
        </w:rPr>
      </w:pPr>
      <w:r>
        <w:rPr>
          <w:rFonts w:ascii="仿宋" w:hAnsi="仿宋" w:eastAsia="仿宋" w:cs="Times New Roman"/>
          <w:sz w:val="32"/>
          <w:szCs w:val="32"/>
        </w:rPr>
        <w:t xml:space="preserve"> </w:t>
      </w:r>
      <w:r>
        <w:rPr>
          <w:rFonts w:ascii="仿宋" w:hAnsi="仿宋" w:eastAsia="仿宋" w:cs="Times New Roman"/>
          <w:b/>
          <w:bCs/>
          <w:sz w:val="32"/>
          <w:szCs w:val="32"/>
        </w:rPr>
        <w:t>（二）一般性支出情况</w:t>
      </w:r>
    </w:p>
    <w:p w14:paraId="568121A6">
      <w:pPr>
        <w:pStyle w:val="11"/>
        <w:keepNext w:val="0"/>
        <w:keepLines w:val="0"/>
        <w:pageBreakBefore w:val="0"/>
        <w:kinsoku/>
        <w:wordWrap/>
        <w:overflowPunct/>
        <w:topLinePunct w:val="0"/>
        <w:bidi w:val="0"/>
        <w:snapToGrid/>
        <w:spacing w:beforeAutospacing="0" w:afterAutospacing="0" w:line="560" w:lineRule="exact"/>
        <w:ind w:leftChars="0" w:firstLine="643" w:firstLineChars="200"/>
        <w:jc w:val="both"/>
        <w:textAlignment w:val="auto"/>
        <w:rPr>
          <w:rFonts w:hint="default" w:ascii="仿宋" w:hAnsi="仿宋" w:eastAsia="仿宋" w:cs="Times New Roman"/>
          <w:sz w:val="32"/>
          <w:szCs w:val="32"/>
          <w:lang w:val="en-US" w:eastAsia="zh-CN"/>
        </w:rPr>
      </w:pPr>
      <w:r>
        <w:rPr>
          <w:rFonts w:hint="eastAsia" w:ascii="仿宋" w:hAnsi="仿宋" w:eastAsia="仿宋" w:cs="仿宋"/>
          <w:b/>
          <w:bCs/>
          <w:sz w:val="32"/>
          <w:szCs w:val="32"/>
        </w:rPr>
        <w:t>2019年本部门开支会议费共计11.7</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万元</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与上年持平，主要</w:t>
      </w:r>
      <w:r>
        <w:rPr>
          <w:rFonts w:hint="eastAsia" w:ascii="仿宋" w:hAnsi="仿宋" w:eastAsia="仿宋" w:cs="Times New Roman"/>
          <w:sz w:val="32"/>
          <w:szCs w:val="32"/>
        </w:rPr>
        <w:t>用于</w:t>
      </w:r>
      <w:r>
        <w:rPr>
          <w:rFonts w:ascii="仿宋" w:hAnsi="仿宋" w:eastAsia="仿宋" w:cs="Times New Roman"/>
          <w:sz w:val="32"/>
          <w:szCs w:val="32"/>
        </w:rPr>
        <w:t>2019年高校毕业生衡阳专场招聘会</w:t>
      </w:r>
      <w:r>
        <w:rPr>
          <w:rFonts w:hint="eastAsia" w:ascii="仿宋" w:hAnsi="仿宋" w:eastAsia="仿宋" w:cs="Times New Roman"/>
          <w:sz w:val="32"/>
          <w:szCs w:val="32"/>
          <w:lang w:eastAsia="zh-CN"/>
        </w:rPr>
        <w:t>、</w:t>
      </w:r>
      <w:r>
        <w:rPr>
          <w:rFonts w:ascii="仿宋" w:hAnsi="仿宋" w:eastAsia="仿宋" w:cs="Times New Roman"/>
          <w:sz w:val="32"/>
          <w:szCs w:val="32"/>
        </w:rPr>
        <w:t>全市机关事业单位工资统计工作会议</w:t>
      </w:r>
      <w:r>
        <w:rPr>
          <w:rFonts w:hint="eastAsia" w:ascii="仿宋" w:hAnsi="仿宋" w:eastAsia="仿宋" w:cs="Times New Roman"/>
          <w:sz w:val="32"/>
          <w:szCs w:val="32"/>
          <w:lang w:eastAsia="zh-CN"/>
        </w:rPr>
        <w:t>、</w:t>
      </w:r>
      <w:r>
        <w:rPr>
          <w:rFonts w:ascii="仿宋" w:hAnsi="仿宋" w:eastAsia="仿宋" w:cs="Times New Roman"/>
          <w:sz w:val="32"/>
          <w:szCs w:val="32"/>
        </w:rPr>
        <w:t>2019年全市事业单位人才统计工作会议</w:t>
      </w:r>
      <w:r>
        <w:rPr>
          <w:rFonts w:hint="eastAsia" w:ascii="仿宋" w:hAnsi="仿宋" w:eastAsia="仿宋" w:cs="Times New Roman"/>
          <w:sz w:val="32"/>
          <w:szCs w:val="32"/>
          <w:lang w:eastAsia="zh-CN"/>
        </w:rPr>
        <w:t>、</w:t>
      </w:r>
      <w:r>
        <w:rPr>
          <w:rFonts w:ascii="仿宋" w:hAnsi="仿宋" w:eastAsia="仿宋" w:cs="Times New Roman"/>
          <w:sz w:val="32"/>
          <w:szCs w:val="32"/>
        </w:rPr>
        <w:t>全市社会保险基金管理风险专项检查工作会</w:t>
      </w:r>
      <w:r>
        <w:rPr>
          <w:rFonts w:hint="eastAsia" w:ascii="仿宋" w:hAnsi="仿宋" w:eastAsia="仿宋" w:cs="Times New Roman"/>
          <w:sz w:val="32"/>
          <w:szCs w:val="32"/>
          <w:lang w:eastAsia="zh-CN"/>
        </w:rPr>
        <w:t>、</w:t>
      </w:r>
      <w:r>
        <w:rPr>
          <w:rFonts w:ascii="仿宋" w:hAnsi="仿宋" w:eastAsia="仿宋" w:cs="Times New Roman"/>
          <w:sz w:val="32"/>
          <w:szCs w:val="32"/>
        </w:rPr>
        <w:t>2018年度全市企业养老保险基金业务、统计年报会议</w:t>
      </w:r>
      <w:r>
        <w:rPr>
          <w:rFonts w:hint="eastAsia" w:ascii="仿宋" w:hAnsi="仿宋" w:eastAsia="仿宋" w:cs="Times New Roman"/>
          <w:sz w:val="32"/>
          <w:szCs w:val="32"/>
          <w:lang w:eastAsia="zh-CN"/>
        </w:rPr>
        <w:t>、</w:t>
      </w:r>
      <w:r>
        <w:rPr>
          <w:rFonts w:ascii="仿宋" w:hAnsi="仿宋" w:eastAsia="仿宋" w:cs="Times New Roman"/>
          <w:sz w:val="32"/>
          <w:szCs w:val="32"/>
        </w:rPr>
        <w:t>机保转企培训会</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全市</w:t>
      </w:r>
      <w:r>
        <w:rPr>
          <w:rFonts w:ascii="仿宋" w:hAnsi="仿宋" w:eastAsia="仿宋" w:cs="Times New Roman"/>
          <w:sz w:val="32"/>
          <w:szCs w:val="32"/>
        </w:rPr>
        <w:t>就业服务工作会议</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全市</w:t>
      </w:r>
      <w:r>
        <w:rPr>
          <w:rFonts w:ascii="仿宋" w:hAnsi="仿宋" w:eastAsia="仿宋" w:cs="Times New Roman"/>
          <w:sz w:val="32"/>
          <w:szCs w:val="32"/>
        </w:rPr>
        <w:t>根治拖欠工资工作实地督导通报暨冬季攻坚专项行动座谈会会议</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全面从严治党行风建设工作会议等，人数3000余人，</w:t>
      </w:r>
      <w:r>
        <w:rPr>
          <w:rFonts w:hint="eastAsia" w:ascii="仿宋" w:hAnsi="仿宋" w:eastAsia="仿宋" w:cs="Times New Roman"/>
          <w:sz w:val="32"/>
          <w:szCs w:val="32"/>
        </w:rPr>
        <w:t>内容为加强人事人才管理</w:t>
      </w:r>
      <w:r>
        <w:rPr>
          <w:rFonts w:hint="eastAsia" w:ascii="仿宋" w:hAnsi="仿宋" w:eastAsia="仿宋" w:cs="Times New Roman"/>
          <w:sz w:val="32"/>
          <w:szCs w:val="32"/>
          <w:lang w:eastAsia="zh-CN"/>
        </w:rPr>
        <w:t>、</w:t>
      </w:r>
      <w:r>
        <w:rPr>
          <w:rFonts w:hint="eastAsia" w:ascii="仿宋" w:hAnsi="仿宋" w:eastAsia="仿宋" w:cs="Times New Roman"/>
          <w:sz w:val="32"/>
          <w:szCs w:val="32"/>
        </w:rPr>
        <w:t>稳就业、深化社保制度改革、推进人社扶贫、加强行风建设等方面；</w:t>
      </w:r>
      <w:r>
        <w:rPr>
          <w:rFonts w:ascii="仿宋" w:hAnsi="仿宋" w:eastAsia="仿宋" w:cs="Times New Roman"/>
          <w:b/>
          <w:bCs/>
          <w:sz w:val="32"/>
          <w:szCs w:val="32"/>
        </w:rPr>
        <w:t>全局共开支培训费22.51万元</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与上年持平，主要</w:t>
      </w:r>
      <w:r>
        <w:rPr>
          <w:rFonts w:hint="eastAsia" w:ascii="仿宋" w:hAnsi="仿宋" w:eastAsia="仿宋" w:cs="Times New Roman"/>
          <w:sz w:val="32"/>
          <w:szCs w:val="32"/>
        </w:rPr>
        <w:t>用于开展</w:t>
      </w:r>
      <w:r>
        <w:rPr>
          <w:rFonts w:hint="eastAsia" w:ascii="仿宋" w:hAnsi="仿宋" w:eastAsia="仿宋" w:cs="Times New Roman"/>
          <w:sz w:val="32"/>
          <w:szCs w:val="32"/>
          <w:lang w:val="en-US" w:eastAsia="zh-CN"/>
        </w:rPr>
        <w:t>全市公务员培训、</w:t>
      </w:r>
      <w:r>
        <w:rPr>
          <w:rFonts w:hint="eastAsia" w:ascii="仿宋" w:hAnsi="仿宋" w:eastAsia="仿宋" w:cs="Times New Roman"/>
          <w:sz w:val="32"/>
          <w:szCs w:val="32"/>
        </w:rPr>
        <w:t>“三支一扶”</w:t>
      </w:r>
      <w:r>
        <w:rPr>
          <w:rFonts w:hint="eastAsia" w:ascii="仿宋" w:hAnsi="仿宋" w:eastAsia="仿宋" w:cs="Times New Roman"/>
          <w:sz w:val="32"/>
          <w:szCs w:val="32"/>
          <w:lang w:val="en-US" w:eastAsia="zh-CN"/>
        </w:rPr>
        <w:t>岗前培训</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全市</w:t>
      </w:r>
      <w:r>
        <w:rPr>
          <w:rFonts w:hint="eastAsia" w:ascii="仿宋" w:hAnsi="仿宋" w:eastAsia="仿宋"/>
          <w:sz w:val="32"/>
          <w:szCs w:val="32"/>
        </w:rPr>
        <w:t>社会保险基金监督业务培训</w:t>
      </w:r>
      <w:r>
        <w:rPr>
          <w:rFonts w:hint="eastAsia" w:ascii="仿宋" w:hAnsi="仿宋" w:eastAsia="仿宋"/>
          <w:sz w:val="32"/>
          <w:szCs w:val="32"/>
          <w:lang w:eastAsia="zh-CN"/>
        </w:rPr>
        <w:t>、</w:t>
      </w:r>
      <w:r>
        <w:rPr>
          <w:rFonts w:hint="eastAsia" w:ascii="仿宋" w:hAnsi="仿宋" w:eastAsia="仿宋"/>
          <w:sz w:val="32"/>
          <w:szCs w:val="32"/>
          <w:lang w:val="en-US" w:eastAsia="zh-CN"/>
        </w:rPr>
        <w:t>全市财务报表培训、</w:t>
      </w:r>
      <w:r>
        <w:rPr>
          <w:rFonts w:ascii="仿宋" w:hAnsi="仿宋" w:eastAsia="仿宋" w:cs="Times New Roman"/>
          <w:sz w:val="32"/>
          <w:szCs w:val="32"/>
        </w:rPr>
        <w:t>农村贫困就业培训</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党员主题教育培训等，</w:t>
      </w:r>
      <w:r>
        <w:rPr>
          <w:rFonts w:hint="eastAsia" w:ascii="仿宋" w:hAnsi="仿宋" w:eastAsia="仿宋" w:cs="Times New Roman"/>
          <w:sz w:val="32"/>
          <w:szCs w:val="32"/>
        </w:rPr>
        <w:t>人数5000余人，</w:t>
      </w:r>
      <w:r>
        <w:rPr>
          <w:rFonts w:hint="eastAsia" w:ascii="仿宋" w:hAnsi="仿宋" w:eastAsia="仿宋" w:cs="Times New Roman"/>
          <w:sz w:val="32"/>
          <w:szCs w:val="32"/>
          <w:lang w:val="en-US" w:eastAsia="zh-CN"/>
        </w:rPr>
        <w:t>内容为</w:t>
      </w:r>
      <w:r>
        <w:rPr>
          <w:rFonts w:hint="eastAsia" w:ascii="仿宋" w:hAnsi="仿宋" w:eastAsia="仿宋" w:cs="Times New Roman"/>
          <w:sz w:val="32"/>
          <w:szCs w:val="32"/>
        </w:rPr>
        <w:t>加强人事人才管理</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增强业务能力等方面。</w:t>
      </w:r>
    </w:p>
    <w:p w14:paraId="7F0CD274">
      <w:pPr>
        <w:pStyle w:val="11"/>
        <w:keepNext w:val="0"/>
        <w:keepLines w:val="0"/>
        <w:pageBreakBefore w:val="0"/>
        <w:kinsoku/>
        <w:wordWrap/>
        <w:overflowPunct/>
        <w:topLinePunct w:val="0"/>
        <w:bidi w:val="0"/>
        <w:snapToGrid/>
        <w:spacing w:beforeAutospacing="0" w:afterAutospacing="0" w:line="560" w:lineRule="exact"/>
        <w:ind w:leftChars="0" w:firstLine="643" w:firstLineChars="200"/>
        <w:jc w:val="both"/>
        <w:textAlignment w:val="auto"/>
        <w:rPr>
          <w:rFonts w:ascii="仿宋" w:hAnsi="仿宋" w:eastAsia="仿宋" w:cs="Times New Roman"/>
          <w:b/>
          <w:bCs/>
          <w:sz w:val="32"/>
          <w:szCs w:val="32"/>
        </w:rPr>
      </w:pPr>
      <w:r>
        <w:rPr>
          <w:rFonts w:ascii="仿宋" w:hAnsi="仿宋" w:eastAsia="仿宋" w:cs="Times New Roman"/>
          <w:b/>
          <w:bCs/>
          <w:sz w:val="32"/>
          <w:szCs w:val="32"/>
        </w:rPr>
        <w:t>（三）政府采购支出情况</w:t>
      </w:r>
    </w:p>
    <w:p w14:paraId="5E1C28B8">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hint="eastAsia" w:ascii="仿宋" w:hAnsi="仿宋" w:eastAsia="仿宋" w:cs="Times New Roman"/>
          <w:sz w:val="32"/>
          <w:szCs w:val="32"/>
          <w:lang w:eastAsia="zh-CN"/>
        </w:rPr>
      </w:pPr>
      <w:r>
        <w:rPr>
          <w:rFonts w:ascii="仿宋" w:hAnsi="仿宋" w:eastAsia="仿宋" w:cs="Times New Roman"/>
          <w:sz w:val="32"/>
          <w:szCs w:val="32"/>
        </w:rPr>
        <w:t>本部门2019年度政府采购支出总额615.46万元，其中：政府采购货物支出68.5万元、政府采购工程支出28万元、政府采购服务支出518.96万元。</w:t>
      </w:r>
      <w:r>
        <w:rPr>
          <w:rFonts w:hint="eastAsia" w:ascii="仿宋" w:hAnsi="仿宋" w:eastAsia="仿宋" w:cs="Times New Roman"/>
          <w:sz w:val="32"/>
          <w:szCs w:val="32"/>
        </w:rPr>
        <w:t xml:space="preserve">授予小微企业合同金额 </w:t>
      </w:r>
      <w:r>
        <w:rPr>
          <w:rFonts w:hint="eastAsia" w:ascii="仿宋" w:hAnsi="仿宋" w:eastAsia="仿宋" w:cs="Times New Roman"/>
          <w:sz w:val="32"/>
          <w:szCs w:val="32"/>
          <w:lang w:val="en-US" w:eastAsia="zh-CN"/>
        </w:rPr>
        <w:t>615.46</w:t>
      </w:r>
      <w:r>
        <w:rPr>
          <w:rFonts w:hint="eastAsia" w:ascii="仿宋" w:hAnsi="仿宋" w:eastAsia="仿宋" w:cs="Times New Roman"/>
          <w:sz w:val="32"/>
          <w:szCs w:val="32"/>
        </w:rPr>
        <w:t>万元，占政府采购支出总额的</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rPr>
        <w:t>%。”</w:t>
      </w:r>
    </w:p>
    <w:p w14:paraId="5B9449ED">
      <w:pPr>
        <w:pStyle w:val="11"/>
        <w:keepNext w:val="0"/>
        <w:keepLines w:val="0"/>
        <w:pageBreakBefore w:val="0"/>
        <w:kinsoku/>
        <w:wordWrap/>
        <w:overflowPunct/>
        <w:topLinePunct w:val="0"/>
        <w:bidi w:val="0"/>
        <w:snapToGrid/>
        <w:spacing w:beforeAutospacing="0" w:afterAutospacing="0" w:line="560" w:lineRule="exact"/>
        <w:ind w:leftChars="0" w:firstLine="643" w:firstLineChars="200"/>
        <w:jc w:val="both"/>
        <w:textAlignment w:val="auto"/>
        <w:rPr>
          <w:rFonts w:ascii="仿宋" w:hAnsi="仿宋" w:eastAsia="仿宋" w:cs="Times New Roman"/>
          <w:b/>
          <w:bCs/>
          <w:sz w:val="32"/>
          <w:szCs w:val="32"/>
        </w:rPr>
      </w:pPr>
      <w:r>
        <w:rPr>
          <w:rFonts w:ascii="仿宋" w:hAnsi="仿宋" w:eastAsia="仿宋" w:cs="Times New Roman"/>
          <w:b/>
          <w:bCs/>
          <w:sz w:val="32"/>
          <w:szCs w:val="32"/>
        </w:rPr>
        <w:t>（四）国有资产占用情况</w:t>
      </w:r>
    </w:p>
    <w:p w14:paraId="6438A015">
      <w:pPr>
        <w:pStyle w:val="11"/>
        <w:keepNext w:val="0"/>
        <w:keepLines w:val="0"/>
        <w:pageBreakBefore w:val="0"/>
        <w:kinsoku/>
        <w:wordWrap/>
        <w:overflowPunct/>
        <w:topLinePunct w:val="0"/>
        <w:bidi w:val="0"/>
        <w:snapToGrid/>
        <w:spacing w:beforeAutospacing="0" w:afterAutospacing="0" w:line="560" w:lineRule="exact"/>
        <w:ind w:leftChars="0"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截至2019年12月31日，本单位共有车辆12辆，其中，领导干部用车0辆、机要通信用车1辆、应急保障用车</w:t>
      </w:r>
      <w:r>
        <w:rPr>
          <w:rFonts w:hint="eastAsia" w:ascii="仿宋" w:hAnsi="仿宋" w:eastAsia="仿宋" w:cs="Times New Roman"/>
          <w:sz w:val="32"/>
          <w:szCs w:val="32"/>
          <w:lang w:val="en-US" w:eastAsia="zh-CN"/>
        </w:rPr>
        <w:t>9</w:t>
      </w:r>
      <w:r>
        <w:rPr>
          <w:rFonts w:ascii="仿宋" w:hAnsi="仿宋" w:eastAsia="仿宋" w:cs="Times New Roman"/>
          <w:sz w:val="32"/>
          <w:szCs w:val="32"/>
        </w:rPr>
        <w:t>辆、执法执勤用车2辆；单位价值50万元以上通用设备0台（套）；单位价值100万元以上专用设备0台（套）。</w:t>
      </w:r>
    </w:p>
    <w:p w14:paraId="1452CDD8">
      <w:pPr>
        <w:pStyle w:val="11"/>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 xml:space="preserve"> </w:t>
      </w:r>
    </w:p>
    <w:p w14:paraId="4F44E7BA">
      <w:pPr>
        <w:pStyle w:val="11"/>
        <w:spacing w:line="560" w:lineRule="exact"/>
        <w:jc w:val="both"/>
        <w:rPr>
          <w:rFonts w:hint="eastAsia" w:ascii="仿宋" w:hAnsi="仿宋" w:eastAsia="仿宋" w:cs="Times New Roman"/>
          <w:sz w:val="32"/>
          <w:szCs w:val="32"/>
        </w:rPr>
      </w:pPr>
      <w:r>
        <w:rPr>
          <w:rFonts w:ascii="仿宋" w:hAnsi="仿宋" w:eastAsia="仿宋" w:cs="Times New Roman"/>
          <w:sz w:val="32"/>
          <w:szCs w:val="32"/>
        </w:rPr>
        <w:br w:type="page"/>
      </w:r>
    </w:p>
    <w:p w14:paraId="6852A201">
      <w:pPr>
        <w:pStyle w:val="11"/>
        <w:spacing w:line="560" w:lineRule="exact"/>
        <w:jc w:val="center"/>
        <w:rPr>
          <w:rFonts w:ascii="Times New Roman" w:hAnsi="Times New Roman" w:cs="Times New Roman"/>
          <w:sz w:val="72"/>
          <w:szCs w:val="72"/>
        </w:rPr>
      </w:pPr>
      <w:r>
        <w:rPr>
          <w:rFonts w:ascii="Times New Roman" w:hAnsi="Times New Roman" w:cs="Times New Roman"/>
          <w:sz w:val="72"/>
          <w:szCs w:val="72"/>
        </w:rPr>
        <w:t xml:space="preserve"> </w:t>
      </w:r>
    </w:p>
    <w:p w14:paraId="398EE09C">
      <w:pPr>
        <w:pStyle w:val="11"/>
        <w:spacing w:line="560" w:lineRule="exact"/>
        <w:jc w:val="center"/>
        <w:rPr>
          <w:rFonts w:ascii="Times New Roman" w:hAnsi="Times New Roman" w:cs="Times New Roman"/>
          <w:sz w:val="72"/>
          <w:szCs w:val="72"/>
        </w:rPr>
      </w:pPr>
      <w:r>
        <w:rPr>
          <w:rFonts w:ascii="Times New Roman" w:hAnsi="Times New Roman" w:cs="Times New Roman"/>
          <w:sz w:val="72"/>
          <w:szCs w:val="72"/>
        </w:rPr>
        <w:t xml:space="preserve"> </w:t>
      </w:r>
    </w:p>
    <w:p w14:paraId="0C0D5F8B">
      <w:pPr>
        <w:spacing w:line="800" w:lineRule="exact"/>
        <w:jc w:val="center"/>
        <w:rPr>
          <w:rFonts w:hint="eastAsia" w:ascii="华文中宋" w:hAnsi="华文中宋" w:eastAsia="华文中宋" w:cs="华文中宋"/>
          <w:b/>
          <w:bCs/>
          <w:sz w:val="72"/>
          <w:szCs w:val="72"/>
        </w:rPr>
      </w:pPr>
    </w:p>
    <w:p w14:paraId="6DE91D7E">
      <w:pPr>
        <w:spacing w:line="800" w:lineRule="exact"/>
        <w:jc w:val="center"/>
        <w:rPr>
          <w:rFonts w:hint="eastAsia" w:ascii="华文中宋" w:hAnsi="华文中宋" w:eastAsia="华文中宋" w:cs="华文中宋"/>
          <w:b/>
          <w:bCs/>
          <w:sz w:val="72"/>
          <w:szCs w:val="72"/>
        </w:rPr>
      </w:pPr>
    </w:p>
    <w:p w14:paraId="6947595C">
      <w:pPr>
        <w:spacing w:line="800" w:lineRule="exact"/>
        <w:jc w:val="center"/>
        <w:rPr>
          <w:rFonts w:hint="eastAsia" w:ascii="华文中宋" w:hAnsi="华文中宋" w:eastAsia="华文中宋" w:cs="华文中宋"/>
          <w:b/>
          <w:bCs/>
          <w:sz w:val="72"/>
          <w:szCs w:val="72"/>
        </w:rPr>
      </w:pPr>
      <w:r>
        <w:rPr>
          <w:rFonts w:hint="eastAsia" w:ascii="华文中宋" w:hAnsi="华文中宋" w:eastAsia="华文中宋" w:cs="华文中宋"/>
          <w:b/>
          <w:bCs/>
          <w:sz w:val="72"/>
          <w:szCs w:val="72"/>
        </w:rPr>
        <w:t>第四部分</w:t>
      </w:r>
    </w:p>
    <w:p w14:paraId="7587504D">
      <w:pPr>
        <w:spacing w:line="800" w:lineRule="exact"/>
        <w:jc w:val="center"/>
        <w:rPr>
          <w:rFonts w:hint="eastAsia" w:ascii="华文中宋" w:hAnsi="华文中宋" w:eastAsia="华文中宋" w:cs="华文中宋"/>
          <w:b/>
          <w:bCs/>
          <w:sz w:val="72"/>
          <w:szCs w:val="72"/>
        </w:rPr>
      </w:pPr>
    </w:p>
    <w:p w14:paraId="6F1E236C">
      <w:pPr>
        <w:spacing w:line="800" w:lineRule="exact"/>
        <w:jc w:val="center"/>
        <w:rPr>
          <w:rFonts w:hint="eastAsia" w:ascii="华文中宋" w:hAnsi="华文中宋" w:eastAsia="华文中宋" w:cs="华文中宋"/>
          <w:b/>
          <w:bCs/>
          <w:sz w:val="72"/>
          <w:szCs w:val="72"/>
        </w:rPr>
      </w:pPr>
      <w:r>
        <w:rPr>
          <w:rFonts w:hint="eastAsia" w:ascii="华文中宋" w:hAnsi="华文中宋" w:eastAsia="华文中宋" w:cs="华文中宋"/>
          <w:b/>
          <w:bCs/>
          <w:sz w:val="72"/>
          <w:szCs w:val="72"/>
        </w:rPr>
        <w:t xml:space="preserve"> </w:t>
      </w:r>
    </w:p>
    <w:p w14:paraId="7983649C">
      <w:pPr>
        <w:spacing w:line="800" w:lineRule="exact"/>
        <w:jc w:val="center"/>
        <w:rPr>
          <w:rFonts w:hint="eastAsia" w:ascii="华文中宋" w:hAnsi="华文中宋" w:eastAsia="华文中宋" w:cs="华文中宋"/>
          <w:b/>
          <w:bCs/>
          <w:sz w:val="72"/>
          <w:szCs w:val="72"/>
        </w:rPr>
      </w:pPr>
      <w:r>
        <w:rPr>
          <w:rFonts w:hint="eastAsia" w:ascii="华文中宋" w:hAnsi="华文中宋" w:eastAsia="华文中宋" w:cs="华文中宋"/>
          <w:b/>
          <w:bCs/>
          <w:sz w:val="72"/>
          <w:szCs w:val="72"/>
        </w:rPr>
        <w:t>名</w:t>
      </w:r>
      <w:r>
        <w:rPr>
          <w:rFonts w:hint="eastAsia" w:ascii="华文中宋" w:hAnsi="华文中宋" w:eastAsia="华文中宋" w:cs="华文中宋"/>
          <w:b/>
          <w:bCs/>
          <w:sz w:val="72"/>
          <w:szCs w:val="72"/>
          <w:lang w:val="en-US" w:eastAsia="zh-CN"/>
        </w:rPr>
        <w:t xml:space="preserve"> </w:t>
      </w:r>
      <w:r>
        <w:rPr>
          <w:rFonts w:hint="eastAsia" w:ascii="华文中宋" w:hAnsi="华文中宋" w:eastAsia="华文中宋" w:cs="华文中宋"/>
          <w:b/>
          <w:bCs/>
          <w:sz w:val="72"/>
          <w:szCs w:val="72"/>
        </w:rPr>
        <w:t>词</w:t>
      </w:r>
      <w:r>
        <w:rPr>
          <w:rFonts w:hint="eastAsia" w:ascii="华文中宋" w:hAnsi="华文中宋" w:eastAsia="华文中宋" w:cs="华文中宋"/>
          <w:b/>
          <w:bCs/>
          <w:sz w:val="72"/>
          <w:szCs w:val="72"/>
          <w:lang w:val="en-US" w:eastAsia="zh-CN"/>
        </w:rPr>
        <w:t xml:space="preserve"> </w:t>
      </w:r>
      <w:r>
        <w:rPr>
          <w:rFonts w:hint="eastAsia" w:ascii="华文中宋" w:hAnsi="华文中宋" w:eastAsia="华文中宋" w:cs="华文中宋"/>
          <w:b/>
          <w:bCs/>
          <w:sz w:val="72"/>
          <w:szCs w:val="72"/>
        </w:rPr>
        <w:t>解</w:t>
      </w:r>
      <w:r>
        <w:rPr>
          <w:rFonts w:hint="eastAsia" w:ascii="华文中宋" w:hAnsi="华文中宋" w:eastAsia="华文中宋" w:cs="华文中宋"/>
          <w:b/>
          <w:bCs/>
          <w:sz w:val="72"/>
          <w:szCs w:val="72"/>
          <w:lang w:val="en-US" w:eastAsia="zh-CN"/>
        </w:rPr>
        <w:t xml:space="preserve"> </w:t>
      </w:r>
      <w:r>
        <w:rPr>
          <w:rFonts w:hint="eastAsia" w:ascii="华文中宋" w:hAnsi="华文中宋" w:eastAsia="华文中宋" w:cs="华文中宋"/>
          <w:b/>
          <w:bCs/>
          <w:sz w:val="72"/>
          <w:szCs w:val="72"/>
        </w:rPr>
        <w:t>释</w:t>
      </w:r>
    </w:p>
    <w:p w14:paraId="7765F055">
      <w:pPr>
        <w:spacing w:line="800" w:lineRule="exact"/>
        <w:jc w:val="center"/>
        <w:rPr>
          <w:rFonts w:hint="eastAsia" w:ascii="华文中宋" w:hAnsi="华文中宋" w:eastAsia="华文中宋" w:cs="华文中宋"/>
          <w:b/>
          <w:bCs/>
          <w:sz w:val="72"/>
          <w:szCs w:val="72"/>
        </w:rPr>
      </w:pPr>
    </w:p>
    <w:p w14:paraId="23E7157F">
      <w:pPr>
        <w:spacing w:line="800" w:lineRule="exact"/>
        <w:jc w:val="center"/>
        <w:rPr>
          <w:rFonts w:hint="eastAsia" w:ascii="华文中宋" w:hAnsi="华文中宋" w:eastAsia="华文中宋" w:cs="华文中宋"/>
          <w:b/>
          <w:bCs/>
          <w:sz w:val="72"/>
          <w:szCs w:val="72"/>
        </w:rPr>
      </w:pPr>
    </w:p>
    <w:p w14:paraId="04D523C0">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r>
        <w:rPr>
          <w:color w:val="000000"/>
          <w:kern w:val="0"/>
        </w:rPr>
        <w:t xml:space="preserve"> </w:t>
      </w:r>
    </w:p>
    <w:p w14:paraId="2BFA8E55">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7B08AD3D">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0D6772B8">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71330153">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7792B2FE">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0D0AB2C9">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75CBC496">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4197926E">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74E76102">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1A0257A9">
      <w:pPr>
        <w:keepNext w:val="0"/>
        <w:keepLines w:val="0"/>
        <w:pageBreakBefore w:val="0"/>
        <w:widowControl w:val="0"/>
        <w:kinsoku/>
        <w:wordWrap/>
        <w:overflowPunct/>
        <w:topLinePunct w:val="0"/>
        <w:bidi w:val="0"/>
        <w:snapToGrid/>
        <w:spacing w:line="24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kern w:val="0"/>
          <w:sz w:val="32"/>
          <w:szCs w:val="32"/>
        </w:rPr>
        <w:t>(一）财政拨款收入</w:t>
      </w:r>
      <w:r>
        <w:rPr>
          <w:rFonts w:hint="eastAsia" w:ascii="仿宋" w:hAnsi="仿宋" w:eastAsia="仿宋" w:cs="仿宋"/>
          <w:kern w:val="0"/>
          <w:sz w:val="32"/>
          <w:szCs w:val="32"/>
        </w:rPr>
        <w:t>：</w:t>
      </w:r>
      <w:r>
        <w:rPr>
          <w:rFonts w:hint="eastAsia" w:ascii="仿宋" w:hAnsi="仿宋" w:eastAsia="仿宋" w:cs="仿宋"/>
          <w:color w:val="000000"/>
          <w:kern w:val="0"/>
          <w:sz w:val="32"/>
          <w:szCs w:val="32"/>
        </w:rPr>
        <w:t>指中央财政当年拨付的资金。</w:t>
      </w:r>
    </w:p>
    <w:p w14:paraId="1C800CE5">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402564C2">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(三）经营收入：</w:t>
      </w:r>
      <w:r>
        <w:rPr>
          <w:rFonts w:hint="eastAsia" w:ascii="仿宋" w:hAnsi="仿宋" w:eastAsia="仿宋" w:cs="仿宋"/>
          <w:color w:val="000000"/>
          <w:kern w:val="0"/>
          <w:sz w:val="32"/>
          <w:szCs w:val="32"/>
        </w:rPr>
        <w:t>指事业单位在专业业务活动及其辅助活动之外开展非独立核算经营活动取得的收入。</w:t>
      </w:r>
    </w:p>
    <w:p w14:paraId="12711720">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(四）其他收入：</w:t>
      </w:r>
      <w:r>
        <w:rPr>
          <w:rFonts w:hint="eastAsia" w:ascii="仿宋" w:hAnsi="仿宋" w:eastAsia="仿宋" w:cs="仿宋"/>
          <w:color w:val="000000"/>
          <w:kern w:val="0"/>
          <w:sz w:val="32"/>
          <w:szCs w:val="32"/>
        </w:rPr>
        <w:t>指除上述“财政拨款收入”、“事业收入”、“经营收入”等以外的收入。主要是按规定动用的售房收入、存款利息收入等。</w:t>
      </w:r>
    </w:p>
    <w:p w14:paraId="0B6A1623">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(五）用事业基金弥补收支差额：</w:t>
      </w:r>
      <w:r>
        <w:rPr>
          <w:rFonts w:hint="eastAsia" w:ascii="仿宋" w:hAnsi="仿宋" w:eastAsia="仿宋" w:cs="仿宋"/>
          <w:color w:val="000000"/>
          <w:kern w:val="0"/>
          <w:sz w:val="32"/>
          <w:szCs w:val="32"/>
        </w:rPr>
        <w:t>指事业单位在预计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1E2085FE">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指以前年度支出预算因客观条件变化未执行完毕、结转到本年按有关规定继续使用的资金，或项目已完成等产生的结余资金。</w:t>
      </w:r>
    </w:p>
    <w:p w14:paraId="4A580B36">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(七）一般公共服务（类）人力资源事务（款）</w:t>
      </w:r>
      <w:r>
        <w:rPr>
          <w:rFonts w:hint="eastAsia" w:ascii="仿宋" w:hAnsi="仿宋" w:eastAsia="仿宋" w:cs="仿宋"/>
          <w:color w:val="000000"/>
          <w:kern w:val="0"/>
          <w:sz w:val="32"/>
          <w:szCs w:val="32"/>
        </w:rPr>
        <w:t>：指人力资源社会保障部履行一般公共服务职能的支出。</w:t>
      </w:r>
    </w:p>
    <w:p w14:paraId="4A14C64B">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一般行政管理事务(项):</w:t>
      </w:r>
      <w:r>
        <w:rPr>
          <w:rFonts w:hint="eastAsia" w:ascii="仿宋" w:hAnsi="仿宋" w:eastAsia="仿宋" w:cs="仿宋"/>
          <w:color w:val="000000"/>
          <w:kern w:val="0"/>
          <w:sz w:val="32"/>
          <w:szCs w:val="32"/>
        </w:rPr>
        <w:t>指人力资源社会保障部行政单位及参照公务员法管理事业单位未单独设置项级科目的其他项目支出。</w:t>
      </w:r>
    </w:p>
    <w:p w14:paraId="19644515">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军队转业干部安置(项):</w:t>
      </w:r>
      <w:r>
        <w:rPr>
          <w:rFonts w:hint="eastAsia" w:ascii="仿宋" w:hAnsi="仿宋" w:eastAsia="仿宋" w:cs="仿宋"/>
          <w:color w:val="000000"/>
          <w:kern w:val="0"/>
          <w:sz w:val="32"/>
          <w:szCs w:val="32"/>
        </w:rPr>
        <w:t>指人力资源社会保障部军转干部安置、人员经费、自主择业退役金等方面的支出。</w:t>
      </w:r>
    </w:p>
    <w:p w14:paraId="5B9FB442">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公务员招考(项):</w:t>
      </w:r>
      <w:r>
        <w:rPr>
          <w:rFonts w:hint="eastAsia" w:ascii="仿宋" w:hAnsi="仿宋" w:eastAsia="仿宋" w:cs="仿宋"/>
          <w:color w:val="000000"/>
          <w:kern w:val="0"/>
          <w:sz w:val="32"/>
          <w:szCs w:val="32"/>
        </w:rPr>
        <w:t>指人力资源社会保障部用于公务员招考方面的支出。</w:t>
      </w:r>
    </w:p>
    <w:p w14:paraId="59230445">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其他人事事务支出(项)：</w:t>
      </w:r>
      <w:r>
        <w:rPr>
          <w:rFonts w:hint="eastAsia" w:ascii="仿宋" w:hAnsi="仿宋" w:eastAsia="仿宋" w:cs="仿宋"/>
          <w:color w:val="000000"/>
          <w:kern w:val="0"/>
          <w:sz w:val="32"/>
          <w:szCs w:val="32"/>
        </w:rPr>
        <w:t>指人力资源社会保障部用于人力资源事务其他人事事务方面的支出。</w:t>
      </w:r>
    </w:p>
    <w:p w14:paraId="41E94297">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（八）社会保障和就业（类</w:t>
      </w:r>
      <w:r>
        <w:rPr>
          <w:rFonts w:hint="eastAsia" w:ascii="仿宋" w:hAnsi="仿宋" w:eastAsia="仿宋" w:cs="仿宋"/>
          <w:b/>
          <w:kern w:val="0"/>
          <w:sz w:val="32"/>
          <w:szCs w:val="32"/>
        </w:rPr>
        <w:t>）</w:t>
      </w:r>
      <w:r>
        <w:rPr>
          <w:rFonts w:hint="eastAsia" w:ascii="仿宋" w:hAnsi="仿宋" w:eastAsia="仿宋" w:cs="仿宋"/>
          <w:kern w:val="0"/>
          <w:sz w:val="32"/>
          <w:szCs w:val="32"/>
        </w:rPr>
        <w:t>：主要用于人力资源社会保障管理事务支出。</w:t>
      </w:r>
    </w:p>
    <w:p w14:paraId="0947027D">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行政运行（项</w:t>
      </w:r>
      <w:r>
        <w:rPr>
          <w:rFonts w:hint="eastAsia" w:ascii="仿宋" w:hAnsi="仿宋" w:eastAsia="仿宋" w:cs="仿宋"/>
          <w:kern w:val="0"/>
          <w:sz w:val="32"/>
          <w:szCs w:val="32"/>
        </w:rPr>
        <w:t>）：主要用于部机关、国家公务员局和参照公务员法管理事业单位的基本支出。</w:t>
      </w:r>
    </w:p>
    <w:p w14:paraId="5A715038">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—般行政管理事务（项</w:t>
      </w:r>
      <w:r>
        <w:rPr>
          <w:rFonts w:hint="eastAsia" w:ascii="仿宋" w:hAnsi="仿宋" w:eastAsia="仿宋" w:cs="仿宋"/>
          <w:kern w:val="0"/>
          <w:sz w:val="32"/>
          <w:szCs w:val="32"/>
        </w:rPr>
        <w:t>）：主要用于干部教育培训和办公楼运行维护等支出。</w:t>
      </w:r>
    </w:p>
    <w:p w14:paraId="56CCFCF3">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劳动保障监察（项</w:t>
      </w:r>
      <w:r>
        <w:rPr>
          <w:rFonts w:hint="eastAsia" w:ascii="仿宋" w:hAnsi="仿宋" w:eastAsia="仿宋" w:cs="仿宋"/>
          <w:kern w:val="0"/>
          <w:sz w:val="32"/>
          <w:szCs w:val="32"/>
        </w:rPr>
        <w:t>）：主要用于劳动保障监察事务支出。</w:t>
      </w:r>
    </w:p>
    <w:p w14:paraId="074BFBB6">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信息化建设（项）：</w:t>
      </w:r>
      <w:r>
        <w:rPr>
          <w:rFonts w:hint="eastAsia" w:ascii="仿宋" w:hAnsi="仿宋" w:eastAsia="仿宋" w:cs="仿宋"/>
          <w:kern w:val="0"/>
          <w:sz w:val="32"/>
          <w:szCs w:val="32"/>
        </w:rPr>
        <w:t>主要用于信息化建设、运行维护和数据分析等方面的支出。</w:t>
      </w:r>
    </w:p>
    <w:p w14:paraId="50BC3519">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劳动关系和维权（项）：</w:t>
      </w:r>
      <w:r>
        <w:rPr>
          <w:rFonts w:hint="eastAsia" w:ascii="仿宋" w:hAnsi="仿宋" w:eastAsia="仿宋" w:cs="仿宋"/>
          <w:kern w:val="0"/>
          <w:sz w:val="32"/>
          <w:szCs w:val="32"/>
        </w:rPr>
        <w:t>主要用于劳动关系和维权事务等方面的支出。</w:t>
      </w:r>
    </w:p>
    <w:p w14:paraId="672E20D3">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劳动人事争议调解仲裁（项</w:t>
      </w:r>
      <w:r>
        <w:rPr>
          <w:rFonts w:hint="eastAsia" w:ascii="仿宋" w:hAnsi="仿宋" w:eastAsia="仿宋" w:cs="仿宋"/>
          <w:kern w:val="0"/>
          <w:sz w:val="32"/>
          <w:szCs w:val="32"/>
        </w:rPr>
        <w:t>）：主要用于仲裁机构实体化建设、办案经费、调解仲裁能力建设等支出。</w:t>
      </w:r>
    </w:p>
    <w:p w14:paraId="5F9CA975">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其他人力资源和社会保障管理事务支出（项）</w:t>
      </w:r>
      <w:r>
        <w:rPr>
          <w:rFonts w:hint="eastAsia" w:ascii="仿宋" w:hAnsi="仿宋" w:eastAsia="仿宋" w:cs="仿宋"/>
          <w:kern w:val="0"/>
          <w:sz w:val="32"/>
          <w:szCs w:val="32"/>
        </w:rPr>
        <w:t>：主要用于所属事业单位的项目支出。</w:t>
      </w:r>
    </w:p>
    <w:p w14:paraId="060A81BF">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（九）社会保障和就业（类）就业补助（款）扶持公共就业服务（项）：</w:t>
      </w:r>
      <w:r>
        <w:rPr>
          <w:rFonts w:hint="eastAsia" w:ascii="仿宋" w:hAnsi="仿宋" w:eastAsia="仿宋" w:cs="仿宋"/>
          <w:kern w:val="0"/>
          <w:sz w:val="32"/>
          <w:szCs w:val="32"/>
        </w:rPr>
        <w:t>人力资源社会保障部用于就业方面的补助，主要用于加强人力资源市场信息网络方面的支出。</w:t>
      </w:r>
    </w:p>
    <w:p w14:paraId="7C632717">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（十）住房保障支出（类）住房改革支出（款）</w:t>
      </w:r>
      <w:r>
        <w:rPr>
          <w:rFonts w:hint="eastAsia" w:ascii="仿宋" w:hAnsi="仿宋" w:eastAsia="仿宋" w:cs="仿宋"/>
          <w:kern w:val="0"/>
          <w:sz w:val="32"/>
          <w:szCs w:val="32"/>
        </w:rPr>
        <w:t>：主要用于机关及部属单位按照国家政策规定用于住房改革方面的支出。</w:t>
      </w:r>
    </w:p>
    <w:p w14:paraId="14FA70FA">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住房公积金（项</w:t>
      </w:r>
      <w:r>
        <w:rPr>
          <w:rFonts w:hint="eastAsia" w:ascii="仿宋" w:hAnsi="仿宋" w:eastAsia="仿宋" w:cs="仿宋"/>
          <w:kern w:val="0"/>
          <w:sz w:val="32"/>
          <w:szCs w:val="32"/>
        </w:rPr>
        <w:t>）：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年时间。行政单位缴存基数包括国家统一规定的公务员职务工资、级别工资、机关工人岗位工资和技术等级（职务</w:t>
      </w:r>
      <w:r>
        <w:rPr>
          <w:rFonts w:hint="eastAsia" w:ascii="仿宋" w:hAnsi="仿宋" w:eastAsia="仿宋" w:cs="仿宋"/>
          <w:b/>
          <w:bCs/>
          <w:kern w:val="0"/>
          <w:sz w:val="32"/>
          <w:szCs w:val="32"/>
        </w:rPr>
        <w:t>）</w:t>
      </w:r>
      <w:r>
        <w:rPr>
          <w:rFonts w:hint="eastAsia" w:ascii="仿宋" w:hAnsi="仿宋" w:eastAsia="仿宋" w:cs="仿宋"/>
          <w:kern w:val="0"/>
          <w:sz w:val="32"/>
          <w:szCs w:val="32"/>
        </w:rPr>
        <w:t>工资、年终一次性奖金、特殊岗位津贴、艰苦边远地区津贴，规范后发放的工作性津贴、生活性补贴等；事业单位缴存基数包括国家统一规定的岗位工资、薪级工资、绩效工资、艰苦边远地区津贴、特殊岗位津贴等。</w:t>
      </w:r>
    </w:p>
    <w:p w14:paraId="6340EBD3">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（十一）结余分配：</w:t>
      </w:r>
      <w:r>
        <w:rPr>
          <w:rFonts w:hint="eastAsia" w:ascii="仿宋" w:hAnsi="仿宋" w:eastAsia="仿宋" w:cs="仿宋"/>
          <w:kern w:val="0"/>
          <w:sz w:val="32"/>
          <w:szCs w:val="32"/>
        </w:rPr>
        <w:t>指事业单位按规定提取的职工福利基金、事业基金和缴纳的所得税，以及建设单位按规定应交回的基本建设竣工项目结余资金。</w:t>
      </w:r>
    </w:p>
    <w:p w14:paraId="46E78984">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（十二）年末结转和结余：</w:t>
      </w:r>
      <w:r>
        <w:rPr>
          <w:rFonts w:hint="eastAsia" w:ascii="仿宋" w:hAnsi="仿宋" w:eastAsia="仿宋" w:cs="仿宋"/>
          <w:kern w:val="0"/>
          <w:sz w:val="32"/>
          <w:szCs w:val="32"/>
        </w:rPr>
        <w:t>指本年度或以前年度预算安排、因客观条件发生变化无法按原计划实施，需要延迟到以后年度按有关规定继续使用的资金。</w:t>
      </w:r>
    </w:p>
    <w:p w14:paraId="376E0D83">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（十三）基本支出：</w:t>
      </w:r>
      <w:r>
        <w:rPr>
          <w:rFonts w:hint="eastAsia" w:ascii="仿宋" w:hAnsi="仿宋" w:eastAsia="仿宋" w:cs="仿宋"/>
          <w:kern w:val="0"/>
          <w:sz w:val="32"/>
          <w:szCs w:val="32"/>
        </w:rPr>
        <w:t>指为保障机构正常运转、完成日常工作任务而发生的人员支出和公用支出。</w:t>
      </w:r>
    </w:p>
    <w:p w14:paraId="1E145120">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（十四）项目支出：</w:t>
      </w:r>
      <w:r>
        <w:rPr>
          <w:rFonts w:hint="eastAsia" w:ascii="仿宋" w:hAnsi="仿宋" w:eastAsia="仿宋" w:cs="仿宋"/>
          <w:kern w:val="0"/>
          <w:sz w:val="32"/>
          <w:szCs w:val="32"/>
        </w:rPr>
        <w:t>指在基本支出之外为完成相关行政任务和事业发展目标所发生的支出。</w:t>
      </w:r>
    </w:p>
    <w:p w14:paraId="0E74EFEF">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（十五）经营支出：</w:t>
      </w:r>
      <w:r>
        <w:rPr>
          <w:rFonts w:hint="eastAsia" w:ascii="仿宋" w:hAnsi="仿宋" w:eastAsia="仿宋" w:cs="仿宋"/>
          <w:kern w:val="0"/>
          <w:sz w:val="32"/>
          <w:szCs w:val="32"/>
        </w:rPr>
        <w:t>指事业单位在专业业务活动及其辅助活动之外开展非独立核算经营活动发生的支出。</w:t>
      </w:r>
    </w:p>
    <w:p w14:paraId="409F4334">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（十六）“三公”经费</w:t>
      </w:r>
      <w:r>
        <w:rPr>
          <w:rFonts w:hint="eastAsia" w:ascii="仿宋" w:hAnsi="仿宋" w:eastAsia="仿宋" w:cs="仿宋"/>
          <w:kern w:val="0"/>
          <w:sz w:val="32"/>
          <w:szCs w:val="32"/>
        </w:rPr>
        <w:t>：纳入中央财政预决算管理的“三公”经费，是指中央部门用财政拨款安排的因公出国（境）费、公务用车购置及运行费和公务接待费。</w:t>
      </w:r>
    </w:p>
    <w:p w14:paraId="16192F9D">
      <w:pPr>
        <w:widowControl/>
        <w:spacing w:before="100" w:beforeAutospacing="1" w:after="100" w:afterAutospacing="1" w:line="39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（十七）机关运行经费</w:t>
      </w:r>
      <w:r>
        <w:rPr>
          <w:rFonts w:hint="eastAsia" w:ascii="仿宋" w:hAnsi="仿宋" w:eastAsia="仿宋" w:cs="仿宋"/>
          <w:color w:val="000000"/>
          <w:kern w:val="0"/>
          <w:sz w:val="32"/>
          <w:szCs w:val="32"/>
        </w:rPr>
        <w:t>：是指为保证行政单位（含参照公务员法管理的事业单位）运行用于购买货物和服务的各项资金，包括办公及印刷费、邮电费、差旅费、会议费、福利费、日常维修费及一般设备设置费、办公用房水电费、办公用房取暖费、办公用房物业管理费、公务用车运行维护费以及其他费用。</w:t>
      </w:r>
    </w:p>
    <w:p w14:paraId="08605389">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仿宋" w:hAnsi="仿宋" w:eastAsia="仿宋" w:cs="仿宋"/>
          <w:color w:val="000000"/>
          <w:kern w:val="0"/>
          <w:sz w:val="32"/>
          <w:szCs w:val="32"/>
        </w:rPr>
      </w:pPr>
    </w:p>
    <w:p w14:paraId="3073B554">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14:paraId="16F47ACD">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r>
        <w:rPr>
          <w:color w:val="000000"/>
          <w:kern w:val="0"/>
        </w:rPr>
        <w:t xml:space="preserve"> </w:t>
      </w:r>
    </w:p>
    <w:p w14:paraId="03769F92">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r>
        <w:rPr>
          <w:color w:val="000000"/>
          <w:kern w:val="0"/>
        </w:rPr>
        <w:t xml:space="preserve"> </w:t>
      </w:r>
    </w:p>
    <w:p w14:paraId="77B52820">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r>
        <w:rPr>
          <w:color w:val="000000"/>
          <w:kern w:val="0"/>
        </w:rPr>
        <w:t xml:space="preserve"> </w:t>
      </w:r>
    </w:p>
    <w:p w14:paraId="55C0AF74">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r>
        <w:rPr>
          <w:color w:val="000000"/>
          <w:kern w:val="0"/>
        </w:rPr>
        <w:t xml:space="preserve"> </w:t>
      </w:r>
    </w:p>
    <w:p w14:paraId="72A30253">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r>
        <w:rPr>
          <w:color w:val="000000"/>
          <w:kern w:val="0"/>
        </w:rPr>
        <w:t xml:space="preserve"> </w:t>
      </w:r>
    </w:p>
    <w:p w14:paraId="1540434B">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r>
        <w:rPr>
          <w:color w:val="000000"/>
          <w:kern w:val="0"/>
        </w:rPr>
        <w:t xml:space="preserve"> </w:t>
      </w:r>
    </w:p>
    <w:p w14:paraId="5059B495">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r>
        <w:rPr>
          <w:color w:val="000000"/>
          <w:kern w:val="0"/>
        </w:rPr>
        <w:t xml:space="preserve"> </w:t>
      </w:r>
    </w:p>
    <w:p w14:paraId="0A90A55E">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r>
        <w:rPr>
          <w:color w:val="000000"/>
          <w:kern w:val="0"/>
        </w:rPr>
        <w:t xml:space="preserve"> </w:t>
      </w:r>
    </w:p>
    <w:p w14:paraId="37C8BEC9">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2C53C6A4">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4C2D6CA0">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4EE7C9F5">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28D24031">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1E0ECF91">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1B35B2D2">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00E482B5">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7E2C8AB0">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5DC0640B">
      <w:pPr>
        <w:keepNext w:val="0"/>
        <w:keepLines w:val="0"/>
        <w:pageBreakBefore w:val="0"/>
        <w:widowControl w:val="0"/>
        <w:kinsoku/>
        <w:wordWrap/>
        <w:overflowPunct/>
        <w:topLinePunct w:val="0"/>
        <w:bidi w:val="0"/>
        <w:snapToGrid/>
        <w:spacing w:line="240" w:lineRule="auto"/>
        <w:ind w:firstLine="640" w:firstLineChars="200"/>
        <w:jc w:val="left"/>
        <w:textAlignment w:val="auto"/>
        <w:rPr>
          <w:color w:val="000000"/>
          <w:kern w:val="0"/>
        </w:rPr>
      </w:pPr>
    </w:p>
    <w:p w14:paraId="6E9CD081">
      <w:pPr>
        <w:pStyle w:val="11"/>
        <w:keepNext w:val="0"/>
        <w:keepLines w:val="0"/>
        <w:pageBreakBefore w:val="0"/>
        <w:widowControl w:val="0"/>
        <w:kinsoku/>
        <w:wordWrap/>
        <w:overflowPunct/>
        <w:topLinePunct w:val="0"/>
        <w:bidi w:val="0"/>
        <w:snapToGrid/>
        <w:spacing w:line="240" w:lineRule="auto"/>
        <w:jc w:val="center"/>
        <w:textAlignment w:val="auto"/>
        <w:rPr>
          <w:rFonts w:hint="eastAsia" w:ascii="华文中宋" w:hAnsi="华文中宋" w:eastAsia="华文中宋" w:cs="华文中宋"/>
          <w:b/>
          <w:bCs/>
          <w:sz w:val="72"/>
          <w:szCs w:val="72"/>
        </w:rPr>
      </w:pPr>
      <w:r>
        <w:rPr>
          <w:rFonts w:hint="eastAsia" w:ascii="华文中宋" w:hAnsi="华文中宋" w:eastAsia="华文中宋" w:cs="华文中宋"/>
          <w:b/>
          <w:bCs/>
          <w:sz w:val="72"/>
          <w:szCs w:val="72"/>
        </w:rPr>
        <w:t>第五部分</w:t>
      </w:r>
    </w:p>
    <w:p w14:paraId="1A19BD13">
      <w:pPr>
        <w:keepNext w:val="0"/>
        <w:keepLines w:val="0"/>
        <w:pageBreakBefore w:val="0"/>
        <w:widowControl w:val="0"/>
        <w:kinsoku/>
        <w:wordWrap/>
        <w:overflowPunct/>
        <w:topLinePunct w:val="0"/>
        <w:bidi w:val="0"/>
        <w:snapToGrid/>
        <w:spacing w:line="240" w:lineRule="auto"/>
        <w:jc w:val="center"/>
        <w:textAlignment w:val="auto"/>
        <w:rPr>
          <w:rFonts w:ascii="方正仿宋简体" w:hAnsi="方正仿宋简体"/>
          <w:b/>
          <w:bCs/>
          <w:color w:val="000000"/>
          <w:kern w:val="0"/>
          <w:sz w:val="70"/>
          <w:szCs w:val="70"/>
        </w:rPr>
      </w:pPr>
    </w:p>
    <w:p w14:paraId="49569D43">
      <w:pPr>
        <w:keepNext w:val="0"/>
        <w:keepLines w:val="0"/>
        <w:pageBreakBefore w:val="0"/>
        <w:widowControl w:val="0"/>
        <w:kinsoku/>
        <w:wordWrap/>
        <w:overflowPunct/>
        <w:topLinePunct w:val="0"/>
        <w:bidi w:val="0"/>
        <w:snapToGrid/>
        <w:spacing w:line="240" w:lineRule="auto"/>
        <w:jc w:val="center"/>
        <w:textAlignment w:val="auto"/>
        <w:rPr>
          <w:rFonts w:ascii="方正仿宋简体" w:hAnsi="方正仿宋简体"/>
          <w:b/>
          <w:bCs/>
          <w:color w:val="000000"/>
          <w:kern w:val="0"/>
          <w:sz w:val="70"/>
          <w:szCs w:val="70"/>
        </w:rPr>
      </w:pPr>
      <w:r>
        <w:rPr>
          <w:rFonts w:ascii="方正仿宋简体" w:hAnsi="方正仿宋简体"/>
          <w:b/>
          <w:bCs/>
          <w:color w:val="000000"/>
          <w:kern w:val="0"/>
          <w:sz w:val="70"/>
          <w:szCs w:val="70"/>
        </w:rPr>
        <w:t xml:space="preserve"> </w:t>
      </w:r>
    </w:p>
    <w:p w14:paraId="5855F856">
      <w:pPr>
        <w:keepNext w:val="0"/>
        <w:keepLines w:val="0"/>
        <w:pageBreakBefore w:val="0"/>
        <w:widowControl w:val="0"/>
        <w:kinsoku/>
        <w:wordWrap/>
        <w:overflowPunct/>
        <w:topLinePunct w:val="0"/>
        <w:bidi w:val="0"/>
        <w:snapToGrid/>
        <w:spacing w:line="240" w:lineRule="auto"/>
        <w:ind w:left="964" w:hanging="964" w:hangingChars="300"/>
        <w:jc w:val="left"/>
        <w:textAlignment w:val="auto"/>
        <w:rPr>
          <w:b/>
          <w:bCs/>
          <w:color w:val="000000"/>
          <w:kern w:val="0"/>
        </w:rPr>
      </w:pPr>
      <w:r>
        <w:rPr>
          <w:b/>
          <w:bCs/>
          <w:color w:val="000000"/>
          <w:kern w:val="0"/>
        </w:rPr>
        <w:t xml:space="preserve"> </w:t>
      </w:r>
      <w:r>
        <w:rPr>
          <w:rFonts w:hint="eastAsia"/>
          <w:b/>
          <w:bCs/>
          <w:color w:val="000000"/>
          <w:kern w:val="0"/>
          <w:lang w:val="en-US" w:eastAsia="zh-CN"/>
        </w:rPr>
        <w:t>附件：2019年度衡阳市人力资源和社会保障局部门整体支出绩效评价报告</w:t>
      </w:r>
      <w:r>
        <w:rPr>
          <w:b/>
          <w:bCs/>
          <w:color w:val="000000"/>
          <w:kern w:val="0"/>
        </w:rPr>
        <w:t xml:space="preserve"> </w:t>
      </w:r>
    </w:p>
    <w:p w14:paraId="3FFE6EBC">
      <w:pPr>
        <w:spacing w:line="560" w:lineRule="exact"/>
        <w:rPr>
          <w:b/>
          <w:bCs/>
          <w:color w:val="000000"/>
          <w:kern w:val="0"/>
        </w:rPr>
      </w:pPr>
    </w:p>
    <w:p w14:paraId="16B3FF48">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31370"/>
    <w:multiLevelType w:val="multilevel"/>
    <w:tmpl w:val="50C31370"/>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D4"/>
    <w:rsid w:val="00020A90"/>
    <w:rsid w:val="000A0B78"/>
    <w:rsid w:val="000E32AF"/>
    <w:rsid w:val="001F26B1"/>
    <w:rsid w:val="002E1626"/>
    <w:rsid w:val="00482B50"/>
    <w:rsid w:val="0050736D"/>
    <w:rsid w:val="00662750"/>
    <w:rsid w:val="006F2EDD"/>
    <w:rsid w:val="0075742E"/>
    <w:rsid w:val="00994785"/>
    <w:rsid w:val="00A41BFC"/>
    <w:rsid w:val="00AB28FB"/>
    <w:rsid w:val="00BC254B"/>
    <w:rsid w:val="00D90587"/>
    <w:rsid w:val="00E239D4"/>
    <w:rsid w:val="00E7688A"/>
    <w:rsid w:val="00F4343A"/>
    <w:rsid w:val="02C95347"/>
    <w:rsid w:val="058E5060"/>
    <w:rsid w:val="06396D58"/>
    <w:rsid w:val="07150929"/>
    <w:rsid w:val="0942281B"/>
    <w:rsid w:val="0C7821D2"/>
    <w:rsid w:val="0FDF62A3"/>
    <w:rsid w:val="103A0E07"/>
    <w:rsid w:val="13126A2A"/>
    <w:rsid w:val="17AE12DA"/>
    <w:rsid w:val="181D1DBC"/>
    <w:rsid w:val="1AC634E3"/>
    <w:rsid w:val="1D0D276E"/>
    <w:rsid w:val="1D2150F8"/>
    <w:rsid w:val="1EA86B52"/>
    <w:rsid w:val="20D41925"/>
    <w:rsid w:val="21DB6B2B"/>
    <w:rsid w:val="246C1CE5"/>
    <w:rsid w:val="26841E0E"/>
    <w:rsid w:val="27117305"/>
    <w:rsid w:val="30123A7C"/>
    <w:rsid w:val="336E45E3"/>
    <w:rsid w:val="338C576E"/>
    <w:rsid w:val="3EF072E2"/>
    <w:rsid w:val="4A715725"/>
    <w:rsid w:val="4B6024A2"/>
    <w:rsid w:val="4C014F5F"/>
    <w:rsid w:val="4D3E5200"/>
    <w:rsid w:val="4D587952"/>
    <w:rsid w:val="521E1734"/>
    <w:rsid w:val="536F5FFA"/>
    <w:rsid w:val="53AD5545"/>
    <w:rsid w:val="54633A34"/>
    <w:rsid w:val="570E1FF8"/>
    <w:rsid w:val="57130CC9"/>
    <w:rsid w:val="577374BA"/>
    <w:rsid w:val="5A83463C"/>
    <w:rsid w:val="5B2A08CB"/>
    <w:rsid w:val="5CA974FF"/>
    <w:rsid w:val="61414AD6"/>
    <w:rsid w:val="63F21931"/>
    <w:rsid w:val="682743CF"/>
    <w:rsid w:val="6B512E48"/>
    <w:rsid w:val="70961108"/>
    <w:rsid w:val="76FC20E1"/>
    <w:rsid w:val="79C663A7"/>
    <w:rsid w:val="7B0E254F"/>
    <w:rsid w:val="7B247AE2"/>
    <w:rsid w:val="7F62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snapToGrid w:val="0"/>
      <w:jc w:val="left"/>
    </w:pPr>
    <w:rPr>
      <w:sz w:val="18"/>
      <w:szCs w:val="18"/>
    </w:rPr>
  </w:style>
  <w:style w:type="paragraph" w:styleId="3">
    <w:name w:val="header"/>
    <w:basedOn w:val="1"/>
    <w:link w:val="9"/>
    <w:unhideWhenUsed/>
    <w:qFormat/>
    <w:uiPriority w:val="99"/>
    <w:pPr>
      <w:pBdr>
        <w:bottom w:val="single" w:color="auto" w:sz="6" w:space="1"/>
      </w:pBdr>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333333"/>
      <w:u w:val="none"/>
    </w:rPr>
  </w:style>
  <w:style w:type="character" w:styleId="8">
    <w:name w:val="Hyperlink"/>
    <w:basedOn w:val="6"/>
    <w:semiHidden/>
    <w:unhideWhenUsed/>
    <w:qFormat/>
    <w:uiPriority w:val="99"/>
    <w:rPr>
      <w:color w:val="333333"/>
      <w:u w:val="none"/>
    </w:rPr>
  </w:style>
  <w:style w:type="character" w:customStyle="1" w:styleId="9">
    <w:name w:val="页眉 Char"/>
    <w:basedOn w:val="6"/>
    <w:link w:val="3"/>
    <w:qFormat/>
    <w:uiPriority w:val="99"/>
    <w:rPr>
      <w:rFonts w:ascii="Times New Roman" w:hAnsi="Times New Roman" w:eastAsia="仿宋_GB2312" w:cs="Times New Roman"/>
      <w:sz w:val="18"/>
      <w:szCs w:val="18"/>
    </w:rPr>
  </w:style>
  <w:style w:type="character" w:customStyle="1" w:styleId="10">
    <w:name w:val="页脚 Char"/>
    <w:basedOn w:val="6"/>
    <w:link w:val="2"/>
    <w:qFormat/>
    <w:uiPriority w:val="99"/>
    <w:rPr>
      <w:rFonts w:ascii="Times New Roman" w:hAnsi="Times New Roman" w:eastAsia="仿宋_GB2312" w:cs="Times New Roman"/>
      <w:sz w:val="18"/>
      <w:szCs w:val="18"/>
    </w:rPr>
  </w:style>
  <w:style w:type="paragraph" w:customStyle="1" w:styleId="11">
    <w:name w:val="Default"/>
    <w:basedOn w:val="1"/>
    <w:qFormat/>
    <w:uiPriority w:val="0"/>
    <w:pPr>
      <w:autoSpaceDE w:val="0"/>
      <w:autoSpaceDN w:val="0"/>
      <w:adjustRightInd w:val="0"/>
      <w:jc w:val="left"/>
    </w:pPr>
    <w:rPr>
      <w:rFonts w:ascii="黑体" w:hAnsi="Calibri" w:eastAsia="黑体" w:cs="宋体"/>
      <w:color w:val="000000"/>
      <w:kern w:val="0"/>
      <w:sz w:val="24"/>
      <w:szCs w:val="24"/>
    </w:rPr>
  </w:style>
  <w:style w:type="paragraph" w:customStyle="1" w:styleId="12">
    <w:name w:val="List Paragraph"/>
    <w:basedOn w:val="1"/>
    <w:qFormat/>
    <w:uiPriority w:val="0"/>
    <w:pPr>
      <w:ind w:firstLine="420" w:firstLineChars="200"/>
    </w:pPr>
  </w:style>
  <w:style w:type="character" w:customStyle="1" w:styleId="13">
    <w:name w:val="10"/>
    <w:basedOn w:val="6"/>
    <w:qFormat/>
    <w:uiPriority w:val="0"/>
    <w:rPr>
      <w:rFonts w:hint="default" w:ascii="Times New Roman" w:hAnsi="Times New Roman" w:cs="Times New Roman"/>
    </w:rPr>
  </w:style>
  <w:style w:type="character" w:customStyle="1" w:styleId="14">
    <w:name w:val="15"/>
    <w:basedOn w:val="6"/>
    <w:qFormat/>
    <w:uiPriority w:val="0"/>
    <w:rPr>
      <w:rFonts w:hint="default" w:ascii="Times New Roman" w:hAnsi="Times New Roman" w:cs="Times New Roman"/>
    </w:rPr>
  </w:style>
  <w:style w:type="character" w:customStyle="1" w:styleId="15">
    <w:name w:val="dropselect_box"/>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40</Pages>
  <Words>2584</Words>
  <Characters>2713</Characters>
  <Lines>130</Lines>
  <Paragraphs>36</Paragraphs>
  <TotalTime>9</TotalTime>
  <ScaleCrop>false</ScaleCrop>
  <LinksUpToDate>false</LinksUpToDate>
  <CharactersWithSpaces>2823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2020-09-22T09:51:00Z</dcterms:created>
  <dc:creator>个人用户</dc:creator>
  <cp:lastModifiedBy>好好先生</cp:lastModifiedBy>
  <cp:lastPrinted>2020-09-24T01:28:00Z</cp:lastPrinted>
  <dcterms:modified xsi:type="dcterms:W3CDTF">2024-12-10T07:16:33Z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E76333378CD2400E907F8998331AFAAF_13</vt:lpwstr>
  </property>
</Properties>
</file>