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B57DC">
      <w:pPr>
        <w:spacing w:line="560" w:lineRule="exact"/>
        <w:rPr>
          <w:rFonts w:hint="eastAsia" w:ascii="黑体" w:eastAsia="黑体"/>
          <w:sz w:val="32"/>
          <w:szCs w:val="32"/>
        </w:rPr>
      </w:pPr>
    </w:p>
    <w:p w14:paraId="50B9B7A4">
      <w:pPr>
        <w:spacing w:line="560" w:lineRule="exact"/>
        <w:rPr>
          <w:rFonts w:ascii="黑体" w:eastAsia="黑体"/>
          <w:sz w:val="32"/>
          <w:szCs w:val="32"/>
        </w:rPr>
      </w:pPr>
      <w:r>
        <w:rPr>
          <w:rFonts w:hint="eastAsia" w:ascii="黑体" w:eastAsia="黑体"/>
          <w:sz w:val="32"/>
          <w:szCs w:val="32"/>
        </w:rPr>
        <w:t>附件2</w:t>
      </w:r>
    </w:p>
    <w:p w14:paraId="463730F9">
      <w:pPr>
        <w:spacing w:line="560" w:lineRule="exact"/>
        <w:rPr>
          <w:rFonts w:ascii="黑体" w:eastAsia="黑体"/>
          <w:sz w:val="32"/>
          <w:szCs w:val="32"/>
        </w:rPr>
      </w:pPr>
    </w:p>
    <w:p w14:paraId="13FC1A76">
      <w:pPr>
        <w:spacing w:line="560" w:lineRule="exact"/>
        <w:rPr>
          <w:rFonts w:ascii="黑体" w:eastAsia="黑体"/>
          <w:sz w:val="32"/>
          <w:szCs w:val="32"/>
        </w:rPr>
      </w:pPr>
    </w:p>
    <w:p w14:paraId="57B3DF7F">
      <w:pPr>
        <w:spacing w:line="560" w:lineRule="exact"/>
        <w:jc w:val="center"/>
        <w:rPr>
          <w:rFonts w:ascii="方正小标宋_GBK" w:eastAsia="方正小标宋_GBK"/>
          <w:sz w:val="48"/>
          <w:szCs w:val="48"/>
        </w:rPr>
      </w:pPr>
      <w:r>
        <w:rPr>
          <w:rFonts w:hint="eastAsia" w:ascii="方正小标宋_GBK" w:eastAsia="方正小标宋_GBK"/>
          <w:sz w:val="48"/>
          <w:szCs w:val="48"/>
        </w:rPr>
        <w:t>2018年度部门整体支出绩效自评报告</w:t>
      </w:r>
    </w:p>
    <w:p w14:paraId="052CAF2C">
      <w:pPr>
        <w:spacing w:line="560" w:lineRule="exact"/>
        <w:jc w:val="center"/>
        <w:rPr>
          <w:rFonts w:ascii="楷体_GB2312" w:eastAsia="楷体_GB2312"/>
          <w:b/>
          <w:sz w:val="32"/>
          <w:szCs w:val="32"/>
        </w:rPr>
      </w:pPr>
      <w:r>
        <w:rPr>
          <w:rFonts w:hint="eastAsia" w:ascii="楷体_GB2312" w:eastAsia="楷体_GB2312"/>
          <w:b/>
          <w:sz w:val="32"/>
          <w:szCs w:val="32"/>
        </w:rPr>
        <w:t>（参考格式）</w:t>
      </w:r>
      <w:bookmarkStart w:id="0" w:name="_GoBack"/>
      <w:bookmarkEnd w:id="0"/>
    </w:p>
    <w:p w14:paraId="4421C4C2">
      <w:pPr>
        <w:spacing w:line="560" w:lineRule="exact"/>
        <w:jc w:val="center"/>
        <w:rPr>
          <w:rFonts w:ascii="黑体" w:eastAsia="黑体"/>
          <w:sz w:val="32"/>
          <w:szCs w:val="32"/>
        </w:rPr>
      </w:pPr>
    </w:p>
    <w:p w14:paraId="387A47A4">
      <w:pPr>
        <w:spacing w:line="560" w:lineRule="exact"/>
        <w:jc w:val="center"/>
        <w:rPr>
          <w:rFonts w:ascii="黑体" w:eastAsia="黑体"/>
          <w:sz w:val="32"/>
          <w:szCs w:val="32"/>
        </w:rPr>
      </w:pPr>
    </w:p>
    <w:p w14:paraId="74DD5B99">
      <w:pPr>
        <w:spacing w:line="560" w:lineRule="exact"/>
        <w:jc w:val="center"/>
        <w:rPr>
          <w:rFonts w:ascii="黑体" w:eastAsia="黑体"/>
          <w:sz w:val="32"/>
          <w:szCs w:val="32"/>
        </w:rPr>
      </w:pPr>
    </w:p>
    <w:p w14:paraId="18E7AC04">
      <w:pPr>
        <w:spacing w:line="560" w:lineRule="exact"/>
        <w:jc w:val="center"/>
        <w:rPr>
          <w:rFonts w:ascii="黑体" w:eastAsia="黑体"/>
          <w:sz w:val="32"/>
          <w:szCs w:val="32"/>
        </w:rPr>
      </w:pPr>
    </w:p>
    <w:p w14:paraId="51E92DBF">
      <w:pPr>
        <w:spacing w:line="560" w:lineRule="exact"/>
        <w:jc w:val="center"/>
        <w:rPr>
          <w:rFonts w:ascii="黑体" w:eastAsia="黑体"/>
          <w:sz w:val="32"/>
          <w:szCs w:val="32"/>
        </w:rPr>
      </w:pPr>
    </w:p>
    <w:p w14:paraId="0D04EAF2">
      <w:pPr>
        <w:spacing w:line="560" w:lineRule="exact"/>
        <w:jc w:val="center"/>
        <w:rPr>
          <w:rFonts w:ascii="黑体" w:eastAsia="黑体"/>
          <w:sz w:val="32"/>
          <w:szCs w:val="32"/>
        </w:rPr>
      </w:pPr>
    </w:p>
    <w:p w14:paraId="6A31B392">
      <w:pPr>
        <w:spacing w:line="560" w:lineRule="exact"/>
        <w:jc w:val="center"/>
        <w:rPr>
          <w:rFonts w:ascii="黑体" w:eastAsia="黑体"/>
          <w:sz w:val="32"/>
          <w:szCs w:val="32"/>
        </w:rPr>
      </w:pPr>
    </w:p>
    <w:p w14:paraId="5ABC5203">
      <w:pPr>
        <w:spacing w:line="560" w:lineRule="exact"/>
        <w:rPr>
          <w:rFonts w:ascii="黑体" w:eastAsia="黑体"/>
          <w:sz w:val="32"/>
          <w:szCs w:val="32"/>
        </w:rPr>
      </w:pPr>
    </w:p>
    <w:p w14:paraId="0666239A">
      <w:pPr>
        <w:spacing w:line="560" w:lineRule="exact"/>
        <w:jc w:val="center"/>
        <w:rPr>
          <w:rFonts w:hint="eastAsia" w:ascii="黑体" w:eastAsia="黑体"/>
          <w:sz w:val="32"/>
          <w:szCs w:val="32"/>
        </w:rPr>
      </w:pPr>
    </w:p>
    <w:p w14:paraId="1D096775">
      <w:pPr>
        <w:spacing w:line="560" w:lineRule="exact"/>
        <w:jc w:val="center"/>
        <w:rPr>
          <w:rFonts w:hint="eastAsia" w:ascii="黑体" w:eastAsia="黑体"/>
          <w:sz w:val="32"/>
          <w:szCs w:val="32"/>
        </w:rPr>
      </w:pPr>
    </w:p>
    <w:p w14:paraId="3E3D646D">
      <w:pPr>
        <w:spacing w:line="560" w:lineRule="exact"/>
        <w:jc w:val="center"/>
        <w:rPr>
          <w:rFonts w:ascii="黑体" w:eastAsia="黑体"/>
          <w:sz w:val="32"/>
          <w:szCs w:val="32"/>
        </w:rPr>
      </w:pPr>
    </w:p>
    <w:p w14:paraId="63288DFF">
      <w:pPr>
        <w:spacing w:line="560" w:lineRule="exact"/>
        <w:jc w:val="center"/>
        <w:rPr>
          <w:rFonts w:hint="eastAsia" w:ascii="黑体" w:eastAsia="黑体"/>
          <w:sz w:val="44"/>
          <w:szCs w:val="44"/>
        </w:rPr>
      </w:pPr>
      <w:r>
        <w:rPr>
          <w:rFonts w:hint="eastAsia" w:ascii="黑体" w:eastAsia="黑体"/>
          <w:sz w:val="44"/>
          <w:szCs w:val="44"/>
        </w:rPr>
        <w:t>中国民主同盟衡阳市委员会</w:t>
      </w:r>
    </w:p>
    <w:p w14:paraId="7331451C">
      <w:pPr>
        <w:spacing w:line="560" w:lineRule="exact"/>
        <w:jc w:val="center"/>
        <w:rPr>
          <w:rFonts w:ascii="黑体" w:eastAsia="黑体"/>
          <w:sz w:val="44"/>
          <w:szCs w:val="44"/>
        </w:rPr>
      </w:pPr>
      <w:r>
        <w:rPr>
          <w:rFonts w:hint="eastAsia" w:ascii="黑体" w:eastAsia="黑体"/>
          <w:sz w:val="44"/>
          <w:szCs w:val="44"/>
        </w:rPr>
        <w:t>（盖章）</w:t>
      </w:r>
    </w:p>
    <w:p w14:paraId="67C91F66">
      <w:pPr>
        <w:spacing w:line="560" w:lineRule="exact"/>
        <w:jc w:val="center"/>
        <w:rPr>
          <w:rFonts w:ascii="黑体" w:eastAsia="黑体"/>
          <w:sz w:val="32"/>
          <w:szCs w:val="32"/>
        </w:rPr>
      </w:pPr>
    </w:p>
    <w:p w14:paraId="2341687E">
      <w:pPr>
        <w:spacing w:line="560" w:lineRule="exact"/>
        <w:jc w:val="center"/>
        <w:rPr>
          <w:rFonts w:ascii="黑体" w:eastAsia="黑体"/>
          <w:sz w:val="32"/>
          <w:szCs w:val="32"/>
        </w:rPr>
      </w:pPr>
    </w:p>
    <w:p w14:paraId="1CEC18DF">
      <w:pPr>
        <w:spacing w:line="560" w:lineRule="exact"/>
        <w:jc w:val="center"/>
        <w:rPr>
          <w:rFonts w:hint="eastAsia" w:ascii="黑体" w:eastAsia="黑体"/>
          <w:sz w:val="32"/>
          <w:szCs w:val="32"/>
        </w:rPr>
      </w:pPr>
    </w:p>
    <w:p w14:paraId="35E5A9BA">
      <w:pPr>
        <w:spacing w:line="560" w:lineRule="exact"/>
        <w:jc w:val="center"/>
        <w:rPr>
          <w:rFonts w:hint="eastAsia" w:ascii="黑体" w:eastAsia="黑体"/>
          <w:sz w:val="32"/>
          <w:szCs w:val="32"/>
        </w:rPr>
      </w:pPr>
    </w:p>
    <w:p w14:paraId="7D83F795">
      <w:pPr>
        <w:spacing w:line="560" w:lineRule="exact"/>
        <w:jc w:val="center"/>
        <w:rPr>
          <w:rFonts w:ascii="黑体" w:eastAsia="黑体"/>
          <w:sz w:val="32"/>
          <w:szCs w:val="32"/>
        </w:rPr>
      </w:pPr>
    </w:p>
    <w:p w14:paraId="2DCBA524">
      <w:pPr>
        <w:pStyle w:val="18"/>
        <w:widowControl/>
        <w:spacing w:line="560" w:lineRule="exact"/>
        <w:ind w:firstLine="640"/>
        <w:rPr>
          <w:rFonts w:hint="eastAsia" w:ascii="黑体" w:hAnsi="黑体" w:eastAsia="黑体"/>
          <w:sz w:val="32"/>
          <w:szCs w:val="32"/>
        </w:rPr>
      </w:pPr>
      <w:r>
        <w:rPr>
          <w:rFonts w:hint="eastAsia" w:ascii="黑体" w:hAnsi="黑体" w:eastAsia="黑体"/>
          <w:sz w:val="32"/>
          <w:szCs w:val="32"/>
        </w:rPr>
        <w:t>一、单位基本情况</w:t>
      </w:r>
    </w:p>
    <w:p w14:paraId="16394EFB">
      <w:pPr>
        <w:pStyle w:val="20"/>
        <w:spacing w:line="560" w:lineRule="exact"/>
        <w:ind w:firstLine="645"/>
        <w:rPr>
          <w:rFonts w:ascii="仿宋_GB2312" w:hAnsi="宋体" w:eastAsia="仿宋_GB2312"/>
          <w:sz w:val="32"/>
          <w:szCs w:val="32"/>
        </w:rPr>
      </w:pPr>
      <w:r>
        <w:rPr>
          <w:rFonts w:hint="eastAsia" w:ascii="仿宋_GB2312" w:hAnsi="宋体" w:eastAsia="仿宋_GB2312"/>
          <w:sz w:val="32"/>
          <w:szCs w:val="32"/>
        </w:rPr>
        <w:t>我单位有共有编制8名，其中行政编制7名，机关后勤服务全额拨款事业编制1名，2018年年末实有在职人数6人，退休人数7人。</w:t>
      </w:r>
      <w:r>
        <w:rPr>
          <w:rFonts w:hint="eastAsia" w:ascii="仿宋_GB2312" w:hAnsi="仿宋" w:eastAsia="仿宋_GB2312"/>
          <w:sz w:val="32"/>
          <w:szCs w:val="32"/>
        </w:rPr>
        <w:t>内设办公室（社会服务科）、组织科、宣传（参政议政）3个科室。</w:t>
      </w:r>
    </w:p>
    <w:p w14:paraId="72353B73">
      <w:pPr>
        <w:pStyle w:val="18"/>
        <w:widowControl/>
        <w:spacing w:line="560" w:lineRule="exact"/>
        <w:ind w:firstLine="640"/>
        <w:rPr>
          <w:rFonts w:ascii="黑体" w:hAnsi="黑体" w:eastAsia="黑体"/>
          <w:sz w:val="32"/>
          <w:szCs w:val="32"/>
        </w:rPr>
      </w:pPr>
      <w:r>
        <w:rPr>
          <w:rFonts w:hint="eastAsia" w:ascii="仿宋_GB2312" w:hAnsi="宋体" w:eastAsia="仿宋_GB2312"/>
          <w:sz w:val="32"/>
          <w:szCs w:val="32"/>
        </w:rPr>
        <w:t>我单位主要职能是参政议政、民主监督和参与中国共产党领导的政治协商。</w:t>
      </w:r>
    </w:p>
    <w:p w14:paraId="6A8A3C5C">
      <w:pPr>
        <w:pStyle w:val="18"/>
        <w:widowControl/>
        <w:spacing w:line="560" w:lineRule="exact"/>
        <w:ind w:firstLine="640"/>
        <w:rPr>
          <w:rFonts w:hint="eastAsia" w:ascii="黑体" w:hAnsi="黑体" w:eastAsia="黑体"/>
          <w:sz w:val="32"/>
          <w:szCs w:val="32"/>
        </w:rPr>
      </w:pPr>
      <w:r>
        <w:rPr>
          <w:rFonts w:hint="eastAsia" w:ascii="黑体" w:hAnsi="黑体" w:eastAsia="黑体"/>
          <w:sz w:val="32"/>
          <w:szCs w:val="32"/>
        </w:rPr>
        <w:t>二、基本支出情况</w:t>
      </w:r>
    </w:p>
    <w:p w14:paraId="172F8D82">
      <w:pPr>
        <w:pStyle w:val="20"/>
        <w:spacing w:line="560" w:lineRule="exact"/>
        <w:ind w:firstLine="645"/>
        <w:rPr>
          <w:rFonts w:ascii="仿宋_GB2312" w:hAnsi="宋体" w:eastAsia="仿宋_GB2312"/>
          <w:sz w:val="32"/>
          <w:szCs w:val="32"/>
        </w:rPr>
      </w:pPr>
      <w:r>
        <w:rPr>
          <w:rFonts w:hint="eastAsia" w:ascii="仿宋_GB2312" w:hAnsi="宋体" w:eastAsia="仿宋_GB2312"/>
          <w:sz w:val="32"/>
          <w:szCs w:val="32"/>
        </w:rPr>
        <w:t>基本支出系保障我单位正常运转、完成日常工作任务而发生的各项支出，包括用于在职人员基本工资、津贴补贴等人员经费以及公务接待费、公务用车运行维护费、电费等日常公用经费。2018年基本支出103.22万元，较上年减少35.23万元，降低25.53%，主要是由于严格遵守中央八项规定，例行节约降低行政运行成本，压缩一般性支出。</w:t>
      </w:r>
    </w:p>
    <w:p w14:paraId="671ECAB6">
      <w:pPr>
        <w:pStyle w:val="20"/>
        <w:spacing w:line="560" w:lineRule="exact"/>
        <w:ind w:firstLine="645"/>
        <w:rPr>
          <w:rFonts w:ascii="仿宋_GB2312" w:hAnsi="宋体" w:eastAsia="仿宋_GB2312"/>
          <w:sz w:val="32"/>
          <w:szCs w:val="32"/>
        </w:rPr>
      </w:pPr>
      <w:r>
        <w:rPr>
          <w:rFonts w:hint="eastAsia" w:ascii="仿宋_GB2312" w:hAnsi="宋体" w:eastAsia="仿宋_GB2312"/>
          <w:sz w:val="32"/>
          <w:szCs w:val="32"/>
        </w:rPr>
        <w:t>工资福利支出81.93万元，占基本支出的79</w:t>
      </w:r>
      <w:r>
        <w:rPr>
          <w:rFonts w:ascii="仿宋_GB2312" w:hAnsi="宋体" w:eastAsia="仿宋_GB2312"/>
          <w:sz w:val="32"/>
          <w:szCs w:val="32"/>
        </w:rPr>
        <w:t>%</w:t>
      </w:r>
      <w:r>
        <w:rPr>
          <w:rFonts w:hint="eastAsia" w:ascii="仿宋_GB2312" w:hAnsi="宋体" w:eastAsia="仿宋_GB2312"/>
          <w:sz w:val="32"/>
          <w:szCs w:val="32"/>
        </w:rPr>
        <w:t>。</w:t>
      </w:r>
    </w:p>
    <w:p w14:paraId="35B5218A">
      <w:pPr>
        <w:pStyle w:val="20"/>
        <w:spacing w:line="560" w:lineRule="exact"/>
        <w:ind w:firstLine="645"/>
        <w:rPr>
          <w:rFonts w:ascii="仿宋_GB2312" w:hAnsi="宋体" w:eastAsia="仿宋_GB2312"/>
          <w:sz w:val="32"/>
          <w:szCs w:val="32"/>
        </w:rPr>
      </w:pPr>
      <w:r>
        <w:rPr>
          <w:rFonts w:hint="eastAsia" w:ascii="仿宋_GB2312" w:hAnsi="宋体" w:eastAsia="仿宋_GB2312"/>
          <w:sz w:val="32"/>
          <w:szCs w:val="32"/>
        </w:rPr>
        <w:t>商品和服务支出10.77万元，占基本支出的10.44</w:t>
      </w:r>
      <w:r>
        <w:rPr>
          <w:rFonts w:ascii="仿宋_GB2312" w:hAnsi="宋体"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 </w:t>
      </w:r>
    </w:p>
    <w:p w14:paraId="57B44DF6">
      <w:pPr>
        <w:pStyle w:val="20"/>
        <w:spacing w:line="560" w:lineRule="exact"/>
        <w:ind w:firstLine="645"/>
        <w:rPr>
          <w:rFonts w:ascii="仿宋_GB2312" w:hAnsi="宋体" w:eastAsia="仿宋_GB2312"/>
          <w:sz w:val="32"/>
          <w:szCs w:val="32"/>
        </w:rPr>
      </w:pPr>
      <w:r>
        <w:rPr>
          <w:rFonts w:hint="eastAsia" w:ascii="仿宋_GB2312" w:hAnsi="宋体" w:eastAsia="仿宋_GB2312"/>
          <w:sz w:val="32"/>
          <w:szCs w:val="32"/>
        </w:rPr>
        <w:t>对个人和家庭补助支出10.50万元，占基本支出的10.18</w:t>
      </w:r>
      <w:r>
        <w:rPr>
          <w:rFonts w:ascii="仿宋_GB2312" w:hAnsi="宋体" w:eastAsia="仿宋_GB2312"/>
          <w:sz w:val="32"/>
          <w:szCs w:val="32"/>
        </w:rPr>
        <w:t>%</w:t>
      </w:r>
      <w:r>
        <w:rPr>
          <w:rFonts w:hint="eastAsia" w:ascii="仿宋_GB2312" w:hAnsi="宋体" w:eastAsia="仿宋_GB2312"/>
          <w:sz w:val="32"/>
          <w:szCs w:val="32"/>
        </w:rPr>
        <w:t>。</w:t>
      </w:r>
    </w:p>
    <w:p w14:paraId="42438E2F">
      <w:pPr>
        <w:pStyle w:val="18"/>
        <w:widowControl/>
        <w:spacing w:line="560" w:lineRule="exact"/>
        <w:ind w:firstLine="640"/>
        <w:rPr>
          <w:rFonts w:ascii="黑体" w:hAnsi="黑体" w:eastAsia="黑体"/>
          <w:sz w:val="32"/>
          <w:szCs w:val="32"/>
        </w:rPr>
      </w:pPr>
      <w:r>
        <w:rPr>
          <w:rFonts w:hint="eastAsia" w:ascii="黑体" w:hAnsi="黑体" w:eastAsia="黑体"/>
          <w:sz w:val="32"/>
          <w:szCs w:val="32"/>
        </w:rPr>
        <w:t>三、项目支出情况</w:t>
      </w:r>
    </w:p>
    <w:p w14:paraId="64682C27">
      <w:pPr>
        <w:widowControl/>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（一）2018年度市级专项资金支出情况。</w:t>
      </w:r>
    </w:p>
    <w:p w14:paraId="18F294C1">
      <w:pPr>
        <w:widowControl/>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我单位无市级专项资金。</w:t>
      </w:r>
    </w:p>
    <w:p w14:paraId="69924F7B">
      <w:pPr>
        <w:widowControl/>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（二）除市级专项资金以外的其他项目支出情况。</w:t>
      </w:r>
    </w:p>
    <w:p w14:paraId="29F651F2">
      <w:pPr>
        <w:widowControl/>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2018年度我单位项目支出</w:t>
      </w:r>
      <w:r>
        <w:rPr>
          <w:rFonts w:ascii="仿宋_GB2312" w:hAnsi="黑体" w:eastAsia="仿宋_GB2312"/>
          <w:sz w:val="32"/>
          <w:szCs w:val="32"/>
        </w:rPr>
        <w:t>93</w:t>
      </w:r>
      <w:r>
        <w:rPr>
          <w:rFonts w:hint="eastAsia" w:ascii="仿宋_GB2312" w:hAnsi="黑体" w:eastAsia="仿宋_GB2312"/>
          <w:sz w:val="32"/>
          <w:szCs w:val="32"/>
        </w:rPr>
        <w:t>.</w:t>
      </w:r>
      <w:r>
        <w:rPr>
          <w:rFonts w:ascii="仿宋_GB2312" w:hAnsi="黑体" w:eastAsia="仿宋_GB2312"/>
          <w:sz w:val="32"/>
          <w:szCs w:val="32"/>
        </w:rPr>
        <w:t>3</w:t>
      </w:r>
      <w:r>
        <w:rPr>
          <w:rFonts w:hint="eastAsia" w:ascii="仿宋_GB2312" w:hAnsi="黑体" w:eastAsia="仿宋_GB2312"/>
          <w:sz w:val="32"/>
          <w:szCs w:val="32"/>
        </w:rPr>
        <w:t>6万元，较上年增加68.89万元，增长281%，主要是因为支付衡阳市民主党派和工商联办公所在的统战大楼修缮款68万元。</w:t>
      </w:r>
    </w:p>
    <w:p w14:paraId="10D7F437">
      <w:pPr>
        <w:widowControl/>
        <w:spacing w:line="560" w:lineRule="exact"/>
        <w:ind w:firstLine="645"/>
        <w:rPr>
          <w:rFonts w:ascii="黑体" w:hAnsi="黑体" w:eastAsia="黑体"/>
          <w:sz w:val="32"/>
          <w:szCs w:val="32"/>
        </w:rPr>
      </w:pPr>
      <w:r>
        <w:rPr>
          <w:rFonts w:ascii="黑体" w:hAnsi="黑体" w:eastAsia="黑体"/>
          <w:sz w:val="32"/>
          <w:szCs w:val="32"/>
        </w:rPr>
        <w:t>四、部门</w:t>
      </w:r>
      <w:r>
        <w:rPr>
          <w:rFonts w:hint="eastAsia" w:ascii="黑体" w:hAnsi="黑体" w:eastAsia="黑体"/>
          <w:sz w:val="32"/>
          <w:szCs w:val="32"/>
        </w:rPr>
        <w:t>整体支出绩效情况</w:t>
      </w:r>
    </w:p>
    <w:p w14:paraId="4262F791">
      <w:pPr>
        <w:shd w:val="clear" w:color="auto" w:fill="FFFFFF"/>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对照衡财绩〔</w:t>
      </w:r>
      <w:r>
        <w:rPr>
          <w:rFonts w:ascii="仿宋_GB2312" w:hAnsi="黑体" w:eastAsia="仿宋_GB2312"/>
          <w:sz w:val="32"/>
          <w:szCs w:val="32"/>
        </w:rPr>
        <w:t>201</w:t>
      </w:r>
      <w:r>
        <w:rPr>
          <w:rFonts w:hint="eastAsia" w:ascii="仿宋_GB2312" w:hAnsi="黑体" w:eastAsia="仿宋_GB2312"/>
          <w:sz w:val="32"/>
          <w:szCs w:val="32"/>
        </w:rPr>
        <w:t>9〕122号文件规定的部门整体支出的考核指标，我单位从预算编制、预算配置、预算执行和管理等方面对2018年部门整体支出绩效开展了评价，具体情况如下：</w:t>
      </w:r>
      <w:r>
        <w:rPr>
          <w:rFonts w:ascii="仿宋_GB2312" w:hAnsi="黑体" w:eastAsia="仿宋_GB2312"/>
          <w:sz w:val="32"/>
          <w:szCs w:val="32"/>
        </w:rPr>
        <w:t> </w:t>
      </w:r>
    </w:p>
    <w:p w14:paraId="3B649BF6">
      <w:pPr>
        <w:shd w:val="clear" w:color="auto" w:fill="FFFFFF"/>
        <w:adjustRightInd w:val="0"/>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（一）预算配置指标</w:t>
      </w:r>
      <w:r>
        <w:rPr>
          <w:rFonts w:ascii="仿宋_GB2312" w:hAnsi="黑体" w:eastAsia="仿宋_GB2312"/>
          <w:b/>
          <w:bCs/>
          <w:sz w:val="32"/>
          <w:szCs w:val="32"/>
        </w:rPr>
        <w:t> </w:t>
      </w:r>
    </w:p>
    <w:p w14:paraId="49B2EE38">
      <w:pPr>
        <w:shd w:val="clear" w:color="auto" w:fill="FFFFFF"/>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编制数8人，在职人员6人，在编制控制范围内，在职人员控制率为75</w:t>
      </w:r>
      <w:r>
        <w:rPr>
          <w:rFonts w:ascii="仿宋_GB2312" w:hAnsi="黑体" w:eastAsia="仿宋_GB2312"/>
          <w:sz w:val="32"/>
          <w:szCs w:val="32"/>
        </w:rPr>
        <w:t>%</w:t>
      </w:r>
      <w:r>
        <w:rPr>
          <w:rFonts w:hint="eastAsia" w:ascii="仿宋_GB2312" w:hAnsi="黑体" w:eastAsia="仿宋_GB2312"/>
          <w:sz w:val="32"/>
          <w:szCs w:val="32"/>
        </w:rPr>
        <w:t>。</w:t>
      </w:r>
      <w:r>
        <w:rPr>
          <w:rFonts w:ascii="仿宋_GB2312" w:hAnsi="黑体" w:eastAsia="仿宋_GB2312"/>
          <w:sz w:val="32"/>
          <w:szCs w:val="32"/>
        </w:rPr>
        <w:t> </w:t>
      </w:r>
    </w:p>
    <w:p w14:paraId="0C6DC635">
      <w:pPr>
        <w:shd w:val="clear" w:color="auto" w:fill="FFFFFF"/>
        <w:adjustRightInd w:val="0"/>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（二）预算执行指标</w:t>
      </w:r>
      <w:r>
        <w:rPr>
          <w:rFonts w:ascii="仿宋_GB2312" w:hAnsi="黑体" w:eastAsia="仿宋_GB2312"/>
          <w:b/>
          <w:bCs/>
          <w:sz w:val="32"/>
          <w:szCs w:val="32"/>
        </w:rPr>
        <w:t> </w:t>
      </w:r>
    </w:p>
    <w:p w14:paraId="32D2F7E0">
      <w:pPr>
        <w:shd w:val="clear" w:color="auto" w:fill="FFFFFF"/>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2018年年末结余为28.19万元，预算完成率88.12</w:t>
      </w:r>
      <w:r>
        <w:rPr>
          <w:rFonts w:ascii="仿宋_GB2312" w:hAnsi="黑体" w:eastAsia="仿宋_GB2312"/>
          <w:sz w:val="32"/>
          <w:szCs w:val="32"/>
        </w:rPr>
        <w:t>%</w:t>
      </w:r>
      <w:r>
        <w:rPr>
          <w:rFonts w:hint="eastAsia" w:ascii="仿宋_GB2312" w:hAnsi="黑体" w:eastAsia="仿宋_GB2312"/>
          <w:sz w:val="32"/>
          <w:szCs w:val="32"/>
        </w:rPr>
        <w:t>。</w:t>
      </w:r>
    </w:p>
    <w:p w14:paraId="67DAC917">
      <w:pPr>
        <w:shd w:val="clear" w:color="auto" w:fill="FFFFFF"/>
        <w:adjustRightInd w:val="0"/>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（三）预算管理指标</w:t>
      </w:r>
      <w:r>
        <w:rPr>
          <w:rFonts w:ascii="仿宋_GB2312" w:hAnsi="黑体" w:eastAsia="仿宋_GB2312"/>
          <w:b/>
          <w:bCs/>
          <w:sz w:val="32"/>
          <w:szCs w:val="32"/>
        </w:rPr>
        <w:t> </w:t>
      </w:r>
    </w:p>
    <w:p w14:paraId="612753F7">
      <w:pPr>
        <w:shd w:val="clear" w:color="auto" w:fill="FFFFFF"/>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2018年我单位预算管理各项指标控制较好。公用经费年初预算安排16.94万元，实际支出总额10.78万元，控制率63.64</w:t>
      </w:r>
      <w:r>
        <w:rPr>
          <w:rFonts w:ascii="仿宋_GB2312" w:hAnsi="黑体" w:eastAsia="仿宋_GB2312"/>
          <w:sz w:val="32"/>
          <w:szCs w:val="32"/>
        </w:rPr>
        <w:t>%</w:t>
      </w:r>
      <w:r>
        <w:rPr>
          <w:rFonts w:hint="eastAsia" w:ascii="仿宋_GB2312" w:hAnsi="黑体" w:eastAsia="仿宋_GB2312"/>
          <w:sz w:val="32"/>
          <w:szCs w:val="32"/>
        </w:rPr>
        <w:t>；</w:t>
      </w:r>
      <w:r>
        <w:rPr>
          <w:rFonts w:ascii="仿宋_GB2312" w:hAnsi="黑体" w:eastAsia="仿宋_GB2312"/>
          <w:sz w:val="32"/>
          <w:szCs w:val="32"/>
        </w:rPr>
        <w:t>“</w:t>
      </w:r>
      <w:r>
        <w:rPr>
          <w:rFonts w:hint="eastAsia" w:ascii="仿宋_GB2312" w:hAnsi="黑体" w:eastAsia="仿宋_GB2312"/>
          <w:sz w:val="32"/>
          <w:szCs w:val="32"/>
        </w:rPr>
        <w:t>三公</w:t>
      </w:r>
      <w:r>
        <w:rPr>
          <w:rFonts w:ascii="仿宋_GB2312" w:hAnsi="黑体" w:eastAsia="仿宋_GB2312"/>
          <w:sz w:val="32"/>
          <w:szCs w:val="32"/>
        </w:rPr>
        <w:t>”</w:t>
      </w:r>
      <w:r>
        <w:rPr>
          <w:rFonts w:hint="eastAsia" w:ascii="仿宋_GB2312" w:hAnsi="黑体" w:eastAsia="仿宋_GB2312"/>
          <w:sz w:val="32"/>
          <w:szCs w:val="32"/>
        </w:rPr>
        <w:t>经费年初预算安排5万元，实际支出数为2.82万元，控制率56.4</w:t>
      </w:r>
      <w:r>
        <w:rPr>
          <w:rFonts w:ascii="仿宋_GB2312" w:hAnsi="黑体" w:eastAsia="仿宋_GB2312"/>
          <w:sz w:val="32"/>
          <w:szCs w:val="32"/>
        </w:rPr>
        <w:t>%</w:t>
      </w:r>
      <w:r>
        <w:rPr>
          <w:rFonts w:hint="eastAsia" w:ascii="仿宋_GB2312" w:hAnsi="黑体" w:eastAsia="仿宋_GB2312"/>
          <w:sz w:val="32"/>
          <w:szCs w:val="32"/>
        </w:rPr>
        <w:t>。</w:t>
      </w:r>
    </w:p>
    <w:p w14:paraId="584BCBF2">
      <w:pPr>
        <w:shd w:val="clear" w:color="auto" w:fill="FFFFFF"/>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 2018年我单位主要从以下几个方面加强预算管理：</w:t>
      </w:r>
      <w:r>
        <w:rPr>
          <w:rFonts w:ascii="仿宋_GB2312" w:hAnsi="黑体" w:eastAsia="仿宋_GB2312"/>
          <w:sz w:val="32"/>
          <w:szCs w:val="32"/>
        </w:rPr>
        <w:t> </w:t>
      </w:r>
    </w:p>
    <w:p w14:paraId="7073CB38">
      <w:pPr>
        <w:pStyle w:val="7"/>
        <w:shd w:val="clear" w:color="auto" w:fill="FFFFFF"/>
        <w:spacing w:beforeAutospacing="0" w:afterAutospacing="0" w:line="560" w:lineRule="exact"/>
        <w:jc w:val="both"/>
        <w:rPr>
          <w:rFonts w:ascii="仿宋_GB2312" w:hAnsi="黑体" w:eastAsia="仿宋_GB2312"/>
          <w:kern w:val="2"/>
          <w:sz w:val="32"/>
          <w:szCs w:val="32"/>
        </w:rPr>
      </w:pPr>
      <w:r>
        <w:rPr>
          <w:rFonts w:ascii="仿宋_GB2312" w:hAnsi="黑体" w:eastAsia="仿宋_GB2312"/>
          <w:kern w:val="2"/>
          <w:sz w:val="32"/>
          <w:szCs w:val="32"/>
        </w:rPr>
        <w:t>　　</w:t>
      </w:r>
      <w:r>
        <w:rPr>
          <w:rFonts w:hint="eastAsia" w:ascii="仿宋_GB2312" w:hAnsi="黑体" w:eastAsia="仿宋_GB2312"/>
          <w:kern w:val="2"/>
          <w:sz w:val="32"/>
          <w:szCs w:val="32"/>
        </w:rPr>
        <w:t>1</w:t>
      </w:r>
      <w:r>
        <w:rPr>
          <w:rFonts w:ascii="仿宋_GB2312" w:hAnsi="黑体" w:eastAsia="仿宋_GB2312"/>
          <w:kern w:val="2"/>
          <w:sz w:val="32"/>
          <w:szCs w:val="32"/>
        </w:rPr>
        <w:t>、严控公用经费特别是“三公”经费支出。加强差旅费、会议费、接待费等公用经费的预算管理和报销审核，严格控制经费开支。</w:t>
      </w:r>
    </w:p>
    <w:p w14:paraId="29DEE265">
      <w:pPr>
        <w:pStyle w:val="7"/>
        <w:shd w:val="clear" w:color="auto" w:fill="FFFFFF"/>
        <w:spacing w:beforeAutospacing="0" w:afterAutospacing="0" w:line="560" w:lineRule="exact"/>
        <w:jc w:val="both"/>
        <w:rPr>
          <w:rFonts w:ascii="仿宋_GB2312" w:hAnsi="黑体" w:eastAsia="仿宋_GB2312"/>
          <w:kern w:val="2"/>
          <w:sz w:val="32"/>
          <w:szCs w:val="32"/>
        </w:rPr>
      </w:pPr>
      <w:r>
        <w:rPr>
          <w:rFonts w:ascii="仿宋_GB2312" w:hAnsi="黑体" w:eastAsia="仿宋_GB2312"/>
          <w:kern w:val="2"/>
          <w:sz w:val="32"/>
          <w:szCs w:val="32"/>
        </w:rPr>
        <w:t>　　</w:t>
      </w:r>
      <w:r>
        <w:rPr>
          <w:rFonts w:hint="eastAsia" w:ascii="仿宋_GB2312" w:hAnsi="黑体" w:eastAsia="仿宋_GB2312"/>
          <w:kern w:val="2"/>
          <w:sz w:val="32"/>
          <w:szCs w:val="32"/>
        </w:rPr>
        <w:t>2</w:t>
      </w:r>
      <w:r>
        <w:rPr>
          <w:rFonts w:ascii="仿宋_GB2312" w:hAnsi="黑体" w:eastAsia="仿宋_GB2312"/>
          <w:kern w:val="2"/>
          <w:sz w:val="32"/>
          <w:szCs w:val="32"/>
        </w:rPr>
        <w:t>、精心组织编制预决算。科学合理地编制</w:t>
      </w:r>
      <w:r>
        <w:rPr>
          <w:rFonts w:hint="eastAsia" w:ascii="仿宋_GB2312" w:hAnsi="黑体" w:eastAsia="仿宋_GB2312"/>
          <w:kern w:val="2"/>
          <w:sz w:val="32"/>
          <w:szCs w:val="32"/>
        </w:rPr>
        <w:t>2019</w:t>
      </w:r>
      <w:r>
        <w:rPr>
          <w:rFonts w:ascii="仿宋_GB2312" w:hAnsi="黑体" w:eastAsia="仿宋_GB2312"/>
          <w:kern w:val="2"/>
          <w:sz w:val="32"/>
          <w:szCs w:val="32"/>
        </w:rPr>
        <w:t>年机关部门预算，保障</w:t>
      </w:r>
      <w:r>
        <w:rPr>
          <w:rFonts w:hint="eastAsia" w:ascii="仿宋_GB2312" w:hAnsi="黑体" w:eastAsia="仿宋_GB2312"/>
          <w:kern w:val="2"/>
          <w:sz w:val="32"/>
          <w:szCs w:val="32"/>
        </w:rPr>
        <w:t>工作顺利开展</w:t>
      </w:r>
      <w:r>
        <w:rPr>
          <w:rFonts w:ascii="仿宋_GB2312" w:hAnsi="黑体" w:eastAsia="仿宋_GB2312"/>
          <w:kern w:val="2"/>
          <w:sz w:val="32"/>
          <w:szCs w:val="32"/>
        </w:rPr>
        <w:t>。编足基本支出，确保重点工作和重点项目，压缩一般性支出</w:t>
      </w:r>
      <w:r>
        <w:rPr>
          <w:rFonts w:hint="eastAsia" w:ascii="仿宋_GB2312" w:hAnsi="黑体" w:eastAsia="仿宋_GB2312"/>
          <w:kern w:val="2"/>
          <w:sz w:val="32"/>
          <w:szCs w:val="32"/>
        </w:rPr>
        <w:t>5%以上</w:t>
      </w:r>
      <w:r>
        <w:rPr>
          <w:rFonts w:ascii="仿宋_GB2312" w:hAnsi="黑体" w:eastAsia="仿宋_GB2312"/>
          <w:kern w:val="2"/>
          <w:sz w:val="32"/>
          <w:szCs w:val="32"/>
        </w:rPr>
        <w:t>。</w:t>
      </w:r>
    </w:p>
    <w:p w14:paraId="0A0560D2">
      <w:pPr>
        <w:pStyle w:val="7"/>
        <w:shd w:val="clear" w:color="auto" w:fill="FFFFFF"/>
        <w:spacing w:beforeAutospacing="0" w:afterAutospacing="0" w:line="560" w:lineRule="exact"/>
        <w:ind w:firstLine="488"/>
        <w:jc w:val="both"/>
        <w:rPr>
          <w:rFonts w:hint="eastAsia" w:ascii="仿宋_GB2312" w:hAnsi="黑体" w:eastAsia="仿宋_GB2312"/>
          <w:kern w:val="2"/>
          <w:sz w:val="32"/>
          <w:szCs w:val="32"/>
        </w:rPr>
      </w:pPr>
      <w:r>
        <w:rPr>
          <w:rFonts w:hint="eastAsia" w:ascii="仿宋_GB2312" w:hAnsi="黑体" w:eastAsia="仿宋_GB2312"/>
          <w:kern w:val="2"/>
          <w:sz w:val="32"/>
          <w:szCs w:val="32"/>
        </w:rPr>
        <w:t>3</w:t>
      </w:r>
      <w:r>
        <w:rPr>
          <w:rFonts w:ascii="仿宋_GB2312" w:hAnsi="黑体" w:eastAsia="仿宋_GB2312"/>
          <w:kern w:val="2"/>
          <w:sz w:val="32"/>
          <w:szCs w:val="32"/>
        </w:rPr>
        <w:t>、依法公开部门预决算。按照统一要求和布署，在门户网站公开了</w:t>
      </w:r>
      <w:r>
        <w:rPr>
          <w:rFonts w:hint="eastAsia" w:ascii="仿宋_GB2312" w:hAnsi="黑体" w:eastAsia="仿宋_GB2312"/>
          <w:kern w:val="2"/>
          <w:sz w:val="32"/>
          <w:szCs w:val="32"/>
        </w:rPr>
        <w:t>2019</w:t>
      </w:r>
      <w:r>
        <w:rPr>
          <w:rFonts w:ascii="仿宋_GB2312" w:hAnsi="黑体" w:eastAsia="仿宋_GB2312"/>
          <w:kern w:val="2"/>
          <w:sz w:val="32"/>
          <w:szCs w:val="32"/>
        </w:rPr>
        <w:t>年部门预算和“三公”经费预算和 201</w:t>
      </w:r>
      <w:r>
        <w:rPr>
          <w:rFonts w:hint="eastAsia" w:ascii="仿宋_GB2312" w:hAnsi="黑体" w:eastAsia="仿宋_GB2312"/>
          <w:kern w:val="2"/>
          <w:sz w:val="32"/>
          <w:szCs w:val="32"/>
        </w:rPr>
        <w:t>8</w:t>
      </w:r>
      <w:r>
        <w:rPr>
          <w:rFonts w:ascii="仿宋_GB2312" w:hAnsi="黑体" w:eastAsia="仿宋_GB2312"/>
          <w:kern w:val="2"/>
          <w:sz w:val="32"/>
          <w:szCs w:val="32"/>
        </w:rPr>
        <w:t>年度部门决算和“三公”经费决算。</w:t>
      </w:r>
    </w:p>
    <w:p w14:paraId="745293C6">
      <w:pPr>
        <w:shd w:val="clear" w:color="auto" w:fill="FFFFFF"/>
        <w:adjustRightInd w:val="0"/>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（四）履职效益指标</w:t>
      </w:r>
      <w:r>
        <w:rPr>
          <w:rFonts w:ascii="仿宋_GB2312" w:hAnsi="黑体" w:eastAsia="仿宋_GB2312"/>
          <w:b/>
          <w:bCs/>
          <w:sz w:val="32"/>
          <w:szCs w:val="32"/>
        </w:rPr>
        <w:t> </w:t>
      </w:r>
    </w:p>
    <w:p w14:paraId="7A24E9AD">
      <w:pPr>
        <w:pStyle w:val="18"/>
        <w:spacing w:line="560" w:lineRule="exact"/>
        <w:ind w:firstLine="64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2018年，民盟衡阳市委在民盟湖南省委和中共衡阳市委的领导下，认真学习贯彻习近平新时代中国特色社会主义思想和中共十九大精神，以纪念衡阳民盟成立70周年为契机，紧紧围绕全市工作大局，积极履行参政党职能，为</w:t>
      </w:r>
      <w:r>
        <w:rPr>
          <w:rFonts w:hint="eastAsia" w:ascii="仿宋_GB2312" w:hAnsi="仿宋" w:eastAsia="仿宋_GB2312"/>
          <w:sz w:val="32"/>
          <w:szCs w:val="32"/>
        </w:rPr>
        <w:t>助力衡阳建设成为名副其实的省域副中心城市和最美地级市作出了积极贡献</w:t>
      </w:r>
      <w:r>
        <w:rPr>
          <w:rFonts w:hint="eastAsia" w:ascii="仿宋_GB2312" w:hAnsi="仿宋" w:eastAsia="仿宋_GB2312" w:cs="仿宋"/>
          <w:sz w:val="32"/>
          <w:szCs w:val="32"/>
        </w:rPr>
        <w:t>。</w:t>
      </w:r>
    </w:p>
    <w:p w14:paraId="6EE8BF1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组织发展态势良好。</w:t>
      </w:r>
      <w:r>
        <w:rPr>
          <w:rFonts w:hint="eastAsia" w:ascii="仿宋_GB2312" w:hAnsi="仿宋_GB2312" w:eastAsia="仿宋_GB2312" w:cs="仿宋_GB2312"/>
          <w:color w:val="000000" w:themeColor="text1"/>
          <w:sz w:val="32"/>
          <w:szCs w:val="32"/>
        </w:rPr>
        <w:t>2018年盟市委严格按照《纪要》规定的程序和比例要求发展成员：共发展新盟员40人，</w:t>
      </w:r>
      <w:r>
        <w:rPr>
          <w:rFonts w:hint="eastAsia" w:ascii="仿宋_GB2312" w:hAnsi="仿宋_GB2312" w:eastAsia="仿宋_GB2312" w:cs="仿宋_GB2312"/>
          <w:sz w:val="32"/>
          <w:szCs w:val="32"/>
        </w:rPr>
        <w:t>平均年龄为</w:t>
      </w:r>
      <w:r>
        <w:rPr>
          <w:rFonts w:ascii="仿宋_GB2312" w:hAnsi="仿宋_GB2312" w:eastAsia="仿宋_GB2312" w:cs="仿宋_GB2312"/>
          <w:sz w:val="32"/>
          <w:szCs w:val="32"/>
        </w:rPr>
        <w:t>37.8</w:t>
      </w:r>
      <w:r>
        <w:rPr>
          <w:rFonts w:hint="eastAsia" w:ascii="仿宋_GB2312" w:hAnsi="仿宋_GB2312" w:eastAsia="仿宋_GB2312" w:cs="仿宋_GB2312"/>
          <w:sz w:val="32"/>
          <w:szCs w:val="32"/>
        </w:rPr>
        <w:t>岁。新盟员界别分布为：高教界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人，基础教育界</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人，医药卫生界</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 xml:space="preserve">人，文化艺术界7人，新社会阶层   </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人，其他4人；职称结构为：中级职称11人，副高职称3人。</w:t>
      </w:r>
    </w:p>
    <w:p w14:paraId="2D2FABF2">
      <w:pPr>
        <w:pStyle w:val="18"/>
        <w:spacing w:line="560" w:lineRule="exact"/>
        <w:ind w:firstLine="643"/>
        <w:rPr>
          <w:rFonts w:ascii="仿宋_GB2312" w:hAnsi="仿宋" w:eastAsia="仿宋_GB2312"/>
          <w:color w:val="000000"/>
          <w:sz w:val="32"/>
          <w:szCs w:val="32"/>
          <w:shd w:val="clear" w:color="auto" w:fill="FFFFFF"/>
        </w:rPr>
      </w:pPr>
      <w:r>
        <w:rPr>
          <w:rFonts w:hint="eastAsia" w:ascii="仿宋_GB2312" w:hAnsi="仿宋" w:eastAsia="仿宋_GB2312"/>
          <w:b/>
          <w:color w:val="000000" w:themeColor="text1"/>
          <w:sz w:val="32"/>
          <w:szCs w:val="32"/>
        </w:rPr>
        <w:t>积极提交提案建言。</w:t>
      </w:r>
      <w:r>
        <w:rPr>
          <w:rFonts w:hint="eastAsia" w:ascii="仿宋_GB2312" w:hAnsi="仿宋" w:eastAsia="仿宋_GB2312"/>
          <w:color w:val="000000"/>
          <w:sz w:val="32"/>
          <w:szCs w:val="32"/>
          <w:shd w:val="clear" w:color="auto" w:fill="FFFFFF"/>
        </w:rPr>
        <w:t>2018年1月在衡阳“两会”上27位人大代表、政协委员积极履职，向大会提交了提案27件，其中集体提案《关于我市推进本土龙头企业品牌建设的建议》获得了市委书记郑建新的批示；集体提案《关于规范我市页岩砖行业发展的建议》得到了市委、市政府的高度重视，全市扎实开展全面取缔违反法律法规及不符合国家产业政策的砖企整治活动，取得了良好的办理效果。该提案被评为市政协十二届二次会议优秀提案。</w:t>
      </w:r>
    </w:p>
    <w:p w14:paraId="237C4DD0">
      <w:pPr>
        <w:pStyle w:val="18"/>
        <w:spacing w:line="560" w:lineRule="exact"/>
        <w:ind w:firstLine="643"/>
        <w:rPr>
          <w:rFonts w:hint="eastAsia" w:ascii="仿宋_GB2312" w:hAnsi="仿宋" w:eastAsia="仿宋_GB2312"/>
          <w:bCs/>
          <w:color w:val="000000"/>
          <w:sz w:val="32"/>
          <w:szCs w:val="32"/>
          <w:shd w:val="clear" w:color="auto" w:fill="FFFFFF"/>
        </w:rPr>
      </w:pPr>
      <w:r>
        <w:rPr>
          <w:rFonts w:hint="eastAsia" w:ascii="仿宋_GB2312" w:hAnsi="仿宋" w:eastAsia="仿宋_GB2312"/>
          <w:b/>
          <w:color w:val="000000" w:themeColor="text1"/>
          <w:sz w:val="32"/>
          <w:szCs w:val="32"/>
        </w:rPr>
        <w:t>认真做好信息反映工作。</w:t>
      </w:r>
      <w:r>
        <w:rPr>
          <w:rFonts w:hint="eastAsia" w:ascii="仿宋_GB2312" w:hAnsi="仿宋_GB2312" w:eastAsia="仿宋_GB2312" w:cs="仿宋_GB2312"/>
          <w:bCs/>
          <w:color w:val="000000" w:themeColor="text1"/>
          <w:sz w:val="32"/>
          <w:szCs w:val="32"/>
        </w:rPr>
        <w:t>全年</w:t>
      </w:r>
      <w:r>
        <w:rPr>
          <w:rFonts w:hint="eastAsia" w:ascii="仿宋_GB2312" w:hAnsi="仿宋" w:eastAsia="仿宋_GB2312" w:cs="仿宋"/>
          <w:color w:val="000000" w:themeColor="text1"/>
          <w:sz w:val="32"/>
          <w:szCs w:val="32"/>
        </w:rPr>
        <w:t>共报送</w:t>
      </w:r>
      <w:r>
        <w:rPr>
          <w:rFonts w:hint="eastAsia" w:ascii="仿宋_GB2312" w:hAnsi="仿宋" w:eastAsia="仿宋_GB2312"/>
          <w:color w:val="000000"/>
          <w:sz w:val="32"/>
          <w:szCs w:val="32"/>
          <w:shd w:val="clear" w:color="auto" w:fill="FFFFFF"/>
        </w:rPr>
        <w:t>统战信息</w:t>
      </w:r>
      <w:r>
        <w:rPr>
          <w:rFonts w:hint="eastAsia" w:ascii="仿宋_GB2312" w:hAnsi="仿宋" w:eastAsia="仿宋_GB2312"/>
          <w:sz w:val="32"/>
          <w:szCs w:val="32"/>
          <w:shd w:val="clear" w:color="auto" w:fill="FFFFFF"/>
        </w:rPr>
        <w:t>95</w:t>
      </w:r>
      <w:r>
        <w:rPr>
          <w:rFonts w:hint="eastAsia" w:ascii="仿宋_GB2312" w:hAnsi="仿宋" w:eastAsia="仿宋_GB2312"/>
          <w:color w:val="000000"/>
          <w:sz w:val="32"/>
          <w:szCs w:val="32"/>
          <w:shd w:val="clear" w:color="auto" w:fill="FFFFFF"/>
        </w:rPr>
        <w:t>篇，其中报送的信息《马路上的隐形杀手——“药驾”亟待引起重视》获中央统战部《零讯》采用。全年</w:t>
      </w:r>
      <w:r>
        <w:rPr>
          <w:rFonts w:hint="eastAsia" w:ascii="仿宋_GB2312" w:hAnsi="仿宋" w:eastAsia="仿宋_GB2312"/>
          <w:color w:val="000000" w:themeColor="text1"/>
          <w:sz w:val="32"/>
          <w:szCs w:val="32"/>
        </w:rPr>
        <w:t>向市政协、盟省委报送社情民意信息111篇，其中《贫困地区人口出生缺陷高发应引起重视》被全国政协采用，《建议个税改革要放权和调税制》等4篇信息被盟中央采用，《建议规范网络视频APP中按地区分类的表述》等3篇信息被省政协采用，有88篇信息被盟省委采用，20篇被市政协采用。</w:t>
      </w:r>
      <w:r>
        <w:rPr>
          <w:rFonts w:hint="eastAsia" w:ascii="仿宋_GB2312" w:eastAsia="仿宋_GB2312"/>
          <w:sz w:val="32"/>
          <w:szCs w:val="32"/>
        </w:rPr>
        <w:t>我单位被市政协评为“2018年社情民意信息工作先进单位”、</w:t>
      </w:r>
      <w:r>
        <w:rPr>
          <w:rFonts w:hint="eastAsia" w:ascii="仿宋_GB2312" w:hAnsi="仿宋" w:eastAsia="仿宋_GB2312"/>
          <w:color w:val="000000"/>
          <w:sz w:val="32"/>
          <w:szCs w:val="32"/>
          <w:shd w:val="clear" w:color="auto" w:fill="FFFFFF"/>
        </w:rPr>
        <w:t>被盟省委</w:t>
      </w:r>
      <w:r>
        <w:rPr>
          <w:rFonts w:hint="eastAsia" w:ascii="仿宋_GB2312" w:hAnsi="仿宋" w:eastAsia="仿宋_GB2312"/>
          <w:bCs/>
          <w:color w:val="000000"/>
          <w:sz w:val="32"/>
          <w:szCs w:val="32"/>
          <w:shd w:val="clear" w:color="auto" w:fill="FFFFFF"/>
        </w:rPr>
        <w:t>评为“参政议政先进集体”、“反映社情民意信息工作先进集体二等奖”。</w:t>
      </w:r>
    </w:p>
    <w:p w14:paraId="13CBE563">
      <w:pPr>
        <w:pStyle w:val="18"/>
        <w:spacing w:line="560" w:lineRule="exact"/>
        <w:ind w:firstLine="643"/>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大力开展课题调研。一是</w:t>
      </w:r>
      <w:r>
        <w:rPr>
          <w:rFonts w:hint="eastAsia" w:ascii="仿宋_GB2312" w:hAnsi="仿宋" w:eastAsia="仿宋_GB2312"/>
          <w:color w:val="000000" w:themeColor="text1"/>
          <w:sz w:val="32"/>
          <w:szCs w:val="32"/>
        </w:rPr>
        <w:t>围绕市委、市政府的工作部署，面向全市盟员开展调研课题招标，完成调研课题8项。在课题调研中提升了盟员的参政议政能力。</w:t>
      </w:r>
      <w:r>
        <w:rPr>
          <w:rFonts w:hint="eastAsia" w:ascii="仿宋_GB2312" w:hAnsi="仿宋" w:eastAsia="仿宋_GB2312"/>
          <w:b/>
          <w:color w:val="000000" w:themeColor="text1"/>
          <w:sz w:val="32"/>
          <w:szCs w:val="32"/>
        </w:rPr>
        <w:t>二是</w:t>
      </w:r>
      <w:r>
        <w:rPr>
          <w:rFonts w:hint="eastAsia" w:ascii="仿宋_GB2312" w:hAnsi="仿宋" w:eastAsia="仿宋_GB2312"/>
          <w:color w:val="000000" w:themeColor="text1"/>
          <w:sz w:val="32"/>
          <w:szCs w:val="32"/>
        </w:rPr>
        <w:t>组织民盟界别的委员们开展了《发挥高校优势，服务地方经济》的专题调研，形成了题为</w:t>
      </w:r>
      <w:r>
        <w:rPr>
          <w:rFonts w:hint="eastAsia" w:ascii="仿宋_GB2312" w:hAnsi="仿宋" w:eastAsia="仿宋_GB2312"/>
          <w:color w:val="000000"/>
          <w:sz w:val="32"/>
          <w:szCs w:val="32"/>
          <w:shd w:val="clear" w:color="auto" w:fill="FFFFFF"/>
        </w:rPr>
        <w:t>《发挥高校聚集优势，打造我市经济发展新高地》的</w:t>
      </w:r>
      <w:r>
        <w:rPr>
          <w:rFonts w:hint="eastAsia" w:ascii="仿宋_GB2312" w:hAnsi="仿宋" w:eastAsia="仿宋_GB2312"/>
          <w:color w:val="000000" w:themeColor="text1"/>
          <w:sz w:val="32"/>
          <w:szCs w:val="32"/>
        </w:rPr>
        <w:t>调研报告。该调研报告获市政协</w:t>
      </w:r>
      <w:r>
        <w:rPr>
          <w:rFonts w:hint="eastAsia" w:ascii="仿宋_GB2312" w:hAnsi="仿宋" w:eastAsia="仿宋_GB2312"/>
          <w:color w:val="000000"/>
          <w:sz w:val="32"/>
          <w:szCs w:val="32"/>
          <w:shd w:val="clear" w:color="auto" w:fill="FFFFFF"/>
        </w:rPr>
        <w:t>“优秀调研报告、建议案优胜奖”，并作为市政协第十二届三次大会协商发言，获中共市委副书记、市人民政府市长邓群策批示。</w:t>
      </w:r>
    </w:p>
    <w:p w14:paraId="3EBE9261">
      <w:pPr>
        <w:pStyle w:val="18"/>
        <w:spacing w:line="560" w:lineRule="exact"/>
        <w:ind w:firstLine="643"/>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有序开展民主监督工作。</w:t>
      </w:r>
      <w:r>
        <w:rPr>
          <w:rFonts w:hint="eastAsia" w:ascii="仿宋_GB2312" w:hAnsi="仿宋" w:eastAsia="仿宋_GB2312"/>
          <w:color w:val="000000" w:themeColor="text1"/>
          <w:sz w:val="32"/>
          <w:szCs w:val="32"/>
        </w:rPr>
        <w:t>按照民盟省委及市委统战部开展民主监督活动的要求，对“蒸水河水污染治理情况”及“常宁市脱贫攻坚工作开展情况”进行了专项民主监督。监督小组详细深入地开展调研监督活动，形成了质量较高的民主监督报告，其中《常宁市脱贫攻坚民主监督报告》以“直通车”形式报送至中共衡阳市委，获市委副书记、统战部部长廖健批示。11月，根据中共衡阳市委的要求，盟市委组织盟员81人次走访常宁市14个乡镇，进村入户了解脱贫攻坚政策落实情况，共反映问题和建议78条，得到了常宁市的采纳办理。</w:t>
      </w:r>
    </w:p>
    <w:p w14:paraId="1ED3ED2E">
      <w:pPr>
        <w:pStyle w:val="18"/>
        <w:spacing w:line="560" w:lineRule="exact"/>
        <w:ind w:firstLine="643"/>
        <w:rPr>
          <w:rFonts w:hint="eastAsia" w:ascii="仿宋_GB2312" w:hAnsi="仿宋" w:eastAsia="仿宋_GB2312"/>
          <w:color w:val="000000"/>
          <w:sz w:val="32"/>
          <w:szCs w:val="32"/>
          <w:shd w:val="clear" w:color="auto" w:fill="FFFFFF"/>
        </w:rPr>
      </w:pPr>
      <w:r>
        <w:rPr>
          <w:rFonts w:hint="eastAsia" w:ascii="仿宋_GB2312" w:hAnsi="仿宋" w:eastAsia="仿宋_GB2312"/>
          <w:b/>
          <w:bCs/>
          <w:color w:val="000000"/>
          <w:sz w:val="32"/>
          <w:szCs w:val="32"/>
          <w:shd w:val="clear" w:color="auto" w:fill="FFFFFF"/>
        </w:rPr>
        <w:t>充分发挥民盟界别委员工作室作用。</w:t>
      </w:r>
      <w:r>
        <w:rPr>
          <w:rFonts w:hint="eastAsia" w:ascii="仿宋_GB2312" w:eastAsia="仿宋_GB2312"/>
          <w:color w:val="000000"/>
          <w:sz w:val="32"/>
          <w:szCs w:val="32"/>
          <w:shd w:val="clear" w:color="auto" w:fill="FFFFFF"/>
        </w:rPr>
        <w:t>6月7日，在向阳社区成立了政协民盟界别委员工作室，委员工作室委员收集、整理群众意见、建议</w:t>
      </w:r>
      <w:r>
        <w:rPr>
          <w:rFonts w:hint="eastAsia" w:ascii="仿宋_GB2312" w:eastAsia="仿宋_GB2312"/>
          <w:color w:val="000000" w:themeColor="text1"/>
          <w:sz w:val="32"/>
          <w:szCs w:val="32"/>
          <w:shd w:val="clear" w:color="auto" w:fill="FFFFFF"/>
        </w:rPr>
        <w:t>17条，向群众讲解政策、提供咨询2</w:t>
      </w:r>
      <w:r>
        <w:rPr>
          <w:rFonts w:hint="eastAsia" w:ascii="仿宋_GB2312" w:eastAsia="仿宋_GB2312"/>
          <w:color w:val="000000"/>
          <w:sz w:val="32"/>
          <w:szCs w:val="32"/>
          <w:shd w:val="clear" w:color="auto" w:fill="FFFFFF"/>
        </w:rPr>
        <w:t>场次，较好地发挥了“连接群众、连接领导、连接政策、连接民生”的作用。</w:t>
      </w:r>
      <w:r>
        <w:rPr>
          <w:rFonts w:hint="eastAsia" w:ascii="仿宋_GB2312" w:eastAsia="仿宋_GB2312"/>
          <w:sz w:val="32"/>
          <w:szCs w:val="32"/>
        </w:rPr>
        <w:t>省政协主席李微微10月赴衡阳调研政协工作时，专门走访了该委员工作室，并对委员工作室成立以来开展的各项为民服务活动给予了高度肯定和赞扬</w:t>
      </w:r>
      <w:r>
        <w:rPr>
          <w:rFonts w:hint="eastAsia" w:ascii="仿宋_GB2312" w:hAnsi="仿宋" w:eastAsia="仿宋_GB2312"/>
          <w:color w:val="000000"/>
          <w:sz w:val="32"/>
          <w:szCs w:val="32"/>
          <w:shd w:val="clear" w:color="auto" w:fill="FFFFFF"/>
        </w:rPr>
        <w:t>。在市政协十二届三次会议上，民盟界别委员工作室被评为“优秀委员工作室”。</w:t>
      </w:r>
      <w:r>
        <w:rPr>
          <w:rFonts w:hint="eastAsia" w:ascii="仿宋_GB2312" w:eastAsia="仿宋_GB2312"/>
          <w:sz w:val="32"/>
          <w:szCs w:val="32"/>
        </w:rPr>
        <w:t xml:space="preserve"> </w:t>
      </w:r>
    </w:p>
    <w:p w14:paraId="769BA28C">
      <w:pPr>
        <w:pStyle w:val="18"/>
        <w:spacing w:line="560" w:lineRule="exact"/>
        <w:ind w:firstLine="643"/>
        <w:rPr>
          <w:rFonts w:ascii="仿宋_GB2312" w:hAnsi="仿宋" w:eastAsia="仿宋_GB2312"/>
          <w:color w:val="000000"/>
          <w:sz w:val="32"/>
          <w:szCs w:val="32"/>
          <w:shd w:val="clear" w:color="auto" w:fill="FFFFFF"/>
        </w:rPr>
      </w:pPr>
      <w:r>
        <w:rPr>
          <w:rFonts w:hint="eastAsia" w:ascii="仿宋_GB2312" w:hAnsi="仿宋" w:eastAsia="仿宋_GB2312"/>
          <w:b/>
          <w:color w:val="000000"/>
          <w:sz w:val="32"/>
          <w:szCs w:val="32"/>
          <w:shd w:val="clear" w:color="auto" w:fill="FFFFFF"/>
        </w:rPr>
        <w:t>持续关爱事实孤儿。</w:t>
      </w:r>
      <w:r>
        <w:rPr>
          <w:rFonts w:hint="eastAsia" w:ascii="仿宋_GB2312" w:hAnsi="仿宋" w:eastAsia="仿宋_GB2312"/>
          <w:color w:val="000000"/>
          <w:sz w:val="32"/>
          <w:szCs w:val="32"/>
          <w:shd w:val="clear" w:color="auto" w:fill="FFFFFF"/>
        </w:rPr>
        <w:t>持续开展关爱事实孤儿的社会服务活动——“海星行动”,今年组织了盟员69人次前往常宁市胜桥镇为40位“事实孤儿”送上生活补助款，并了解其生活及心理近况，2018年总计发放96000元。9月7日-9月9日，全市盟员及盟市委机关干部为2019年海星行动募捐9.7万元，“海星行动”还获得了2017年衡阳市年度慈善项目奖。</w:t>
      </w:r>
    </w:p>
    <w:p w14:paraId="03581CEE">
      <w:pPr>
        <w:pStyle w:val="18"/>
        <w:spacing w:line="560" w:lineRule="exact"/>
        <w:ind w:firstLine="321" w:firstLineChars="100"/>
        <w:rPr>
          <w:rFonts w:ascii="仿宋_GB2312" w:hAnsi="仿宋" w:eastAsia="仿宋_GB2312"/>
          <w:color w:val="000000"/>
          <w:sz w:val="32"/>
          <w:szCs w:val="32"/>
          <w:shd w:val="clear" w:color="auto" w:fill="FFFFFF"/>
        </w:rPr>
      </w:pPr>
      <w:r>
        <w:rPr>
          <w:rFonts w:hint="eastAsia" w:ascii="仿宋_GB2312" w:hAnsi="仿宋" w:eastAsia="仿宋_GB2312"/>
          <w:b/>
          <w:color w:val="000000"/>
          <w:sz w:val="32"/>
          <w:szCs w:val="32"/>
          <w:shd w:val="clear" w:color="auto" w:fill="FFFFFF"/>
        </w:rPr>
        <w:t xml:space="preserve">  </w:t>
      </w:r>
    </w:p>
    <w:p w14:paraId="6DC86EA5">
      <w:pPr>
        <w:pStyle w:val="18"/>
        <w:spacing w:line="560" w:lineRule="exact"/>
        <w:ind w:firstLine="643"/>
        <w:rPr>
          <w:rFonts w:ascii="仿宋_GB2312" w:hAnsi="仿宋_GB2312" w:eastAsia="仿宋_GB2312" w:cs="仿宋_GB2312"/>
          <w:sz w:val="32"/>
          <w:szCs w:val="32"/>
        </w:rPr>
      </w:pPr>
      <w:r>
        <w:rPr>
          <w:rFonts w:hint="eastAsia" w:ascii="仿宋_GB2312" w:hAnsi="仿宋" w:eastAsia="仿宋_GB2312"/>
          <w:b/>
          <w:bCs/>
          <w:color w:val="000000"/>
          <w:sz w:val="32"/>
          <w:szCs w:val="32"/>
          <w:shd w:val="clear" w:color="auto" w:fill="FFFFFF"/>
        </w:rPr>
        <w:t>开展“送医送药送文化”活动。</w:t>
      </w:r>
      <w:r>
        <w:rPr>
          <w:rFonts w:hint="eastAsia" w:ascii="仿宋_GB2312" w:hAnsi="仿宋_GB2312" w:eastAsia="仿宋_GB2312" w:cs="仿宋_GB2312"/>
          <w:sz w:val="32"/>
          <w:szCs w:val="32"/>
        </w:rPr>
        <w:t>8月1日，由</w:t>
      </w:r>
      <w:r>
        <w:rPr>
          <w:rFonts w:hint="eastAsia" w:ascii="仿宋_GB2312" w:hAnsi="仿宋_GB2312" w:eastAsia="仿宋_GB2312" w:cs="仿宋_GB2312"/>
          <w:color w:val="000000"/>
          <w:sz w:val="32"/>
          <w:szCs w:val="32"/>
        </w:rPr>
        <w:t>民盟石鼓区工委和</w:t>
      </w:r>
      <w:r>
        <w:rPr>
          <w:rFonts w:hint="eastAsia" w:ascii="仿宋_GB2312" w:hAnsi="仿宋_GB2312" w:eastAsia="仿宋_GB2312" w:cs="仿宋_GB2312"/>
          <w:sz w:val="32"/>
          <w:szCs w:val="32"/>
        </w:rPr>
        <w:t>衡阳新闻网站共同策划举办的“</w:t>
      </w:r>
      <w:r>
        <w:rPr>
          <w:rFonts w:hint="eastAsia" w:ascii="仿宋_GB2312" w:hAnsi="仿宋_GB2312" w:eastAsia="仿宋_GB2312" w:cs="仿宋_GB2312"/>
          <w:sz w:val="32"/>
          <w:szCs w:val="32"/>
          <w:lang w:eastAsia="zh-CN"/>
        </w:rPr>
        <w:t>不忘初心、牢记使命</w:t>
      </w:r>
      <w:r>
        <w:rPr>
          <w:rFonts w:hint="eastAsia" w:ascii="仿宋_GB2312" w:hAnsi="仿宋_GB2312" w:eastAsia="仿宋_GB2312" w:cs="仿宋_GB2312"/>
          <w:sz w:val="32"/>
          <w:szCs w:val="32"/>
        </w:rPr>
        <w:t>”八一建军节联欢活动，以书法创作、文艺表演等形式为军休所的老干部们送上了一场丰富的文化盛宴。10月16日，民盟龙泉支部组织衡阳京剧演出团队，为夕阳红老年公寓的老人们送上了一台中国戏剧大餐。11月3日，民盟蒸湘区工委组织民盟南华大学附二支部、民盟南华大学一支部的医学专家、教授及预防医学专业学生到呆鹰岭镇振兴村为贫困村民进行义诊暨健康咨询活动。</w:t>
      </w:r>
    </w:p>
    <w:p w14:paraId="55050B94">
      <w:pPr>
        <w:pStyle w:val="18"/>
        <w:spacing w:line="560" w:lineRule="exact"/>
        <w:ind w:firstLine="643"/>
        <w:rPr>
          <w:rFonts w:ascii="仿宋_GB2312" w:hAnsi="仿宋" w:eastAsia="仿宋_GB2312"/>
          <w:color w:val="000000"/>
          <w:sz w:val="32"/>
          <w:szCs w:val="32"/>
          <w:shd w:val="clear" w:color="auto" w:fill="FFFFFF"/>
        </w:rPr>
      </w:pPr>
      <w:r>
        <w:rPr>
          <w:rFonts w:hint="eastAsia" w:ascii="仿宋_GB2312" w:hAnsi="仿宋" w:eastAsia="仿宋_GB2312"/>
          <w:b/>
          <w:color w:val="000000"/>
          <w:sz w:val="32"/>
          <w:szCs w:val="32"/>
          <w:shd w:val="clear" w:color="auto" w:fill="FFFFFF"/>
        </w:rPr>
        <w:t>全力助推脱贫攻坚工作。</w:t>
      </w:r>
      <w:r>
        <w:rPr>
          <w:rFonts w:hint="eastAsia" w:ascii="仿宋_GB2312" w:hAnsi="仿宋_GB2312" w:eastAsia="仿宋_GB2312" w:cs="仿宋_GB2312"/>
          <w:sz w:val="32"/>
          <w:szCs w:val="32"/>
        </w:rPr>
        <w:t>2018年盟市委深入常宁市胜桥镇渣石村开展对口帮扶、走访慰问7次。</w:t>
      </w:r>
      <w:r>
        <w:rPr>
          <w:rFonts w:hint="eastAsia" w:ascii="仿宋_GB2312" w:hAnsi="仿宋" w:eastAsia="仿宋_GB2312"/>
          <w:color w:val="000000"/>
          <w:sz w:val="32"/>
          <w:szCs w:val="32"/>
          <w:shd w:val="clear" w:color="auto" w:fill="FFFFFF"/>
        </w:rPr>
        <w:t>经过三年的努力，盟市委对口帮扶的10户贫困户均已实现脱贫。</w:t>
      </w:r>
    </w:p>
    <w:p w14:paraId="30D4A77D">
      <w:pPr>
        <w:widowControl/>
        <w:spacing w:line="560" w:lineRule="exact"/>
        <w:ind w:firstLine="645"/>
        <w:rPr>
          <w:rFonts w:ascii="黑体" w:hAnsi="黑体" w:eastAsia="黑体"/>
          <w:sz w:val="32"/>
          <w:szCs w:val="32"/>
        </w:rPr>
      </w:pPr>
      <w:r>
        <w:rPr>
          <w:rFonts w:hint="eastAsia" w:ascii="黑体" w:hAnsi="黑体" w:eastAsia="黑体"/>
          <w:color w:val="000000"/>
          <w:sz w:val="32"/>
          <w:szCs w:val="32"/>
        </w:rPr>
        <w:t>五、</w:t>
      </w:r>
      <w:r>
        <w:rPr>
          <w:rFonts w:hint="eastAsia" w:ascii="黑体" w:hAnsi="黑体" w:eastAsia="黑体"/>
          <w:sz w:val="32"/>
          <w:szCs w:val="32"/>
        </w:rPr>
        <w:t>存在的主要问题及下一步改进措施</w:t>
      </w:r>
    </w:p>
    <w:p w14:paraId="61769F1F">
      <w:pPr>
        <w:adjustRightInd w:val="0"/>
        <w:snapToGrid w:val="0"/>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（一）项目支出个别科目执行与预算存在差异</w:t>
      </w:r>
      <w:r>
        <w:rPr>
          <w:rFonts w:hint="eastAsia" w:ascii="楷体" w:hAnsi="楷体" w:eastAsia="楷体" w:cs="楷体"/>
          <w:sz w:val="32"/>
          <w:szCs w:val="32"/>
        </w:rPr>
        <w:t>。</w:t>
      </w:r>
      <w:r>
        <w:rPr>
          <w:rFonts w:hint="eastAsia" w:ascii="仿宋_GB2312" w:hAnsi="仿宋_GB2312" w:eastAsia="仿宋_GB2312" w:cs="仿宋_GB2312"/>
          <w:sz w:val="32"/>
          <w:szCs w:val="32"/>
        </w:rPr>
        <w:t>一是项目支出预算编制与部门年度工作计划不同步。部门预算编报时间大多为九月左右，而部门下年度工作计划一般在年末，两者时间上不同步。财务人员无法预先准确掌握下年的工作计划（包括会议、培训、新增资产、政府采购等）及经费需求，加之预算编制的时间比较紧，工作量大，所以只能根据上年的决算数据及下年度预计经费需求测算编制预算，导致全年预算编制不够全面，并存在与下年度实际需求不相符的情况。</w:t>
      </w:r>
    </w:p>
    <w:p w14:paraId="5120205E">
      <w:pPr>
        <w:adjustRightInd w:val="0"/>
        <w:snapToGrid w:val="0"/>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（二）基本支出预算安排与实际需求存在差异。</w:t>
      </w:r>
      <w:r>
        <w:rPr>
          <w:rFonts w:hint="eastAsia" w:ascii="仿宋_GB2312" w:hAnsi="仿宋_GB2312" w:eastAsia="仿宋_GB2312" w:cs="仿宋_GB2312"/>
          <w:sz w:val="32"/>
          <w:szCs w:val="32"/>
        </w:rPr>
        <w:t>一是除基本工资、津补贴、社会保障、绩效工资以外的人员经费，因为没有统一的标准或者不可控因素，导致编制预算科目不够明确和准确；二是养老金制度改革实施后，退休人员的活动经费无资金来源，无法编进财政预算，与实际需求不符。</w:t>
      </w:r>
    </w:p>
    <w:p w14:paraId="0BD22A2C">
      <w:pPr>
        <w:adjustRightInd w:val="0"/>
        <w:snapToGrid w:val="0"/>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（三）部门专项支出与预算存在差异</w:t>
      </w:r>
      <w:r>
        <w:rPr>
          <w:rFonts w:hint="eastAsia" w:eastAsia="仿宋" w:cs="仿宋"/>
          <w:b/>
          <w:bCs/>
          <w:sz w:val="32"/>
          <w:szCs w:val="32"/>
        </w:rPr>
        <w:t>。</w:t>
      </w:r>
      <w:r>
        <w:rPr>
          <w:rFonts w:hint="eastAsia" w:ascii="仿宋_GB2312" w:hAnsi="仿宋_GB2312" w:eastAsia="仿宋_GB2312" w:cs="仿宋_GB2312"/>
          <w:sz w:val="32"/>
          <w:szCs w:val="32"/>
        </w:rPr>
        <w:t>专项经费下达与专项业务工作进度不匹配，存在实际开支项目与预算项目不相符，需调整使用专项经费和科目的现象。</w:t>
      </w:r>
    </w:p>
    <w:p w14:paraId="0110E6B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针对上述存在的问题及我单位整体支出管理工作的需要，拟提出以下建议并在以后的工作中加以改进实施：</w:t>
      </w:r>
    </w:p>
    <w:p w14:paraId="2F36DBEC">
      <w:pPr>
        <w:adjustRightInd w:val="0"/>
        <w:snapToGrid w:val="0"/>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（一）提高预算执行率</w:t>
      </w:r>
      <w:r>
        <w:rPr>
          <w:rFonts w:hint="eastAsia" w:eastAsia="仿宋" w:cs="仿宋"/>
          <w:b/>
          <w:bCs/>
          <w:sz w:val="32"/>
          <w:szCs w:val="32"/>
        </w:rPr>
        <w:t>。</w:t>
      </w:r>
      <w:r>
        <w:rPr>
          <w:rFonts w:hint="eastAsia" w:ascii="仿宋_GB2312" w:hAnsi="仿宋_GB2312" w:eastAsia="仿宋_GB2312" w:cs="仿宋_GB2312"/>
          <w:sz w:val="32"/>
          <w:szCs w:val="32"/>
        </w:rPr>
        <w:t>一是认真贯彻厉行节约反对浪费条例，严格执行局公务接待、公务用车、出差审批、会议和培训、部门专项、和委托业务等管理，继续执行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经费、会议费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只减不增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预算指标的硬约束；二是进一步规范经费支出，并严格按预算科目和金额执行，切实提高预算执行力；三是及时调度预算执行情况，提高预算执行的前瞻性和预见性；四是加强业务工作的计划性，进一步细化政府采购预算、会议预算、培训预算到具体项目，并严格按项目执行。</w:t>
      </w:r>
    </w:p>
    <w:p w14:paraId="5442C40C">
      <w:pPr>
        <w:adjustRightInd w:val="0"/>
        <w:snapToGrid w:val="0"/>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（二）加强内控建设。</w:t>
      </w:r>
      <w:r>
        <w:rPr>
          <w:rFonts w:hint="eastAsia" w:ascii="仿宋_GB2312" w:hAnsi="仿宋_GB2312" w:eastAsia="仿宋_GB2312" w:cs="仿宋_GB2312"/>
          <w:sz w:val="32"/>
          <w:szCs w:val="32"/>
        </w:rPr>
        <w:t>严格执行新预算法、新会计制度、内部控制规范，提升资金效益，防范财务风险。一是按财政要求完善内部控制规范建设，编制好内控手册；二是继续按要求做好支出绩效评价和预决算公开工作；三是进一步巩固国有资产清查工作的成果，完善固定资产动态管理程序，规范固定资产购置和处置程序；四是高度重视有关部门通报的有关经费开支违规问题，确保不踩红线。</w:t>
      </w:r>
    </w:p>
    <w:p w14:paraId="525DC881">
      <w:pPr>
        <w:adjustRightInd w:val="0"/>
        <w:snapToGrid w:val="0"/>
        <w:spacing w:line="56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bCs/>
          <w:sz w:val="32"/>
          <w:szCs w:val="32"/>
        </w:rPr>
        <w:t>（三）加强部门之间的沟通。</w:t>
      </w:r>
      <w:r>
        <w:rPr>
          <w:rFonts w:hint="eastAsia" w:ascii="仿宋_GB2312" w:hAnsi="仿宋_GB2312" w:eastAsia="仿宋_GB2312" w:cs="仿宋_GB2312"/>
          <w:sz w:val="32"/>
          <w:szCs w:val="32"/>
        </w:rPr>
        <w:t>加强财务部门和单位业务部门之间的沟通，明确整体绩效管理不仅仅是财务部门的工作，所有专业均有涉及，财务部门仅仅是资金预算与安排，资金支出的实际绩效成果是由使用资金的部门来完成的；做好宣传工作，切实提高全员绩效意识。</w:t>
      </w:r>
    </w:p>
    <w:p w14:paraId="36BBE1B4">
      <w:pPr>
        <w:widowControl/>
        <w:spacing w:line="560" w:lineRule="exact"/>
        <w:ind w:firstLine="645"/>
        <w:rPr>
          <w:rFonts w:hint="eastAsia" w:ascii="黑体" w:hAnsi="黑体" w:eastAsia="黑体"/>
          <w:sz w:val="32"/>
          <w:szCs w:val="32"/>
        </w:rPr>
      </w:pPr>
      <w:r>
        <w:rPr>
          <w:rFonts w:hint="eastAsia" w:ascii="黑体" w:hAnsi="黑体" w:eastAsia="黑体"/>
          <w:sz w:val="32"/>
          <w:szCs w:val="32"/>
        </w:rPr>
        <w:t>六、绩效自评结果拟应用和公开情况</w:t>
      </w:r>
    </w:p>
    <w:p w14:paraId="4BDEB798">
      <w:pPr>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对整体支出绩效自评情况进行及时整理、归纳、分析，将其作为以后年度经费预算管理工作的依据。自评结果将在网站公开。</w:t>
      </w:r>
    </w:p>
    <w:p w14:paraId="75451BA7">
      <w:pPr>
        <w:widowControl/>
        <w:spacing w:line="560" w:lineRule="exact"/>
        <w:ind w:firstLine="645"/>
        <w:rPr>
          <w:rFonts w:ascii="黑体" w:hAnsi="黑体" w:eastAsia="黑体"/>
          <w:sz w:val="32"/>
          <w:szCs w:val="32"/>
        </w:rPr>
      </w:pPr>
      <w:r>
        <w:rPr>
          <w:rFonts w:hint="eastAsia" w:ascii="黑体" w:hAnsi="黑体" w:eastAsia="黑体"/>
          <w:sz w:val="32"/>
          <w:szCs w:val="32"/>
        </w:rPr>
        <w:t>七、其他需要说明的情况</w:t>
      </w:r>
    </w:p>
    <w:p w14:paraId="4A5DDC01">
      <w:pPr>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16AE66F">
      <w:pPr>
        <w:widowControl/>
        <w:spacing w:line="560" w:lineRule="exact"/>
        <w:ind w:firstLine="645"/>
        <w:rPr>
          <w:rFonts w:ascii="仿宋_GB2312" w:hAnsi="黑体" w:eastAsia="仿宋_GB2312"/>
          <w:sz w:val="32"/>
          <w:szCs w:val="32"/>
        </w:rPr>
      </w:pPr>
      <w:r>
        <w:rPr>
          <w:rFonts w:hint="eastAsia" w:ascii="仿宋_GB2312" w:hAnsi="黑体" w:eastAsia="仿宋_GB2312"/>
          <w:sz w:val="32"/>
          <w:szCs w:val="32"/>
        </w:rPr>
        <w:t>附件：1. 部门整体支出绩效评价指标评分表</w:t>
      </w:r>
    </w:p>
    <w:p w14:paraId="2AC5A91A">
      <w:pPr>
        <w:widowControl/>
        <w:spacing w:line="560" w:lineRule="exact"/>
        <w:ind w:firstLine="1600" w:firstLineChars="500"/>
        <w:rPr>
          <w:rFonts w:ascii="仿宋_GB2312" w:hAnsi="黑体" w:eastAsia="仿宋_GB2312"/>
          <w:sz w:val="32"/>
          <w:szCs w:val="32"/>
        </w:rPr>
      </w:pPr>
      <w:r>
        <w:rPr>
          <w:rFonts w:hint="eastAsia" w:ascii="仿宋_GB2312" w:hAnsi="黑体" w:eastAsia="仿宋_GB2312"/>
          <w:sz w:val="32"/>
          <w:szCs w:val="32"/>
        </w:rPr>
        <w:t>2. 部门整体支出绩效评价基础数据表</w:t>
      </w:r>
    </w:p>
    <w:p w14:paraId="2FA831D8">
      <w:pPr>
        <w:widowControl/>
        <w:spacing w:line="560" w:lineRule="exact"/>
        <w:ind w:firstLine="1600" w:firstLineChars="500"/>
      </w:pPr>
      <w:r>
        <w:rPr>
          <w:rFonts w:hint="eastAsia" w:ascii="仿宋_GB2312" w:hAnsi="黑体" w:eastAsia="仿宋_GB2312"/>
          <w:sz w:val="32"/>
          <w:szCs w:val="32"/>
        </w:rPr>
        <w:t>3. 2018年度市级专项资金绩效目标自评表</w:t>
      </w:r>
    </w:p>
    <w:p w14:paraId="467EC930">
      <w:pPr>
        <w:spacing w:line="560" w:lineRule="exact"/>
      </w:pPr>
    </w:p>
    <w:p w14:paraId="1DF179E0">
      <w:pPr>
        <w:spacing w:line="560" w:lineRule="exact"/>
      </w:pPr>
    </w:p>
    <w:p w14:paraId="548222A9">
      <w:pPr>
        <w:spacing w:line="560" w:lineRule="exact"/>
        <w:jc w:val="right"/>
        <w:rPr>
          <w:rFonts w:ascii="仿宋_GB2312" w:hAnsi="宋体" w:eastAsia="仿宋_GB2312"/>
          <w:sz w:val="32"/>
          <w:szCs w:val="32"/>
        </w:rPr>
      </w:pPr>
      <w:r>
        <w:rPr>
          <w:rFonts w:hint="eastAsia" w:ascii="仿宋_GB2312" w:hAnsi="宋体" w:eastAsia="仿宋_GB2312"/>
          <w:sz w:val="32"/>
          <w:szCs w:val="32"/>
        </w:rPr>
        <w:t>民盟衡阳市委</w:t>
      </w:r>
    </w:p>
    <w:p w14:paraId="6C6572D5">
      <w:pPr>
        <w:spacing w:line="560" w:lineRule="exact"/>
        <w:jc w:val="right"/>
        <w:rPr>
          <w:rFonts w:ascii="仿宋_GB2312" w:eastAsia="仿宋_GB2312"/>
          <w:sz w:val="32"/>
          <w:szCs w:val="32"/>
        </w:rPr>
      </w:pPr>
      <w:r>
        <w:rPr>
          <w:rFonts w:hint="eastAsia" w:ascii="仿宋_GB2312" w:hAnsi="宋体" w:eastAsia="仿宋_GB2312"/>
          <w:sz w:val="32"/>
          <w:szCs w:val="32"/>
        </w:rPr>
        <w:t>2019年5月28日</w:t>
      </w:r>
    </w:p>
    <w:p w14:paraId="1E2B36EE">
      <w:pPr>
        <w:spacing w:line="560" w:lineRule="exact"/>
      </w:pPr>
    </w:p>
    <w:p w14:paraId="24AA921D">
      <w:pPr>
        <w:spacing w:line="560" w:lineRule="exact"/>
      </w:pPr>
    </w:p>
    <w:p w14:paraId="46852892">
      <w:pPr>
        <w:spacing w:line="560" w:lineRule="exact"/>
      </w:pPr>
    </w:p>
    <w:p w14:paraId="39853D45">
      <w:pPr>
        <w:spacing w:line="560" w:lineRule="exact"/>
      </w:pPr>
    </w:p>
    <w:p w14:paraId="5F8CFE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A9F86E">
      <w:pPr>
        <w:spacing w:line="560" w:lineRule="exact"/>
        <w:ind w:firstLine="640" w:firstLineChars="200"/>
        <w:rPr>
          <w:rFonts w:ascii="仿宋_GB2312" w:hAnsi="宋体" w:eastAsia="仿宋_GB2312"/>
          <w:sz w:val="32"/>
          <w:szCs w:val="32"/>
        </w:rPr>
      </w:pPr>
    </w:p>
    <w:p w14:paraId="788B41EC">
      <w:pPr>
        <w:spacing w:afterLines="100" w:line="560" w:lineRule="exact"/>
        <w:jc w:val="center"/>
        <w:rPr>
          <w:kern w:val="0"/>
          <w:sz w:val="24"/>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tbl>
      <w:tblPr>
        <w:tblStyle w:val="9"/>
        <w:tblW w:w="0" w:type="auto"/>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14:paraId="4B5A723F">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1AE101B7">
            <w:pPr>
              <w:widowControl/>
              <w:spacing w:line="560" w:lineRule="exact"/>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14:paraId="2FCEDB68">
            <w:pPr>
              <w:widowControl/>
              <w:spacing w:line="560" w:lineRule="exact"/>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14:paraId="1F9AFD3D">
            <w:pPr>
              <w:widowControl/>
              <w:spacing w:line="560" w:lineRule="exact"/>
              <w:jc w:val="center"/>
              <w:rPr>
                <w:rFonts w:ascii="黑体" w:eastAsia="黑体"/>
                <w:kern w:val="0"/>
                <w:sz w:val="20"/>
                <w:szCs w:val="20"/>
              </w:rPr>
            </w:pPr>
            <w:r>
              <w:rPr>
                <w:rFonts w:hint="eastAsia" w:ascii="黑体" w:eastAsia="黑体"/>
                <w:kern w:val="0"/>
                <w:sz w:val="20"/>
                <w:szCs w:val="20"/>
              </w:rPr>
              <w:t>三级</w:t>
            </w:r>
          </w:p>
          <w:p w14:paraId="3F523914">
            <w:pPr>
              <w:widowControl/>
              <w:spacing w:line="560" w:lineRule="exact"/>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14:paraId="48D61B77">
            <w:pPr>
              <w:widowControl/>
              <w:spacing w:line="560" w:lineRule="exact"/>
              <w:jc w:val="center"/>
              <w:rPr>
                <w:rFonts w:ascii="黑体" w:eastAsia="黑体"/>
                <w:kern w:val="0"/>
                <w:sz w:val="20"/>
                <w:szCs w:val="20"/>
              </w:rPr>
            </w:pPr>
            <w:r>
              <w:rPr>
                <w:rFonts w:hint="eastAsia" w:ascii="黑体" w:eastAsia="黑体"/>
                <w:kern w:val="0"/>
                <w:sz w:val="20"/>
                <w:szCs w:val="20"/>
              </w:rPr>
              <w:t>分值</w:t>
            </w:r>
          </w:p>
        </w:tc>
        <w:tc>
          <w:tcPr>
            <w:tcW w:w="2948" w:type="dxa"/>
            <w:tcBorders>
              <w:top w:val="single" w:color="auto" w:sz="4" w:space="0"/>
              <w:left w:val="nil"/>
              <w:bottom w:val="single" w:color="auto" w:sz="4" w:space="0"/>
              <w:right w:val="single" w:color="auto" w:sz="4" w:space="0"/>
            </w:tcBorders>
            <w:vAlign w:val="center"/>
          </w:tcPr>
          <w:p w14:paraId="4745C8B6">
            <w:pPr>
              <w:widowControl/>
              <w:spacing w:line="560" w:lineRule="exact"/>
              <w:jc w:val="center"/>
              <w:rPr>
                <w:rFonts w:ascii="黑体" w:eastAsia="黑体"/>
                <w:kern w:val="0"/>
                <w:sz w:val="20"/>
                <w:szCs w:val="20"/>
              </w:rPr>
            </w:pPr>
            <w:r>
              <w:rPr>
                <w:rFonts w:hint="eastAsia" w:ascii="黑体" w:eastAsia="黑体"/>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14:paraId="50AAF206">
            <w:pPr>
              <w:widowControl/>
              <w:spacing w:line="560" w:lineRule="exact"/>
              <w:jc w:val="center"/>
              <w:rPr>
                <w:rFonts w:ascii="黑体" w:eastAsia="黑体"/>
                <w:kern w:val="0"/>
                <w:sz w:val="20"/>
                <w:szCs w:val="20"/>
              </w:rPr>
            </w:pPr>
            <w:r>
              <w:rPr>
                <w:rFonts w:hint="eastAsia" w:ascii="黑体" w:eastAsia="黑体"/>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14:paraId="189C0BC9">
            <w:pPr>
              <w:widowControl/>
              <w:spacing w:line="560" w:lineRule="exact"/>
              <w:jc w:val="center"/>
              <w:rPr>
                <w:rFonts w:ascii="黑体" w:eastAsia="黑体"/>
                <w:kern w:val="0"/>
                <w:sz w:val="20"/>
                <w:szCs w:val="20"/>
              </w:rPr>
            </w:pPr>
            <w:r>
              <w:rPr>
                <w:rFonts w:hint="eastAsia" w:ascii="黑体" w:eastAsia="黑体"/>
                <w:kern w:val="0"/>
                <w:sz w:val="20"/>
                <w:szCs w:val="20"/>
              </w:rPr>
              <w:t>得分</w:t>
            </w:r>
          </w:p>
        </w:tc>
      </w:tr>
      <w:tr w14:paraId="40D22C3E">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14:paraId="7ED7AF33">
            <w:pPr>
              <w:widowControl/>
              <w:spacing w:line="560" w:lineRule="exact"/>
              <w:jc w:val="center"/>
              <w:rPr>
                <w:rFonts w:eastAsia="仿宋_GB2312"/>
                <w:kern w:val="0"/>
                <w:sz w:val="20"/>
                <w:szCs w:val="20"/>
              </w:rPr>
            </w:pPr>
            <w:r>
              <w:rPr>
                <w:rFonts w:eastAsia="仿宋_GB2312"/>
                <w:kern w:val="0"/>
                <w:sz w:val="20"/>
                <w:szCs w:val="20"/>
              </w:rPr>
              <w:t>投入</w:t>
            </w:r>
          </w:p>
          <w:p w14:paraId="0D99878F">
            <w:pPr>
              <w:widowControl/>
              <w:spacing w:line="560" w:lineRule="exact"/>
              <w:jc w:val="center"/>
              <w:rPr>
                <w:rFonts w:eastAsia="仿宋_GB2312"/>
                <w:kern w:val="0"/>
                <w:sz w:val="20"/>
                <w:szCs w:val="20"/>
              </w:rPr>
            </w:pPr>
          </w:p>
          <w:p w14:paraId="58C8B18D">
            <w:pPr>
              <w:widowControl/>
              <w:spacing w:line="560" w:lineRule="exact"/>
              <w:jc w:val="center"/>
              <w:rPr>
                <w:rFonts w:eastAsia="仿宋_GB2312"/>
                <w:kern w:val="0"/>
                <w:sz w:val="20"/>
                <w:szCs w:val="20"/>
              </w:rPr>
            </w:pPr>
            <w:r>
              <w:rPr>
                <w:rFonts w:hint="eastAsia" w:eastAsia="仿宋_GB2312"/>
                <w:kern w:val="0"/>
                <w:sz w:val="20"/>
                <w:szCs w:val="20"/>
              </w:rPr>
              <w:t>10分</w:t>
            </w:r>
          </w:p>
        </w:tc>
        <w:tc>
          <w:tcPr>
            <w:tcW w:w="677" w:type="dxa"/>
            <w:vMerge w:val="restart"/>
            <w:tcBorders>
              <w:top w:val="nil"/>
              <w:left w:val="nil"/>
              <w:bottom w:val="single" w:color="auto" w:sz="4" w:space="0"/>
              <w:right w:val="single" w:color="auto" w:sz="4" w:space="0"/>
            </w:tcBorders>
            <w:vAlign w:val="center"/>
          </w:tcPr>
          <w:p w14:paraId="6C1A1949">
            <w:pPr>
              <w:widowControl/>
              <w:spacing w:line="560" w:lineRule="exact"/>
              <w:jc w:val="center"/>
              <w:rPr>
                <w:rFonts w:eastAsia="仿宋_GB2312"/>
                <w:kern w:val="0"/>
                <w:sz w:val="20"/>
                <w:szCs w:val="20"/>
              </w:rPr>
            </w:pPr>
            <w:r>
              <w:rPr>
                <w:rFonts w:eastAsia="仿宋_GB2312"/>
                <w:kern w:val="0"/>
                <w:sz w:val="20"/>
                <w:szCs w:val="20"/>
              </w:rPr>
              <w:t>预算配置</w:t>
            </w:r>
          </w:p>
          <w:p w14:paraId="583E1BBF">
            <w:pPr>
              <w:widowControl/>
              <w:spacing w:line="560" w:lineRule="exact"/>
              <w:jc w:val="center"/>
              <w:rPr>
                <w:rFonts w:eastAsia="仿宋_GB2312"/>
                <w:kern w:val="0"/>
                <w:sz w:val="20"/>
                <w:szCs w:val="20"/>
              </w:rPr>
            </w:pPr>
          </w:p>
          <w:p w14:paraId="2FC56ACA">
            <w:pPr>
              <w:widowControl/>
              <w:spacing w:line="560" w:lineRule="exact"/>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14:paraId="21B2984C">
            <w:pPr>
              <w:widowControl/>
              <w:spacing w:line="560" w:lineRule="exact"/>
              <w:jc w:val="left"/>
              <w:rPr>
                <w:rFonts w:eastAsia="仿宋_GB2312"/>
                <w:kern w:val="0"/>
                <w:sz w:val="20"/>
                <w:szCs w:val="20"/>
              </w:rPr>
            </w:pPr>
            <w:r>
              <w:rPr>
                <w:rFonts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14:paraId="7D112A9D">
            <w:pPr>
              <w:widowControl/>
              <w:spacing w:line="560" w:lineRule="exact"/>
              <w:jc w:val="center"/>
              <w:rPr>
                <w:rFonts w:eastAsia="仿宋_GB2312"/>
                <w:kern w:val="0"/>
                <w:sz w:val="20"/>
                <w:szCs w:val="20"/>
              </w:rPr>
            </w:pPr>
            <w:r>
              <w:rPr>
                <w:rFonts w:eastAsia="仿宋_GB2312"/>
                <w:kern w:val="0"/>
                <w:sz w:val="20"/>
                <w:szCs w:val="20"/>
              </w:rPr>
              <w:t>5</w:t>
            </w:r>
          </w:p>
        </w:tc>
        <w:tc>
          <w:tcPr>
            <w:tcW w:w="2948" w:type="dxa"/>
            <w:tcBorders>
              <w:top w:val="nil"/>
              <w:left w:val="nil"/>
              <w:bottom w:val="nil"/>
              <w:right w:val="nil"/>
            </w:tcBorders>
            <w:vAlign w:val="center"/>
          </w:tcPr>
          <w:p w14:paraId="60C42F97">
            <w:pPr>
              <w:widowControl/>
              <w:spacing w:line="560" w:lineRule="exact"/>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490" w:type="dxa"/>
            <w:tcBorders>
              <w:top w:val="nil"/>
              <w:left w:val="single" w:color="auto" w:sz="4" w:space="0"/>
              <w:bottom w:val="single" w:color="auto" w:sz="4" w:space="0"/>
              <w:right w:val="single" w:color="auto" w:sz="4" w:space="0"/>
            </w:tcBorders>
            <w:vAlign w:val="center"/>
          </w:tcPr>
          <w:p w14:paraId="5C18664D">
            <w:pPr>
              <w:widowControl/>
              <w:spacing w:line="560" w:lineRule="exact"/>
              <w:jc w:val="left"/>
              <w:rPr>
                <w:rFonts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14:paraId="7325D316">
            <w:pPr>
              <w:widowControl/>
              <w:spacing w:line="560" w:lineRule="exact"/>
              <w:jc w:val="left"/>
              <w:rPr>
                <w:kern w:val="0"/>
                <w:sz w:val="24"/>
              </w:rPr>
            </w:pPr>
            <w:r>
              <w:rPr>
                <w:kern w:val="0"/>
                <w:sz w:val="24"/>
              </w:rPr>
              <w:t>　</w:t>
            </w:r>
            <w:r>
              <w:rPr>
                <w:rFonts w:hint="eastAsia"/>
                <w:kern w:val="0"/>
                <w:sz w:val="24"/>
              </w:rPr>
              <w:t>5</w:t>
            </w:r>
          </w:p>
        </w:tc>
      </w:tr>
      <w:tr w14:paraId="68533707">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7EF9267D">
            <w:pPr>
              <w:widowControl/>
              <w:spacing w:line="560" w:lineRule="exact"/>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7770EBD8">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3CD37495">
            <w:pPr>
              <w:widowControl/>
              <w:spacing w:line="560" w:lineRule="exact"/>
              <w:jc w:val="left"/>
              <w:rPr>
                <w:rFonts w:eastAsia="仿宋_GB2312"/>
                <w:kern w:val="0"/>
                <w:sz w:val="20"/>
                <w:szCs w:val="20"/>
              </w:rPr>
            </w:pPr>
            <w:r>
              <w:rPr>
                <w:rFonts w:eastAsia="仿宋_GB2312"/>
                <w:kern w:val="0"/>
                <w:sz w:val="20"/>
                <w:szCs w:val="20"/>
              </w:rPr>
              <w:t>“三公经费”变动率</w:t>
            </w:r>
          </w:p>
        </w:tc>
        <w:tc>
          <w:tcPr>
            <w:tcW w:w="483" w:type="dxa"/>
            <w:tcBorders>
              <w:top w:val="nil"/>
              <w:left w:val="nil"/>
              <w:bottom w:val="single" w:color="auto" w:sz="4" w:space="0"/>
              <w:right w:val="single" w:color="auto" w:sz="4" w:space="0"/>
            </w:tcBorders>
            <w:vAlign w:val="center"/>
          </w:tcPr>
          <w:p w14:paraId="14AA044E">
            <w:pPr>
              <w:widowControl/>
              <w:spacing w:line="560" w:lineRule="exact"/>
              <w:jc w:val="center"/>
              <w:rPr>
                <w:rFonts w:eastAsia="仿宋_GB2312"/>
                <w:kern w:val="0"/>
                <w:sz w:val="20"/>
                <w:szCs w:val="20"/>
              </w:rPr>
            </w:pPr>
            <w:r>
              <w:rPr>
                <w:rFonts w:eastAsia="仿宋_GB2312"/>
                <w:kern w:val="0"/>
                <w:sz w:val="20"/>
                <w:szCs w:val="20"/>
              </w:rPr>
              <w:t>5</w:t>
            </w:r>
          </w:p>
        </w:tc>
        <w:tc>
          <w:tcPr>
            <w:tcW w:w="2948" w:type="dxa"/>
            <w:tcBorders>
              <w:top w:val="single" w:color="auto" w:sz="4" w:space="0"/>
              <w:left w:val="nil"/>
              <w:bottom w:val="single" w:color="auto" w:sz="4" w:space="0"/>
              <w:right w:val="single" w:color="auto" w:sz="4" w:space="0"/>
            </w:tcBorders>
            <w:vAlign w:val="center"/>
          </w:tcPr>
          <w:p w14:paraId="4DC3D5D5">
            <w:pPr>
              <w:widowControl/>
              <w:spacing w:line="560" w:lineRule="exact"/>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3490" w:type="dxa"/>
            <w:tcBorders>
              <w:top w:val="nil"/>
              <w:left w:val="nil"/>
              <w:bottom w:val="single" w:color="auto" w:sz="4" w:space="0"/>
              <w:right w:val="single" w:color="auto" w:sz="4" w:space="0"/>
            </w:tcBorders>
            <w:vAlign w:val="center"/>
          </w:tcPr>
          <w:p w14:paraId="4B88E01E">
            <w:pPr>
              <w:widowControl/>
              <w:spacing w:line="560" w:lineRule="exact"/>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vAlign w:val="center"/>
          </w:tcPr>
          <w:p w14:paraId="67A395EF">
            <w:pPr>
              <w:widowControl/>
              <w:spacing w:line="560" w:lineRule="exact"/>
              <w:jc w:val="left"/>
              <w:rPr>
                <w:kern w:val="0"/>
                <w:sz w:val="24"/>
              </w:rPr>
            </w:pPr>
            <w:r>
              <w:rPr>
                <w:kern w:val="0"/>
                <w:sz w:val="24"/>
              </w:rPr>
              <w:t>　</w:t>
            </w:r>
            <w:r>
              <w:rPr>
                <w:rFonts w:hint="eastAsia"/>
                <w:kern w:val="0"/>
                <w:sz w:val="24"/>
              </w:rPr>
              <w:t>5</w:t>
            </w:r>
          </w:p>
        </w:tc>
      </w:tr>
      <w:tr w14:paraId="72D08703">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14:paraId="1A2C4124">
            <w:pPr>
              <w:widowControl/>
              <w:spacing w:line="560" w:lineRule="exact"/>
              <w:jc w:val="center"/>
              <w:rPr>
                <w:rFonts w:eastAsia="仿宋_GB2312"/>
                <w:kern w:val="0"/>
                <w:sz w:val="20"/>
                <w:szCs w:val="20"/>
              </w:rPr>
            </w:pPr>
            <w:r>
              <w:rPr>
                <w:rFonts w:eastAsia="仿宋_GB2312"/>
                <w:kern w:val="0"/>
                <w:sz w:val="20"/>
                <w:szCs w:val="20"/>
              </w:rPr>
              <w:t>过                                                                                                                                       程</w:t>
            </w:r>
          </w:p>
          <w:p w14:paraId="0C0E3852">
            <w:pPr>
              <w:widowControl/>
              <w:spacing w:line="560" w:lineRule="exact"/>
              <w:jc w:val="center"/>
              <w:rPr>
                <w:rFonts w:eastAsia="仿宋_GB2312"/>
                <w:kern w:val="0"/>
                <w:sz w:val="20"/>
                <w:szCs w:val="20"/>
              </w:rPr>
            </w:pPr>
          </w:p>
          <w:p w14:paraId="13BCCBEB">
            <w:pPr>
              <w:widowControl/>
              <w:spacing w:line="560" w:lineRule="exact"/>
              <w:jc w:val="center"/>
              <w:rPr>
                <w:rFonts w:eastAsia="仿宋_GB2312"/>
                <w:kern w:val="0"/>
                <w:sz w:val="20"/>
                <w:szCs w:val="20"/>
              </w:rPr>
            </w:pPr>
            <w:r>
              <w:rPr>
                <w:rFonts w:hint="eastAsia" w:eastAsia="仿宋_GB2312"/>
                <w:kern w:val="0"/>
                <w:sz w:val="20"/>
                <w:szCs w:val="20"/>
              </w:rPr>
              <w:t>60分</w:t>
            </w:r>
          </w:p>
          <w:p w14:paraId="44DD54C8">
            <w:pPr>
              <w:spacing w:line="560" w:lineRule="exact"/>
              <w:jc w:val="left"/>
              <w:rPr>
                <w:rFonts w:eastAsia="仿宋_GB2312"/>
                <w:kern w:val="0"/>
                <w:sz w:val="20"/>
                <w:szCs w:val="20"/>
              </w:rPr>
            </w:pPr>
          </w:p>
          <w:p w14:paraId="12A5A082">
            <w:pPr>
              <w:spacing w:line="560" w:lineRule="exact"/>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14:paraId="1DC0B334">
            <w:pPr>
              <w:widowControl/>
              <w:spacing w:line="560" w:lineRule="exact"/>
              <w:jc w:val="center"/>
              <w:rPr>
                <w:rFonts w:eastAsia="仿宋_GB2312"/>
                <w:kern w:val="0"/>
                <w:sz w:val="20"/>
                <w:szCs w:val="20"/>
              </w:rPr>
            </w:pPr>
            <w:r>
              <w:rPr>
                <w:rFonts w:eastAsia="仿宋_GB2312"/>
                <w:kern w:val="0"/>
                <w:sz w:val="20"/>
                <w:szCs w:val="20"/>
              </w:rPr>
              <w:t>预算执行</w:t>
            </w:r>
          </w:p>
          <w:p w14:paraId="7BBA1AD2">
            <w:pPr>
              <w:widowControl/>
              <w:spacing w:line="560" w:lineRule="exact"/>
              <w:jc w:val="center"/>
              <w:rPr>
                <w:rFonts w:eastAsia="仿宋_GB2312"/>
                <w:kern w:val="0"/>
                <w:sz w:val="20"/>
                <w:szCs w:val="20"/>
              </w:rPr>
            </w:pPr>
          </w:p>
          <w:p w14:paraId="243C5D17">
            <w:pPr>
              <w:widowControl/>
              <w:spacing w:line="560" w:lineRule="exact"/>
              <w:jc w:val="center"/>
              <w:rPr>
                <w:rFonts w:eastAsia="仿宋_GB2312"/>
                <w:kern w:val="0"/>
                <w:sz w:val="20"/>
                <w:szCs w:val="20"/>
              </w:rPr>
            </w:pPr>
            <w:r>
              <w:rPr>
                <w:rFonts w:hint="eastAsia" w:eastAsia="仿宋_GB2312"/>
                <w:kern w:val="0"/>
                <w:sz w:val="20"/>
                <w:szCs w:val="20"/>
              </w:rPr>
              <w:t>20分</w:t>
            </w:r>
          </w:p>
        </w:tc>
        <w:tc>
          <w:tcPr>
            <w:tcW w:w="1014" w:type="dxa"/>
            <w:tcBorders>
              <w:top w:val="nil"/>
              <w:left w:val="nil"/>
              <w:bottom w:val="single" w:color="auto" w:sz="4" w:space="0"/>
              <w:right w:val="single" w:color="auto" w:sz="4" w:space="0"/>
            </w:tcBorders>
            <w:vAlign w:val="center"/>
          </w:tcPr>
          <w:p w14:paraId="0CA80694">
            <w:pPr>
              <w:widowControl/>
              <w:spacing w:line="560" w:lineRule="exact"/>
              <w:jc w:val="left"/>
              <w:rPr>
                <w:rFonts w:eastAsia="仿宋_GB2312"/>
                <w:kern w:val="0"/>
                <w:sz w:val="20"/>
                <w:szCs w:val="20"/>
              </w:rPr>
            </w:pPr>
            <w:r>
              <w:rPr>
                <w:rFonts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14:paraId="23980C97">
            <w:pPr>
              <w:widowControl/>
              <w:spacing w:line="560" w:lineRule="exact"/>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vAlign w:val="center"/>
          </w:tcPr>
          <w:p w14:paraId="279C2DF2">
            <w:pPr>
              <w:widowControl/>
              <w:spacing w:line="560" w:lineRule="exact"/>
              <w:jc w:val="left"/>
              <w:rPr>
                <w:rFonts w:eastAsia="仿宋_GB2312"/>
                <w:kern w:val="0"/>
                <w:sz w:val="20"/>
                <w:szCs w:val="20"/>
              </w:rPr>
            </w:pPr>
            <w:r>
              <w:rPr>
                <w:rFonts w:eastAsia="仿宋_GB2312"/>
                <w:kern w:val="0"/>
                <w:sz w:val="20"/>
                <w:szCs w:val="20"/>
              </w:rPr>
              <w:t>100%计满分，每低于5%扣2分，扣完为止。</w:t>
            </w:r>
          </w:p>
        </w:tc>
        <w:tc>
          <w:tcPr>
            <w:tcW w:w="3490" w:type="dxa"/>
            <w:tcBorders>
              <w:top w:val="nil"/>
              <w:left w:val="nil"/>
              <w:bottom w:val="single" w:color="auto" w:sz="4" w:space="0"/>
              <w:right w:val="single" w:color="auto" w:sz="4" w:space="0"/>
            </w:tcBorders>
            <w:vAlign w:val="center"/>
          </w:tcPr>
          <w:p w14:paraId="07665013">
            <w:pPr>
              <w:widowControl/>
              <w:spacing w:line="560" w:lineRule="exact"/>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vAlign w:val="center"/>
          </w:tcPr>
          <w:p w14:paraId="58789A6B">
            <w:pPr>
              <w:widowControl/>
              <w:spacing w:line="560" w:lineRule="exact"/>
              <w:jc w:val="left"/>
              <w:rPr>
                <w:kern w:val="0"/>
                <w:sz w:val="24"/>
              </w:rPr>
            </w:pPr>
            <w:r>
              <w:rPr>
                <w:kern w:val="0"/>
                <w:sz w:val="24"/>
              </w:rPr>
              <w:t>　</w:t>
            </w:r>
            <w:r>
              <w:rPr>
                <w:rFonts w:hint="eastAsia"/>
                <w:kern w:val="0"/>
                <w:sz w:val="24"/>
              </w:rPr>
              <w:t>1</w:t>
            </w:r>
          </w:p>
        </w:tc>
      </w:tr>
      <w:tr w14:paraId="16C4D708">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14:paraId="2B7F94EE">
            <w:pPr>
              <w:spacing w:line="560" w:lineRule="exact"/>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75D61D2A">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3809E55">
            <w:pPr>
              <w:widowControl/>
              <w:spacing w:line="560" w:lineRule="exact"/>
              <w:jc w:val="left"/>
              <w:rPr>
                <w:rFonts w:eastAsia="仿宋_GB2312"/>
                <w:kern w:val="0"/>
                <w:sz w:val="20"/>
                <w:szCs w:val="20"/>
              </w:rPr>
            </w:pPr>
            <w:r>
              <w:rPr>
                <w:rFonts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14:paraId="4739C715">
            <w:pPr>
              <w:widowControl/>
              <w:spacing w:line="560" w:lineRule="exact"/>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vAlign w:val="center"/>
          </w:tcPr>
          <w:p w14:paraId="23E72E03">
            <w:pPr>
              <w:widowControl/>
              <w:spacing w:line="560" w:lineRule="exact"/>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490" w:type="dxa"/>
            <w:tcBorders>
              <w:top w:val="nil"/>
              <w:left w:val="nil"/>
              <w:bottom w:val="single" w:color="auto" w:sz="4" w:space="0"/>
              <w:right w:val="single" w:color="auto" w:sz="4" w:space="0"/>
            </w:tcBorders>
            <w:vAlign w:val="center"/>
          </w:tcPr>
          <w:p w14:paraId="2B9EF9B4">
            <w:pPr>
              <w:widowControl/>
              <w:spacing w:line="560" w:lineRule="exact"/>
              <w:jc w:val="left"/>
              <w:rPr>
                <w:rFonts w:eastAsia="仿宋_GB2312"/>
                <w:kern w:val="0"/>
                <w:sz w:val="20"/>
                <w:szCs w:val="20"/>
              </w:rPr>
            </w:pPr>
            <w:r>
              <w:rPr>
                <w:rFonts w:eastAsia="仿宋_GB2312"/>
                <w:kern w:val="0"/>
                <w:sz w:val="20"/>
                <w:szCs w:val="20"/>
              </w:rPr>
              <w:t>预算控制率=（本年追加预算/年初预算）×100%。</w:t>
            </w:r>
          </w:p>
        </w:tc>
        <w:tc>
          <w:tcPr>
            <w:tcW w:w="637" w:type="dxa"/>
            <w:tcBorders>
              <w:top w:val="nil"/>
              <w:left w:val="nil"/>
              <w:bottom w:val="single" w:color="auto" w:sz="4" w:space="0"/>
              <w:right w:val="single" w:color="auto" w:sz="4" w:space="0"/>
            </w:tcBorders>
            <w:vAlign w:val="center"/>
          </w:tcPr>
          <w:p w14:paraId="55CDC88F">
            <w:pPr>
              <w:widowControl/>
              <w:spacing w:line="560" w:lineRule="exact"/>
              <w:jc w:val="left"/>
              <w:rPr>
                <w:kern w:val="0"/>
                <w:sz w:val="24"/>
              </w:rPr>
            </w:pPr>
            <w:r>
              <w:rPr>
                <w:kern w:val="0"/>
                <w:sz w:val="24"/>
              </w:rPr>
              <w:t>　</w:t>
            </w:r>
            <w:r>
              <w:rPr>
                <w:rFonts w:hint="eastAsia"/>
                <w:kern w:val="0"/>
                <w:sz w:val="24"/>
              </w:rPr>
              <w:t>0</w:t>
            </w:r>
          </w:p>
        </w:tc>
      </w:tr>
      <w:tr w14:paraId="7E5A8AEE">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14:paraId="14CA6323">
            <w:pPr>
              <w:spacing w:line="560" w:lineRule="exact"/>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66E9AE77">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24167566">
            <w:pPr>
              <w:widowControl/>
              <w:spacing w:line="560" w:lineRule="exact"/>
              <w:jc w:val="left"/>
              <w:rPr>
                <w:rFonts w:eastAsia="仿宋_GB2312"/>
                <w:kern w:val="0"/>
                <w:sz w:val="20"/>
                <w:szCs w:val="20"/>
              </w:rPr>
            </w:pPr>
            <w:r>
              <w:rPr>
                <w:rFonts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14:paraId="43B663DE">
            <w:pPr>
              <w:widowControl/>
              <w:spacing w:line="560" w:lineRule="exact"/>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vAlign w:val="center"/>
          </w:tcPr>
          <w:p w14:paraId="72A1037C">
            <w:pPr>
              <w:widowControl/>
              <w:spacing w:line="560" w:lineRule="exact"/>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vAlign w:val="center"/>
          </w:tcPr>
          <w:p w14:paraId="21210DB2">
            <w:pPr>
              <w:widowControl/>
              <w:spacing w:line="560" w:lineRule="exact"/>
              <w:jc w:val="left"/>
              <w:rPr>
                <w:rFonts w:eastAsia="仿宋_GB2312"/>
                <w:kern w:val="0"/>
                <w:sz w:val="20"/>
                <w:szCs w:val="20"/>
              </w:rPr>
            </w:pPr>
            <w:r>
              <w:rPr>
                <w:rFonts w:eastAsia="仿宋_GB2312"/>
                <w:kern w:val="0"/>
                <w:sz w:val="20"/>
                <w:szCs w:val="20"/>
              </w:rPr>
              <w:t>楼堂馆所面积控制率=实际建设面积/批准建设面积×100%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vAlign w:val="center"/>
          </w:tcPr>
          <w:p w14:paraId="77162AAD">
            <w:pPr>
              <w:widowControl/>
              <w:spacing w:line="560" w:lineRule="exact"/>
              <w:jc w:val="left"/>
              <w:rPr>
                <w:kern w:val="0"/>
                <w:sz w:val="24"/>
              </w:rPr>
            </w:pPr>
            <w:r>
              <w:rPr>
                <w:kern w:val="0"/>
                <w:sz w:val="24"/>
              </w:rPr>
              <w:t>　</w:t>
            </w:r>
            <w:r>
              <w:rPr>
                <w:rFonts w:hint="eastAsia"/>
                <w:kern w:val="0"/>
                <w:sz w:val="24"/>
              </w:rPr>
              <w:t>5</w:t>
            </w:r>
          </w:p>
        </w:tc>
      </w:tr>
      <w:tr w14:paraId="4250B723">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14:paraId="4B73FD87">
            <w:pPr>
              <w:spacing w:line="560" w:lineRule="exact"/>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31D06284">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0D8A3A23">
            <w:pPr>
              <w:widowControl/>
              <w:spacing w:line="560" w:lineRule="exact"/>
              <w:jc w:val="left"/>
              <w:rPr>
                <w:rFonts w:eastAsia="仿宋_GB2312"/>
                <w:kern w:val="0"/>
                <w:sz w:val="20"/>
                <w:szCs w:val="20"/>
              </w:rPr>
            </w:pPr>
            <w:r>
              <w:rPr>
                <w:rFonts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14:paraId="4AF6D181">
            <w:pPr>
              <w:widowControl/>
              <w:spacing w:line="560" w:lineRule="exact"/>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vAlign w:val="center"/>
          </w:tcPr>
          <w:p w14:paraId="3044913B">
            <w:pPr>
              <w:widowControl/>
              <w:spacing w:line="560" w:lineRule="exact"/>
              <w:jc w:val="left"/>
              <w:rPr>
                <w:rFonts w:eastAsia="仿宋_GB2312"/>
                <w:kern w:val="0"/>
                <w:sz w:val="20"/>
                <w:szCs w:val="20"/>
              </w:rPr>
            </w:pPr>
            <w:r>
              <w:rPr>
                <w:rFonts w:eastAsia="仿宋_GB2312"/>
                <w:kern w:val="0"/>
                <w:sz w:val="20"/>
                <w:szCs w:val="20"/>
              </w:rPr>
              <w:t>100%以下（含）计满分，每超出5%扣2分，扣完为止。</w:t>
            </w:r>
          </w:p>
        </w:tc>
        <w:tc>
          <w:tcPr>
            <w:tcW w:w="3490" w:type="dxa"/>
            <w:tcBorders>
              <w:top w:val="nil"/>
              <w:left w:val="nil"/>
              <w:bottom w:val="single" w:color="auto" w:sz="4" w:space="0"/>
              <w:right w:val="single" w:color="auto" w:sz="4" w:space="0"/>
            </w:tcBorders>
            <w:vAlign w:val="center"/>
          </w:tcPr>
          <w:p w14:paraId="52E2F087">
            <w:pPr>
              <w:widowControl/>
              <w:spacing w:line="560" w:lineRule="exact"/>
              <w:jc w:val="left"/>
              <w:rPr>
                <w:rFonts w:eastAsia="仿宋_GB2312"/>
                <w:kern w:val="0"/>
                <w:sz w:val="20"/>
                <w:szCs w:val="20"/>
              </w:rPr>
            </w:pPr>
            <w:r>
              <w:rPr>
                <w:rFonts w:eastAsia="仿宋_GB2312"/>
                <w:kern w:val="0"/>
                <w:sz w:val="20"/>
                <w:szCs w:val="20"/>
              </w:rPr>
              <w:t>楼堂馆所投资预算控制率=实际投资金额/批准投资金额×100%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vAlign w:val="center"/>
          </w:tcPr>
          <w:p w14:paraId="002C52FF">
            <w:pPr>
              <w:widowControl/>
              <w:spacing w:line="560" w:lineRule="exact"/>
              <w:jc w:val="left"/>
              <w:rPr>
                <w:kern w:val="0"/>
                <w:sz w:val="24"/>
              </w:rPr>
            </w:pPr>
            <w:r>
              <w:rPr>
                <w:kern w:val="0"/>
                <w:sz w:val="24"/>
              </w:rPr>
              <w:t>　</w:t>
            </w:r>
            <w:r>
              <w:rPr>
                <w:rFonts w:hint="eastAsia"/>
                <w:kern w:val="0"/>
                <w:sz w:val="24"/>
              </w:rPr>
              <w:t>5</w:t>
            </w:r>
          </w:p>
        </w:tc>
      </w:tr>
      <w:tr w14:paraId="252C6EFD">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14:paraId="04F308D7">
            <w:pPr>
              <w:spacing w:line="560" w:lineRule="exact"/>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14:paraId="6DC10BC3">
            <w:pPr>
              <w:widowControl/>
              <w:spacing w:line="560" w:lineRule="exact"/>
              <w:jc w:val="center"/>
              <w:rPr>
                <w:rFonts w:eastAsia="仿宋_GB2312"/>
                <w:kern w:val="0"/>
                <w:sz w:val="20"/>
                <w:szCs w:val="20"/>
              </w:rPr>
            </w:pPr>
            <w:r>
              <w:rPr>
                <w:rFonts w:eastAsia="仿宋_GB2312"/>
                <w:kern w:val="0"/>
                <w:sz w:val="20"/>
                <w:szCs w:val="20"/>
              </w:rPr>
              <w:t>预算管理</w:t>
            </w:r>
          </w:p>
          <w:p w14:paraId="1C2E1C20">
            <w:pPr>
              <w:widowControl/>
              <w:spacing w:line="560" w:lineRule="exact"/>
              <w:jc w:val="center"/>
              <w:rPr>
                <w:rFonts w:eastAsia="仿宋_GB2312"/>
                <w:kern w:val="0"/>
                <w:sz w:val="20"/>
                <w:szCs w:val="20"/>
              </w:rPr>
            </w:pPr>
          </w:p>
          <w:p w14:paraId="768A0A25">
            <w:pPr>
              <w:widowControl/>
              <w:spacing w:line="560" w:lineRule="exact"/>
              <w:jc w:val="center"/>
              <w:rPr>
                <w:rFonts w:eastAsia="仿宋_GB2312"/>
                <w:kern w:val="0"/>
                <w:sz w:val="20"/>
                <w:szCs w:val="20"/>
              </w:rPr>
            </w:pPr>
            <w:r>
              <w:rPr>
                <w:rFonts w:hint="eastAsia" w:eastAsia="仿宋_GB2312"/>
                <w:kern w:val="0"/>
                <w:sz w:val="20"/>
                <w:szCs w:val="20"/>
              </w:rPr>
              <w:t>40分</w:t>
            </w:r>
          </w:p>
          <w:p w14:paraId="77667BEA">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5A91CD7">
            <w:pPr>
              <w:widowControl/>
              <w:spacing w:line="560" w:lineRule="exact"/>
              <w:jc w:val="left"/>
              <w:rPr>
                <w:rFonts w:eastAsia="仿宋_GB2312"/>
                <w:kern w:val="0"/>
                <w:sz w:val="20"/>
                <w:szCs w:val="20"/>
              </w:rPr>
            </w:pPr>
            <w:r>
              <w:rPr>
                <w:rFonts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14:paraId="05EB99EB">
            <w:pPr>
              <w:widowControl/>
              <w:spacing w:line="560" w:lineRule="exact"/>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vAlign w:val="center"/>
          </w:tcPr>
          <w:p w14:paraId="32511D65">
            <w:pPr>
              <w:widowControl/>
              <w:spacing w:line="560" w:lineRule="exact"/>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vAlign w:val="center"/>
          </w:tcPr>
          <w:p w14:paraId="36566B18">
            <w:pPr>
              <w:widowControl/>
              <w:spacing w:line="560" w:lineRule="exact"/>
              <w:jc w:val="left"/>
              <w:rPr>
                <w:rFonts w:eastAsia="仿宋_GB2312"/>
                <w:kern w:val="0"/>
                <w:sz w:val="20"/>
                <w:szCs w:val="20"/>
              </w:rPr>
            </w:pPr>
            <w:r>
              <w:rPr>
                <w:rFonts w:eastAsia="仿宋_GB2312"/>
                <w:kern w:val="0"/>
                <w:sz w:val="20"/>
                <w:szCs w:val="20"/>
              </w:rPr>
              <w:t>公用经费控制率=（实际支出公用经费总额/预算安排公用经费总额）×100%。</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14:paraId="1312DA0E">
            <w:pPr>
              <w:widowControl/>
              <w:spacing w:line="560" w:lineRule="exact"/>
              <w:jc w:val="left"/>
              <w:rPr>
                <w:kern w:val="0"/>
                <w:sz w:val="24"/>
              </w:rPr>
            </w:pPr>
            <w:r>
              <w:rPr>
                <w:kern w:val="0"/>
                <w:sz w:val="24"/>
              </w:rPr>
              <w:t>　</w:t>
            </w:r>
            <w:r>
              <w:rPr>
                <w:rFonts w:hint="eastAsia"/>
                <w:kern w:val="0"/>
                <w:sz w:val="24"/>
              </w:rPr>
              <w:t>8</w:t>
            </w:r>
          </w:p>
        </w:tc>
      </w:tr>
      <w:tr w14:paraId="7BA9C69B">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14:paraId="129AD7CB">
            <w:pPr>
              <w:spacing w:line="560" w:lineRule="exact"/>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C850DBC">
            <w:pPr>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4BC1487F">
            <w:pPr>
              <w:widowControl/>
              <w:spacing w:line="560" w:lineRule="exact"/>
              <w:jc w:val="left"/>
              <w:rPr>
                <w:rFonts w:eastAsia="仿宋_GB2312"/>
                <w:kern w:val="0"/>
                <w:sz w:val="20"/>
                <w:szCs w:val="20"/>
              </w:rPr>
            </w:pPr>
            <w:r>
              <w:rPr>
                <w:rFonts w:eastAsia="仿宋_GB2312"/>
                <w:kern w:val="0"/>
                <w:sz w:val="20"/>
                <w:szCs w:val="20"/>
              </w:rPr>
              <w:t>“三公经费”控制率</w:t>
            </w:r>
          </w:p>
        </w:tc>
        <w:tc>
          <w:tcPr>
            <w:tcW w:w="483" w:type="dxa"/>
            <w:tcBorders>
              <w:top w:val="nil"/>
              <w:left w:val="nil"/>
              <w:bottom w:val="single" w:color="auto" w:sz="4" w:space="0"/>
              <w:right w:val="single" w:color="auto" w:sz="4" w:space="0"/>
            </w:tcBorders>
            <w:vAlign w:val="center"/>
          </w:tcPr>
          <w:p w14:paraId="7D4628F0">
            <w:pPr>
              <w:widowControl/>
              <w:spacing w:line="560" w:lineRule="exact"/>
              <w:jc w:val="center"/>
              <w:rPr>
                <w:rFonts w:eastAsia="仿宋_GB2312"/>
                <w:kern w:val="0"/>
                <w:sz w:val="20"/>
                <w:szCs w:val="20"/>
              </w:rPr>
            </w:pPr>
            <w:r>
              <w:rPr>
                <w:rFonts w:eastAsia="仿宋_GB2312"/>
                <w:kern w:val="0"/>
                <w:sz w:val="20"/>
                <w:szCs w:val="20"/>
              </w:rPr>
              <w:t>7</w:t>
            </w:r>
          </w:p>
        </w:tc>
        <w:tc>
          <w:tcPr>
            <w:tcW w:w="2948" w:type="dxa"/>
            <w:tcBorders>
              <w:top w:val="nil"/>
              <w:left w:val="nil"/>
              <w:bottom w:val="single" w:color="auto" w:sz="4" w:space="0"/>
              <w:right w:val="single" w:color="auto" w:sz="4" w:space="0"/>
            </w:tcBorders>
            <w:vAlign w:val="center"/>
          </w:tcPr>
          <w:p w14:paraId="6B9FC305">
            <w:pPr>
              <w:widowControl/>
              <w:spacing w:line="560" w:lineRule="exact"/>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vAlign w:val="center"/>
          </w:tcPr>
          <w:p w14:paraId="691BCA5B">
            <w:pPr>
              <w:widowControl/>
              <w:spacing w:line="560" w:lineRule="exact"/>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vAlign w:val="center"/>
          </w:tcPr>
          <w:p w14:paraId="583FE9E1">
            <w:pPr>
              <w:widowControl/>
              <w:spacing w:line="560" w:lineRule="exact"/>
              <w:jc w:val="left"/>
              <w:rPr>
                <w:kern w:val="0"/>
                <w:sz w:val="24"/>
              </w:rPr>
            </w:pPr>
            <w:r>
              <w:rPr>
                <w:kern w:val="0"/>
                <w:sz w:val="24"/>
              </w:rPr>
              <w:t>　</w:t>
            </w:r>
            <w:r>
              <w:rPr>
                <w:rFonts w:hint="eastAsia"/>
                <w:kern w:val="0"/>
                <w:sz w:val="24"/>
              </w:rPr>
              <w:t>7</w:t>
            </w:r>
          </w:p>
        </w:tc>
      </w:tr>
      <w:tr w14:paraId="4F1AD9C9">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14:paraId="36F7887D">
            <w:pPr>
              <w:spacing w:line="560" w:lineRule="exact"/>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9913A0C">
            <w:pPr>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99554F5">
            <w:pPr>
              <w:widowControl/>
              <w:spacing w:line="560" w:lineRule="exact"/>
              <w:jc w:val="left"/>
              <w:rPr>
                <w:rFonts w:eastAsia="仿宋_GB2312"/>
                <w:kern w:val="0"/>
                <w:sz w:val="20"/>
                <w:szCs w:val="20"/>
              </w:rPr>
            </w:pPr>
            <w:r>
              <w:rPr>
                <w:rFonts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14:paraId="48FCE8B9">
            <w:pPr>
              <w:widowControl/>
              <w:spacing w:line="560" w:lineRule="exact"/>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vAlign w:val="center"/>
          </w:tcPr>
          <w:p w14:paraId="6B329339">
            <w:pPr>
              <w:widowControl/>
              <w:spacing w:line="560" w:lineRule="exact"/>
              <w:jc w:val="left"/>
              <w:rPr>
                <w:rFonts w:eastAsia="仿宋_GB2312"/>
                <w:kern w:val="0"/>
                <w:sz w:val="20"/>
                <w:szCs w:val="20"/>
              </w:rPr>
            </w:pPr>
            <w:r>
              <w:rPr>
                <w:rFonts w:eastAsia="仿宋_GB2312"/>
                <w:kern w:val="0"/>
                <w:sz w:val="20"/>
                <w:szCs w:val="20"/>
              </w:rPr>
              <w:t>100%计满分，每超过（降低）5%扣2分。扣完为止。</w:t>
            </w:r>
          </w:p>
        </w:tc>
        <w:tc>
          <w:tcPr>
            <w:tcW w:w="3490" w:type="dxa"/>
            <w:tcBorders>
              <w:top w:val="nil"/>
              <w:left w:val="nil"/>
              <w:bottom w:val="single" w:color="auto" w:sz="4" w:space="0"/>
              <w:right w:val="single" w:color="auto" w:sz="4" w:space="0"/>
            </w:tcBorders>
            <w:vAlign w:val="center"/>
          </w:tcPr>
          <w:p w14:paraId="419268FB">
            <w:pPr>
              <w:widowControl/>
              <w:spacing w:line="560" w:lineRule="exact"/>
              <w:jc w:val="left"/>
              <w:rPr>
                <w:rFonts w:eastAsia="仿宋_GB2312"/>
                <w:kern w:val="0"/>
                <w:sz w:val="20"/>
                <w:szCs w:val="20"/>
              </w:rPr>
            </w:pPr>
            <w:r>
              <w:rPr>
                <w:rFonts w:eastAsia="仿宋_GB2312"/>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vAlign w:val="center"/>
          </w:tcPr>
          <w:p w14:paraId="6E2E523A">
            <w:pPr>
              <w:widowControl/>
              <w:spacing w:line="560" w:lineRule="exact"/>
              <w:jc w:val="left"/>
              <w:rPr>
                <w:kern w:val="0"/>
                <w:sz w:val="24"/>
              </w:rPr>
            </w:pPr>
            <w:r>
              <w:rPr>
                <w:kern w:val="0"/>
                <w:sz w:val="24"/>
              </w:rPr>
              <w:t>　</w:t>
            </w:r>
            <w:r>
              <w:rPr>
                <w:rFonts w:hint="eastAsia"/>
                <w:kern w:val="0"/>
                <w:sz w:val="24"/>
              </w:rPr>
              <w:t>6</w:t>
            </w:r>
          </w:p>
        </w:tc>
      </w:tr>
      <w:tr w14:paraId="3ECF70B0">
        <w:tblPrEx>
          <w:tblCellMar>
            <w:top w:w="0" w:type="dxa"/>
            <w:left w:w="108" w:type="dxa"/>
            <w:bottom w:w="0" w:type="dxa"/>
            <w:right w:w="108" w:type="dxa"/>
          </w:tblCellMar>
        </w:tblPrEx>
        <w:trPr>
          <w:jc w:val="center"/>
        </w:trPr>
        <w:tc>
          <w:tcPr>
            <w:tcW w:w="709" w:type="dxa"/>
            <w:vMerge w:val="continue"/>
            <w:tcBorders>
              <w:left w:val="single" w:color="auto" w:sz="4" w:space="0"/>
              <w:bottom w:val="single" w:color="000000" w:sz="4" w:space="0"/>
              <w:right w:val="single" w:color="auto" w:sz="4" w:space="0"/>
            </w:tcBorders>
            <w:vAlign w:val="center"/>
          </w:tcPr>
          <w:p w14:paraId="6DADAEEB">
            <w:pPr>
              <w:spacing w:line="560" w:lineRule="exact"/>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14:paraId="087452DE">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37E152B3">
            <w:pPr>
              <w:widowControl/>
              <w:spacing w:line="560" w:lineRule="exact"/>
              <w:jc w:val="left"/>
              <w:rPr>
                <w:rFonts w:eastAsia="仿宋_GB2312"/>
                <w:kern w:val="0"/>
                <w:sz w:val="20"/>
                <w:szCs w:val="20"/>
              </w:rPr>
            </w:pPr>
            <w:r>
              <w:rPr>
                <w:rFonts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14:paraId="6077E9DF">
            <w:pPr>
              <w:widowControl/>
              <w:spacing w:line="560" w:lineRule="exact"/>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vAlign w:val="center"/>
          </w:tcPr>
          <w:p w14:paraId="7875CA67">
            <w:pPr>
              <w:widowControl/>
              <w:spacing w:line="560" w:lineRule="exact"/>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r>
              <w:rPr>
                <w:rFonts w:eastAsia="仿宋_GB2312"/>
                <w:kern w:val="0"/>
                <w:sz w:val="20"/>
                <w:szCs w:val="20"/>
              </w:rPr>
              <w:br w:type="textWrapping"/>
            </w:r>
            <w:r>
              <w:rPr>
                <w:rFonts w:hint="eastAsia" w:ascii="宋体" w:hAnsi="宋体" w:cs="宋体"/>
                <w:kern w:val="0"/>
                <w:sz w:val="20"/>
                <w:szCs w:val="20"/>
              </w:rPr>
              <w:t>②</w:t>
            </w:r>
            <w:r>
              <w:rPr>
                <w:rFonts w:eastAsia="仿宋_GB2312"/>
                <w:kern w:val="0"/>
                <w:sz w:val="20"/>
                <w:szCs w:val="20"/>
              </w:rPr>
              <w:t>有本部门厉行节约制度,2分；</w:t>
            </w:r>
            <w:r>
              <w:rPr>
                <w:rFonts w:eastAsia="仿宋_GB2312"/>
                <w:kern w:val="0"/>
                <w:sz w:val="20"/>
                <w:szCs w:val="20"/>
              </w:rPr>
              <w:br w:type="textWrapping"/>
            </w: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490" w:type="dxa"/>
            <w:tcBorders>
              <w:top w:val="nil"/>
              <w:left w:val="nil"/>
              <w:bottom w:val="single" w:color="auto" w:sz="4" w:space="0"/>
              <w:right w:val="single" w:color="auto" w:sz="4" w:space="0"/>
            </w:tcBorders>
            <w:vAlign w:val="center"/>
          </w:tcPr>
          <w:p w14:paraId="04C0F402">
            <w:pPr>
              <w:widowControl/>
              <w:spacing w:line="560" w:lineRule="exact"/>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vAlign w:val="center"/>
          </w:tcPr>
          <w:p w14:paraId="73A8A2D9">
            <w:pPr>
              <w:widowControl/>
              <w:spacing w:line="560" w:lineRule="exact"/>
              <w:jc w:val="left"/>
              <w:rPr>
                <w:kern w:val="0"/>
                <w:sz w:val="24"/>
              </w:rPr>
            </w:pPr>
            <w:r>
              <w:rPr>
                <w:kern w:val="0"/>
                <w:sz w:val="24"/>
              </w:rPr>
              <w:t>　</w:t>
            </w:r>
            <w:r>
              <w:rPr>
                <w:rFonts w:hint="eastAsia"/>
                <w:kern w:val="0"/>
                <w:sz w:val="24"/>
              </w:rPr>
              <w:t>6</w:t>
            </w:r>
          </w:p>
        </w:tc>
      </w:tr>
      <w:tr w14:paraId="0E3E2D5E">
        <w:tblPrEx>
          <w:tblCellMar>
            <w:top w:w="0" w:type="dxa"/>
            <w:left w:w="108" w:type="dxa"/>
            <w:bottom w:w="0" w:type="dxa"/>
            <w:right w:w="108" w:type="dxa"/>
          </w:tblCellMar>
        </w:tblPrEx>
        <w:trPr>
          <w:trHeight w:val="2856" w:hRule="atLeast"/>
          <w:jc w:val="center"/>
        </w:trPr>
        <w:tc>
          <w:tcPr>
            <w:tcW w:w="709" w:type="dxa"/>
            <w:vMerge w:val="restart"/>
            <w:tcBorders>
              <w:top w:val="nil"/>
              <w:left w:val="single" w:color="auto" w:sz="4" w:space="0"/>
              <w:right w:val="single" w:color="auto" w:sz="4" w:space="0"/>
            </w:tcBorders>
            <w:vAlign w:val="center"/>
          </w:tcPr>
          <w:p w14:paraId="046B2DEF">
            <w:pPr>
              <w:spacing w:line="560" w:lineRule="exact"/>
              <w:jc w:val="center"/>
              <w:rPr>
                <w:rFonts w:eastAsia="仿宋_GB2312"/>
                <w:kern w:val="0"/>
                <w:sz w:val="20"/>
                <w:szCs w:val="20"/>
              </w:rPr>
            </w:pPr>
            <w:r>
              <w:rPr>
                <w:rFonts w:eastAsia="仿宋_GB2312"/>
                <w:kern w:val="0"/>
                <w:sz w:val="20"/>
                <w:szCs w:val="20"/>
              </w:rPr>
              <w:t>过                                                                                                                                       程</w:t>
            </w:r>
          </w:p>
          <w:p w14:paraId="5867F9EE">
            <w:pPr>
              <w:spacing w:line="560" w:lineRule="exact"/>
              <w:jc w:val="left"/>
              <w:rPr>
                <w:rFonts w:eastAsia="仿宋_GB2312"/>
                <w:kern w:val="0"/>
                <w:sz w:val="20"/>
                <w:szCs w:val="20"/>
              </w:rPr>
            </w:pPr>
          </w:p>
          <w:p w14:paraId="6905914D">
            <w:pPr>
              <w:widowControl/>
              <w:spacing w:line="560" w:lineRule="exact"/>
              <w:jc w:val="left"/>
              <w:rPr>
                <w:rFonts w:eastAsia="仿宋_GB2312"/>
                <w:kern w:val="0"/>
                <w:sz w:val="20"/>
                <w:szCs w:val="20"/>
              </w:rPr>
            </w:pPr>
            <w:r>
              <w:rPr>
                <w:rFonts w:hint="eastAsia" w:eastAsia="仿宋_GB2312"/>
                <w:kern w:val="0"/>
                <w:sz w:val="20"/>
                <w:szCs w:val="20"/>
              </w:rPr>
              <w:t>60分</w:t>
            </w:r>
          </w:p>
        </w:tc>
        <w:tc>
          <w:tcPr>
            <w:tcW w:w="677" w:type="dxa"/>
            <w:vMerge w:val="restart"/>
            <w:tcBorders>
              <w:top w:val="nil"/>
              <w:left w:val="nil"/>
              <w:right w:val="single" w:color="auto" w:sz="4" w:space="0"/>
            </w:tcBorders>
            <w:vAlign w:val="center"/>
          </w:tcPr>
          <w:p w14:paraId="14A16ADF">
            <w:pPr>
              <w:widowControl/>
              <w:spacing w:line="560" w:lineRule="exact"/>
              <w:jc w:val="left"/>
              <w:rPr>
                <w:rFonts w:eastAsia="仿宋_GB2312"/>
                <w:kern w:val="0"/>
                <w:sz w:val="20"/>
                <w:szCs w:val="20"/>
              </w:rPr>
            </w:pPr>
            <w:r>
              <w:rPr>
                <w:rFonts w:eastAsia="仿宋_GB2312"/>
                <w:kern w:val="0"/>
                <w:sz w:val="20"/>
                <w:szCs w:val="20"/>
              </w:rPr>
              <w:t>预算管理</w:t>
            </w:r>
          </w:p>
          <w:p w14:paraId="620AD899">
            <w:pPr>
              <w:widowControl/>
              <w:spacing w:line="560" w:lineRule="exact"/>
              <w:jc w:val="left"/>
              <w:rPr>
                <w:rFonts w:eastAsia="仿宋_GB2312"/>
                <w:kern w:val="0"/>
                <w:sz w:val="20"/>
                <w:szCs w:val="20"/>
              </w:rPr>
            </w:pPr>
          </w:p>
          <w:p w14:paraId="0CECB854">
            <w:pPr>
              <w:widowControl/>
              <w:spacing w:line="560" w:lineRule="exact"/>
              <w:jc w:val="left"/>
              <w:rPr>
                <w:rFonts w:eastAsia="仿宋_GB2312"/>
                <w:kern w:val="0"/>
                <w:sz w:val="20"/>
                <w:szCs w:val="20"/>
              </w:rPr>
            </w:pPr>
            <w:r>
              <w:rPr>
                <w:rFonts w:hint="eastAsia" w:eastAsia="仿宋_GB2312"/>
                <w:kern w:val="0"/>
                <w:sz w:val="20"/>
                <w:szCs w:val="20"/>
              </w:rPr>
              <w:t>40分</w:t>
            </w:r>
          </w:p>
        </w:tc>
        <w:tc>
          <w:tcPr>
            <w:tcW w:w="1014" w:type="dxa"/>
            <w:tcBorders>
              <w:top w:val="nil"/>
              <w:left w:val="nil"/>
              <w:bottom w:val="single" w:color="auto" w:sz="4" w:space="0"/>
              <w:right w:val="single" w:color="auto" w:sz="4" w:space="0"/>
            </w:tcBorders>
            <w:vAlign w:val="center"/>
          </w:tcPr>
          <w:p w14:paraId="2A58896F">
            <w:pPr>
              <w:widowControl/>
              <w:spacing w:line="560" w:lineRule="exact"/>
              <w:jc w:val="left"/>
              <w:rPr>
                <w:rFonts w:eastAsia="仿宋_GB2312"/>
                <w:kern w:val="0"/>
                <w:sz w:val="20"/>
                <w:szCs w:val="20"/>
              </w:rPr>
            </w:pPr>
            <w:r>
              <w:rPr>
                <w:rFonts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14:paraId="00387434">
            <w:pPr>
              <w:widowControl/>
              <w:spacing w:line="560" w:lineRule="exact"/>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vAlign w:val="center"/>
          </w:tcPr>
          <w:p w14:paraId="01EF9EFE">
            <w:pPr>
              <w:widowControl/>
              <w:spacing w:line="560" w:lineRule="exact"/>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以上情况每出现一例不符合要求的扣1分，扣完为止。</w:t>
            </w:r>
          </w:p>
        </w:tc>
        <w:tc>
          <w:tcPr>
            <w:tcW w:w="3490" w:type="dxa"/>
            <w:tcBorders>
              <w:top w:val="nil"/>
              <w:left w:val="nil"/>
              <w:bottom w:val="single" w:color="auto" w:sz="4" w:space="0"/>
              <w:right w:val="single" w:color="auto" w:sz="4" w:space="0"/>
            </w:tcBorders>
            <w:vAlign w:val="center"/>
          </w:tcPr>
          <w:p w14:paraId="43D01C69">
            <w:pPr>
              <w:widowControl/>
              <w:spacing w:line="560" w:lineRule="exact"/>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vAlign w:val="center"/>
          </w:tcPr>
          <w:p w14:paraId="0C6F72BC">
            <w:pPr>
              <w:widowControl/>
              <w:spacing w:line="560" w:lineRule="exact"/>
              <w:jc w:val="left"/>
              <w:rPr>
                <w:kern w:val="0"/>
                <w:sz w:val="24"/>
              </w:rPr>
            </w:pPr>
            <w:r>
              <w:rPr>
                <w:kern w:val="0"/>
                <w:sz w:val="24"/>
              </w:rPr>
              <w:t>　</w:t>
            </w:r>
            <w:r>
              <w:rPr>
                <w:rFonts w:hint="eastAsia"/>
                <w:kern w:val="0"/>
                <w:sz w:val="24"/>
              </w:rPr>
              <w:t>6</w:t>
            </w:r>
          </w:p>
        </w:tc>
      </w:tr>
      <w:tr w14:paraId="3430F04A">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000000" w:sz="4" w:space="0"/>
              <w:right w:val="single" w:color="auto" w:sz="4" w:space="0"/>
            </w:tcBorders>
            <w:vAlign w:val="center"/>
          </w:tcPr>
          <w:p w14:paraId="225D2ADE">
            <w:pPr>
              <w:widowControl/>
              <w:spacing w:line="560" w:lineRule="exact"/>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11DD34C8">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043CE9A4">
            <w:pPr>
              <w:widowControl/>
              <w:spacing w:line="560" w:lineRule="exact"/>
              <w:jc w:val="left"/>
              <w:rPr>
                <w:rFonts w:eastAsia="仿宋_GB2312"/>
                <w:kern w:val="0"/>
                <w:sz w:val="20"/>
                <w:szCs w:val="20"/>
              </w:rPr>
            </w:pPr>
            <w:r>
              <w:rPr>
                <w:rFonts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14:paraId="2DC2616A">
            <w:pPr>
              <w:widowControl/>
              <w:spacing w:line="560" w:lineRule="exact"/>
              <w:jc w:val="center"/>
              <w:rPr>
                <w:rFonts w:eastAsia="仿宋_GB2312"/>
                <w:kern w:val="0"/>
                <w:sz w:val="20"/>
                <w:szCs w:val="20"/>
              </w:rPr>
            </w:pPr>
            <w:r>
              <w:rPr>
                <w:rFonts w:eastAsia="仿宋_GB2312"/>
                <w:kern w:val="0"/>
                <w:sz w:val="20"/>
                <w:szCs w:val="20"/>
              </w:rPr>
              <w:t>5</w:t>
            </w:r>
          </w:p>
        </w:tc>
        <w:tc>
          <w:tcPr>
            <w:tcW w:w="2948" w:type="dxa"/>
            <w:tcBorders>
              <w:top w:val="nil"/>
              <w:left w:val="nil"/>
              <w:bottom w:val="single" w:color="auto" w:sz="4" w:space="0"/>
              <w:right w:val="single" w:color="auto" w:sz="4" w:space="0"/>
            </w:tcBorders>
            <w:vAlign w:val="center"/>
          </w:tcPr>
          <w:p w14:paraId="31D0937C">
            <w:pPr>
              <w:widowControl/>
              <w:spacing w:line="560" w:lineRule="exact"/>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490" w:type="dxa"/>
            <w:tcBorders>
              <w:top w:val="nil"/>
              <w:left w:val="nil"/>
              <w:bottom w:val="single" w:color="auto" w:sz="4" w:space="0"/>
              <w:right w:val="single" w:color="auto" w:sz="4" w:space="0"/>
            </w:tcBorders>
            <w:vAlign w:val="center"/>
          </w:tcPr>
          <w:p w14:paraId="332606F2">
            <w:pPr>
              <w:widowControl/>
              <w:spacing w:line="56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14:paraId="37F97186">
            <w:pPr>
              <w:widowControl/>
              <w:spacing w:line="560" w:lineRule="exact"/>
              <w:jc w:val="left"/>
              <w:rPr>
                <w:kern w:val="0"/>
                <w:sz w:val="24"/>
              </w:rPr>
            </w:pPr>
            <w:r>
              <w:rPr>
                <w:kern w:val="0"/>
                <w:sz w:val="24"/>
              </w:rPr>
              <w:t>　</w:t>
            </w:r>
            <w:r>
              <w:rPr>
                <w:rFonts w:hint="eastAsia"/>
                <w:kern w:val="0"/>
                <w:sz w:val="24"/>
              </w:rPr>
              <w:t>5</w:t>
            </w:r>
          </w:p>
        </w:tc>
      </w:tr>
      <w:tr w14:paraId="5FD9B4D2">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14:paraId="63B5819B">
            <w:pPr>
              <w:widowControl/>
              <w:spacing w:line="560" w:lineRule="exact"/>
              <w:jc w:val="center"/>
              <w:rPr>
                <w:rFonts w:eastAsia="仿宋_GB2312"/>
                <w:kern w:val="0"/>
                <w:sz w:val="20"/>
                <w:szCs w:val="20"/>
              </w:rPr>
            </w:pPr>
            <w:r>
              <w:rPr>
                <w:rFonts w:eastAsia="仿宋_GB2312"/>
                <w:kern w:val="0"/>
                <w:sz w:val="20"/>
                <w:szCs w:val="20"/>
              </w:rPr>
              <w:t>产出及效率</w:t>
            </w:r>
          </w:p>
          <w:p w14:paraId="02BEC4B2">
            <w:pPr>
              <w:widowControl/>
              <w:spacing w:line="560" w:lineRule="exact"/>
              <w:jc w:val="center"/>
              <w:rPr>
                <w:rFonts w:eastAsia="仿宋_GB2312"/>
                <w:kern w:val="0"/>
                <w:sz w:val="20"/>
                <w:szCs w:val="20"/>
              </w:rPr>
            </w:pPr>
          </w:p>
          <w:p w14:paraId="3578BEA2">
            <w:pPr>
              <w:widowControl/>
              <w:spacing w:line="560" w:lineRule="exact"/>
              <w:jc w:val="center"/>
              <w:rPr>
                <w:rFonts w:eastAsia="仿宋_GB2312"/>
                <w:kern w:val="0"/>
                <w:sz w:val="20"/>
                <w:szCs w:val="20"/>
              </w:rPr>
            </w:pPr>
            <w:r>
              <w:rPr>
                <w:rFonts w:hint="eastAsia" w:eastAsia="仿宋_GB2312"/>
                <w:kern w:val="0"/>
                <w:sz w:val="20"/>
                <w:szCs w:val="20"/>
              </w:rPr>
              <w:t>30分</w:t>
            </w:r>
          </w:p>
        </w:tc>
        <w:tc>
          <w:tcPr>
            <w:tcW w:w="677" w:type="dxa"/>
            <w:tcBorders>
              <w:top w:val="nil"/>
              <w:left w:val="nil"/>
              <w:bottom w:val="single" w:color="auto" w:sz="4" w:space="0"/>
              <w:right w:val="single" w:color="auto" w:sz="4" w:space="0"/>
            </w:tcBorders>
            <w:vAlign w:val="center"/>
          </w:tcPr>
          <w:p w14:paraId="132FF79D">
            <w:pPr>
              <w:widowControl/>
              <w:spacing w:line="560" w:lineRule="exact"/>
              <w:jc w:val="center"/>
              <w:rPr>
                <w:rFonts w:eastAsia="仿宋_GB2312"/>
                <w:kern w:val="0"/>
                <w:sz w:val="20"/>
                <w:szCs w:val="20"/>
              </w:rPr>
            </w:pPr>
            <w:r>
              <w:rPr>
                <w:rFonts w:eastAsia="仿宋_GB2312"/>
                <w:kern w:val="0"/>
                <w:sz w:val="20"/>
                <w:szCs w:val="20"/>
              </w:rPr>
              <w:t>职责履行</w:t>
            </w:r>
          </w:p>
          <w:p w14:paraId="7D4E564D">
            <w:pPr>
              <w:widowControl/>
              <w:spacing w:line="560" w:lineRule="exact"/>
              <w:jc w:val="center"/>
              <w:rPr>
                <w:rFonts w:eastAsia="仿宋_GB2312"/>
                <w:kern w:val="0"/>
                <w:sz w:val="20"/>
                <w:szCs w:val="20"/>
              </w:rPr>
            </w:pPr>
          </w:p>
          <w:p w14:paraId="1D86BA52">
            <w:pPr>
              <w:widowControl/>
              <w:spacing w:line="560" w:lineRule="exact"/>
              <w:jc w:val="center"/>
              <w:rPr>
                <w:rFonts w:eastAsia="仿宋_GB2312"/>
                <w:kern w:val="0"/>
                <w:sz w:val="20"/>
                <w:szCs w:val="20"/>
              </w:rPr>
            </w:pPr>
            <w:r>
              <w:rPr>
                <w:rFonts w:hint="eastAsia" w:eastAsia="仿宋_GB2312"/>
                <w:kern w:val="0"/>
                <w:sz w:val="20"/>
                <w:szCs w:val="20"/>
              </w:rPr>
              <w:t>8分</w:t>
            </w:r>
          </w:p>
        </w:tc>
        <w:tc>
          <w:tcPr>
            <w:tcW w:w="1014" w:type="dxa"/>
            <w:tcBorders>
              <w:top w:val="nil"/>
              <w:left w:val="nil"/>
              <w:bottom w:val="nil"/>
              <w:right w:val="single" w:color="auto" w:sz="4" w:space="0"/>
            </w:tcBorders>
            <w:vAlign w:val="center"/>
          </w:tcPr>
          <w:p w14:paraId="425D61C2">
            <w:pPr>
              <w:widowControl/>
              <w:spacing w:line="560" w:lineRule="exact"/>
              <w:jc w:val="left"/>
              <w:rPr>
                <w:rFonts w:eastAsia="仿宋_GB2312"/>
                <w:kern w:val="0"/>
                <w:sz w:val="20"/>
                <w:szCs w:val="20"/>
              </w:rPr>
            </w:pPr>
            <w:r>
              <w:rPr>
                <w:rFonts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14:paraId="7BA74491">
            <w:pPr>
              <w:widowControl/>
              <w:spacing w:line="560" w:lineRule="exact"/>
              <w:jc w:val="center"/>
              <w:rPr>
                <w:rFonts w:eastAsia="仿宋_GB2312"/>
                <w:kern w:val="0"/>
                <w:sz w:val="20"/>
                <w:szCs w:val="20"/>
              </w:rPr>
            </w:pPr>
            <w:r>
              <w:rPr>
                <w:rFonts w:eastAsia="仿宋_GB2312"/>
                <w:kern w:val="0"/>
                <w:sz w:val="20"/>
                <w:szCs w:val="20"/>
              </w:rPr>
              <w:t>8</w:t>
            </w:r>
          </w:p>
        </w:tc>
        <w:tc>
          <w:tcPr>
            <w:tcW w:w="2948" w:type="dxa"/>
            <w:tcBorders>
              <w:top w:val="nil"/>
              <w:left w:val="nil"/>
              <w:bottom w:val="single" w:color="auto" w:sz="4" w:space="0"/>
              <w:right w:val="single" w:color="auto" w:sz="4" w:space="0"/>
            </w:tcBorders>
            <w:vAlign w:val="center"/>
          </w:tcPr>
          <w:p w14:paraId="03ADDE24">
            <w:pPr>
              <w:widowControl/>
              <w:spacing w:line="560" w:lineRule="exact"/>
              <w:jc w:val="left"/>
              <w:rPr>
                <w:rFonts w:eastAsia="仿宋_GB2312"/>
                <w:kern w:val="0"/>
                <w:sz w:val="20"/>
                <w:szCs w:val="20"/>
              </w:rPr>
            </w:pPr>
            <w:r>
              <w:rPr>
                <w:rFonts w:eastAsia="仿宋_GB2312"/>
                <w:kern w:val="0"/>
                <w:sz w:val="20"/>
                <w:szCs w:val="20"/>
              </w:rPr>
              <w:t>根据</w:t>
            </w:r>
            <w:r>
              <w:rPr>
                <w:rFonts w:hint="eastAsia" w:eastAsia="仿宋_GB2312"/>
                <w:kern w:val="0"/>
                <w:sz w:val="20"/>
                <w:szCs w:val="20"/>
              </w:rPr>
              <w:t>市</w:t>
            </w:r>
            <w:r>
              <w:rPr>
                <w:rFonts w:eastAsia="仿宋_GB2312"/>
                <w:kern w:val="0"/>
                <w:sz w:val="20"/>
                <w:szCs w:val="20"/>
              </w:rPr>
              <w:t>绩效办201</w:t>
            </w:r>
            <w:r>
              <w:rPr>
                <w:rFonts w:hint="eastAsia" w:eastAsia="仿宋_GB2312"/>
                <w:kern w:val="0"/>
                <w:sz w:val="20"/>
                <w:szCs w:val="20"/>
              </w:rPr>
              <w:t>9</w:t>
            </w:r>
            <w:r>
              <w:rPr>
                <w:rFonts w:eastAsia="仿宋_GB2312"/>
                <w:kern w:val="0"/>
                <w:sz w:val="20"/>
                <w:szCs w:val="20"/>
              </w:rPr>
              <w:t>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490" w:type="dxa"/>
            <w:tcBorders>
              <w:top w:val="nil"/>
              <w:left w:val="nil"/>
              <w:bottom w:val="single" w:color="auto" w:sz="4" w:space="0"/>
              <w:right w:val="single" w:color="auto" w:sz="4" w:space="0"/>
            </w:tcBorders>
            <w:vAlign w:val="center"/>
          </w:tcPr>
          <w:p w14:paraId="30367B67">
            <w:pPr>
              <w:widowControl/>
              <w:spacing w:line="560" w:lineRule="exact"/>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vAlign w:val="center"/>
          </w:tcPr>
          <w:p w14:paraId="39A3EDCA">
            <w:pPr>
              <w:widowControl/>
              <w:spacing w:line="560" w:lineRule="exact"/>
              <w:jc w:val="left"/>
              <w:rPr>
                <w:kern w:val="0"/>
                <w:sz w:val="24"/>
              </w:rPr>
            </w:pPr>
            <w:r>
              <w:rPr>
                <w:kern w:val="0"/>
                <w:sz w:val="24"/>
              </w:rPr>
              <w:t>　</w:t>
            </w:r>
            <w:r>
              <w:rPr>
                <w:rFonts w:hint="eastAsia"/>
                <w:kern w:val="0"/>
                <w:sz w:val="24"/>
              </w:rPr>
              <w:t>8</w:t>
            </w:r>
          </w:p>
        </w:tc>
      </w:tr>
      <w:tr w14:paraId="02D31FAA">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14:paraId="37CD0825">
            <w:pPr>
              <w:widowControl/>
              <w:spacing w:line="560" w:lineRule="exact"/>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14:paraId="1D4A83BA">
            <w:pPr>
              <w:widowControl/>
              <w:spacing w:line="560" w:lineRule="exact"/>
              <w:jc w:val="center"/>
              <w:rPr>
                <w:rFonts w:eastAsia="仿宋_GB2312"/>
                <w:kern w:val="0"/>
                <w:sz w:val="20"/>
                <w:szCs w:val="20"/>
              </w:rPr>
            </w:pPr>
            <w:r>
              <w:rPr>
                <w:rFonts w:eastAsia="仿宋_GB2312"/>
                <w:kern w:val="0"/>
                <w:sz w:val="20"/>
                <w:szCs w:val="20"/>
              </w:rPr>
              <w:t>履职 效益</w:t>
            </w:r>
          </w:p>
          <w:p w14:paraId="56987405">
            <w:pPr>
              <w:widowControl/>
              <w:spacing w:line="560" w:lineRule="exact"/>
              <w:jc w:val="center"/>
              <w:rPr>
                <w:rFonts w:eastAsia="仿宋_GB2312"/>
                <w:kern w:val="0"/>
                <w:sz w:val="20"/>
                <w:szCs w:val="20"/>
              </w:rPr>
            </w:pPr>
          </w:p>
          <w:p w14:paraId="3F5C2FF2">
            <w:pPr>
              <w:widowControl/>
              <w:spacing w:line="560" w:lineRule="exact"/>
              <w:jc w:val="center"/>
              <w:rPr>
                <w:rFonts w:eastAsia="仿宋_GB2312"/>
                <w:kern w:val="0"/>
                <w:sz w:val="20"/>
                <w:szCs w:val="20"/>
              </w:rPr>
            </w:pPr>
            <w:r>
              <w:rPr>
                <w:rFonts w:hint="eastAsia" w:eastAsia="仿宋_GB2312"/>
                <w:kern w:val="0"/>
                <w:sz w:val="20"/>
                <w:szCs w:val="20"/>
              </w:rPr>
              <w:t>22分</w:t>
            </w:r>
          </w:p>
        </w:tc>
        <w:tc>
          <w:tcPr>
            <w:tcW w:w="1014" w:type="dxa"/>
            <w:tcBorders>
              <w:top w:val="single" w:color="auto" w:sz="4" w:space="0"/>
              <w:left w:val="nil"/>
              <w:bottom w:val="single" w:color="auto" w:sz="4" w:space="0"/>
              <w:right w:val="single" w:color="auto" w:sz="4" w:space="0"/>
            </w:tcBorders>
            <w:vAlign w:val="center"/>
          </w:tcPr>
          <w:p w14:paraId="599B0CAD">
            <w:pPr>
              <w:widowControl/>
              <w:spacing w:line="560" w:lineRule="exact"/>
              <w:jc w:val="center"/>
              <w:rPr>
                <w:rFonts w:eastAsia="仿宋_GB2312"/>
                <w:kern w:val="0"/>
                <w:sz w:val="20"/>
                <w:szCs w:val="20"/>
              </w:rPr>
            </w:pPr>
            <w:r>
              <w:rPr>
                <w:rFonts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14:paraId="05D78F1C">
            <w:pPr>
              <w:widowControl/>
              <w:spacing w:line="560" w:lineRule="exact"/>
              <w:jc w:val="center"/>
              <w:rPr>
                <w:rFonts w:eastAsia="仿宋_GB2312"/>
                <w:kern w:val="0"/>
                <w:sz w:val="20"/>
                <w:szCs w:val="20"/>
              </w:rPr>
            </w:pPr>
            <w:r>
              <w:rPr>
                <w:rFonts w:eastAsia="仿宋_GB2312"/>
                <w:kern w:val="0"/>
                <w:sz w:val="20"/>
                <w:szCs w:val="20"/>
              </w:rPr>
              <w:t>10</w:t>
            </w:r>
          </w:p>
        </w:tc>
        <w:tc>
          <w:tcPr>
            <w:tcW w:w="6438" w:type="dxa"/>
            <w:gridSpan w:val="2"/>
            <w:vMerge w:val="restart"/>
            <w:tcBorders>
              <w:top w:val="single" w:color="auto" w:sz="4" w:space="0"/>
              <w:left w:val="single" w:color="auto" w:sz="4" w:space="0"/>
              <w:bottom w:val="nil"/>
              <w:right w:val="single" w:color="000000" w:sz="4" w:space="0"/>
            </w:tcBorders>
            <w:vAlign w:val="center"/>
          </w:tcPr>
          <w:p w14:paraId="1ED84F1D">
            <w:pPr>
              <w:widowControl/>
              <w:spacing w:line="56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14:paraId="73F27D2D">
            <w:pPr>
              <w:widowControl/>
              <w:spacing w:line="560" w:lineRule="exact"/>
              <w:jc w:val="left"/>
              <w:rPr>
                <w:kern w:val="0"/>
                <w:sz w:val="24"/>
              </w:rPr>
            </w:pPr>
            <w:r>
              <w:rPr>
                <w:kern w:val="0"/>
                <w:sz w:val="24"/>
              </w:rPr>
              <w:t>　</w:t>
            </w:r>
            <w:r>
              <w:rPr>
                <w:rFonts w:hint="eastAsia"/>
                <w:kern w:val="0"/>
                <w:sz w:val="24"/>
              </w:rPr>
              <w:t>10</w:t>
            </w:r>
          </w:p>
        </w:tc>
      </w:tr>
      <w:tr w14:paraId="5FAA5076">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14:paraId="24BC329F">
            <w:pPr>
              <w:widowControl/>
              <w:spacing w:line="560" w:lineRule="exact"/>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5394798A">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7FC1ADD9">
            <w:pPr>
              <w:widowControl/>
              <w:spacing w:line="560" w:lineRule="exact"/>
              <w:jc w:val="center"/>
              <w:rPr>
                <w:rFonts w:eastAsia="仿宋_GB2312"/>
                <w:kern w:val="0"/>
                <w:sz w:val="20"/>
                <w:szCs w:val="20"/>
              </w:rPr>
            </w:pPr>
            <w:r>
              <w:rPr>
                <w:rFonts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14:paraId="46C6F0D2">
            <w:pPr>
              <w:widowControl/>
              <w:spacing w:line="560" w:lineRule="exact"/>
              <w:jc w:val="left"/>
              <w:rPr>
                <w:rFonts w:eastAsia="仿宋_GB2312"/>
                <w:kern w:val="0"/>
                <w:sz w:val="20"/>
                <w:szCs w:val="20"/>
              </w:rPr>
            </w:pPr>
          </w:p>
        </w:tc>
        <w:tc>
          <w:tcPr>
            <w:tcW w:w="6438" w:type="dxa"/>
            <w:gridSpan w:val="2"/>
            <w:vMerge w:val="continue"/>
            <w:tcBorders>
              <w:top w:val="single" w:color="auto" w:sz="4" w:space="0"/>
              <w:left w:val="single" w:color="auto" w:sz="4" w:space="0"/>
              <w:bottom w:val="nil"/>
              <w:right w:val="single" w:color="000000" w:sz="4" w:space="0"/>
            </w:tcBorders>
            <w:vAlign w:val="center"/>
          </w:tcPr>
          <w:p w14:paraId="52EB73E8">
            <w:pPr>
              <w:widowControl/>
              <w:spacing w:line="560" w:lineRule="exact"/>
              <w:jc w:val="left"/>
              <w:rPr>
                <w:rFonts w:eastAsia="仿宋_GB2312"/>
                <w:kern w:val="0"/>
                <w:sz w:val="20"/>
                <w:szCs w:val="20"/>
              </w:rPr>
            </w:pPr>
          </w:p>
        </w:tc>
        <w:tc>
          <w:tcPr>
            <w:tcW w:w="637" w:type="dxa"/>
            <w:tcBorders>
              <w:top w:val="nil"/>
              <w:left w:val="nil"/>
              <w:bottom w:val="nil"/>
              <w:right w:val="single" w:color="auto" w:sz="4" w:space="0"/>
            </w:tcBorders>
            <w:vAlign w:val="center"/>
          </w:tcPr>
          <w:p w14:paraId="24E323E0">
            <w:pPr>
              <w:widowControl/>
              <w:spacing w:line="560" w:lineRule="exact"/>
              <w:jc w:val="left"/>
              <w:rPr>
                <w:kern w:val="0"/>
                <w:sz w:val="24"/>
              </w:rPr>
            </w:pPr>
            <w:r>
              <w:rPr>
                <w:kern w:val="0"/>
                <w:sz w:val="24"/>
              </w:rPr>
              <w:t>　</w:t>
            </w:r>
          </w:p>
        </w:tc>
      </w:tr>
      <w:tr w14:paraId="174D9D25">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14:paraId="13990553">
            <w:pPr>
              <w:widowControl/>
              <w:spacing w:line="560" w:lineRule="exact"/>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661F29D3">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D8B017F">
            <w:pPr>
              <w:widowControl/>
              <w:spacing w:line="560" w:lineRule="exact"/>
              <w:jc w:val="left"/>
              <w:rPr>
                <w:rFonts w:eastAsia="仿宋_GB2312"/>
                <w:kern w:val="0"/>
                <w:sz w:val="20"/>
                <w:szCs w:val="20"/>
              </w:rPr>
            </w:pPr>
            <w:r>
              <w:rPr>
                <w:rFonts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14:paraId="6DF59353">
            <w:pPr>
              <w:widowControl/>
              <w:spacing w:line="560" w:lineRule="exact"/>
              <w:jc w:val="center"/>
              <w:rPr>
                <w:rFonts w:eastAsia="仿宋_GB2312"/>
                <w:kern w:val="0"/>
                <w:sz w:val="20"/>
                <w:szCs w:val="20"/>
              </w:rPr>
            </w:pPr>
            <w:r>
              <w:rPr>
                <w:rFonts w:eastAsia="仿宋_GB2312"/>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19618689">
            <w:pPr>
              <w:widowControl/>
              <w:spacing w:line="56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vAlign w:val="center"/>
          </w:tcPr>
          <w:p w14:paraId="6B92315A">
            <w:pPr>
              <w:widowControl/>
              <w:spacing w:line="560" w:lineRule="exact"/>
              <w:jc w:val="left"/>
              <w:rPr>
                <w:rFonts w:eastAsia="仿宋_GB2312"/>
                <w:kern w:val="0"/>
                <w:sz w:val="20"/>
                <w:szCs w:val="20"/>
              </w:rPr>
            </w:pPr>
            <w:r>
              <w:rPr>
                <w:rFonts w:eastAsia="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14:paraId="7638707F">
            <w:pPr>
              <w:widowControl/>
              <w:spacing w:line="560" w:lineRule="exact"/>
              <w:jc w:val="left"/>
              <w:rPr>
                <w:kern w:val="0"/>
                <w:sz w:val="24"/>
              </w:rPr>
            </w:pPr>
            <w:r>
              <w:rPr>
                <w:kern w:val="0"/>
                <w:sz w:val="24"/>
              </w:rPr>
              <w:t>　</w:t>
            </w:r>
            <w:r>
              <w:rPr>
                <w:rFonts w:hint="eastAsia"/>
                <w:kern w:val="0"/>
                <w:sz w:val="24"/>
              </w:rPr>
              <w:t>6</w:t>
            </w:r>
          </w:p>
        </w:tc>
      </w:tr>
      <w:tr w14:paraId="6AC23B98">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14:paraId="140E4212">
            <w:pPr>
              <w:widowControl/>
              <w:spacing w:line="560" w:lineRule="exact"/>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04F15EF4">
            <w:pPr>
              <w:widowControl/>
              <w:spacing w:line="560" w:lineRule="exact"/>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705D9D71">
            <w:pPr>
              <w:widowControl/>
              <w:spacing w:line="560" w:lineRule="exact"/>
              <w:jc w:val="left"/>
              <w:rPr>
                <w:rFonts w:eastAsia="仿宋_GB2312"/>
                <w:kern w:val="0"/>
                <w:sz w:val="20"/>
                <w:szCs w:val="20"/>
              </w:rPr>
            </w:pPr>
            <w:r>
              <w:rPr>
                <w:rFonts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14:paraId="3ADF6A19">
            <w:pPr>
              <w:widowControl/>
              <w:spacing w:line="560" w:lineRule="exact"/>
              <w:jc w:val="center"/>
              <w:rPr>
                <w:rFonts w:eastAsia="仿宋_GB2312"/>
                <w:kern w:val="0"/>
                <w:sz w:val="20"/>
                <w:szCs w:val="20"/>
              </w:rPr>
            </w:pPr>
            <w:r>
              <w:rPr>
                <w:rFonts w:eastAsia="仿宋_GB2312"/>
                <w:kern w:val="0"/>
                <w:sz w:val="20"/>
                <w:szCs w:val="20"/>
              </w:rPr>
              <w:t>6</w:t>
            </w:r>
          </w:p>
        </w:tc>
        <w:tc>
          <w:tcPr>
            <w:tcW w:w="2948" w:type="dxa"/>
            <w:tcBorders>
              <w:top w:val="nil"/>
              <w:left w:val="nil"/>
              <w:bottom w:val="single" w:color="auto" w:sz="4" w:space="0"/>
              <w:right w:val="single" w:color="auto" w:sz="4" w:space="0"/>
            </w:tcBorders>
            <w:vAlign w:val="center"/>
          </w:tcPr>
          <w:p w14:paraId="35A3330B">
            <w:pPr>
              <w:widowControl/>
              <w:spacing w:line="560" w:lineRule="exact"/>
              <w:jc w:val="left"/>
              <w:rPr>
                <w:rFonts w:eastAsia="仿宋_GB2312"/>
                <w:kern w:val="0"/>
                <w:sz w:val="20"/>
                <w:szCs w:val="20"/>
              </w:rPr>
            </w:pPr>
            <w:r>
              <w:rPr>
                <w:rFonts w:eastAsia="仿宋_GB2312"/>
                <w:kern w:val="0"/>
                <w:sz w:val="20"/>
                <w:szCs w:val="20"/>
              </w:rPr>
              <w:t>90%（含）以上计6分；</w:t>
            </w:r>
            <w:r>
              <w:rPr>
                <w:rFonts w:eastAsia="仿宋_GB2312"/>
                <w:kern w:val="0"/>
                <w:sz w:val="20"/>
                <w:szCs w:val="20"/>
              </w:rPr>
              <w:br w:type="textWrapping"/>
            </w:r>
            <w:r>
              <w:rPr>
                <w:rFonts w:eastAsia="仿宋_GB2312"/>
                <w:kern w:val="0"/>
                <w:sz w:val="20"/>
                <w:szCs w:val="20"/>
              </w:rPr>
              <w:t>80%（含）-90%，计4分；</w:t>
            </w:r>
            <w:r>
              <w:rPr>
                <w:rFonts w:eastAsia="仿宋_GB2312"/>
                <w:kern w:val="0"/>
                <w:sz w:val="20"/>
                <w:szCs w:val="20"/>
              </w:rPr>
              <w:br w:type="textWrapping"/>
            </w:r>
            <w:r>
              <w:rPr>
                <w:rFonts w:eastAsia="仿宋_GB2312"/>
                <w:kern w:val="0"/>
                <w:sz w:val="20"/>
                <w:szCs w:val="20"/>
              </w:rPr>
              <w:t>70%（含）-80%，计2分；</w:t>
            </w:r>
            <w:r>
              <w:rPr>
                <w:rFonts w:eastAsia="仿宋_GB2312"/>
                <w:kern w:val="0"/>
                <w:sz w:val="20"/>
                <w:szCs w:val="20"/>
              </w:rPr>
              <w:br w:type="textWrapping"/>
            </w:r>
            <w:r>
              <w:rPr>
                <w:rFonts w:eastAsia="仿宋_GB2312"/>
                <w:kern w:val="0"/>
                <w:sz w:val="20"/>
                <w:szCs w:val="20"/>
              </w:rPr>
              <w:t>低于70%计0分。</w:t>
            </w:r>
          </w:p>
        </w:tc>
        <w:tc>
          <w:tcPr>
            <w:tcW w:w="3490" w:type="dxa"/>
            <w:tcBorders>
              <w:top w:val="nil"/>
              <w:left w:val="nil"/>
              <w:bottom w:val="single" w:color="auto" w:sz="4" w:space="0"/>
              <w:right w:val="single" w:color="auto" w:sz="4" w:space="0"/>
            </w:tcBorders>
            <w:vAlign w:val="center"/>
          </w:tcPr>
          <w:p w14:paraId="1F7A5E30">
            <w:pPr>
              <w:widowControl/>
              <w:spacing w:line="56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14:paraId="0E9D1AA2">
            <w:pPr>
              <w:widowControl/>
              <w:spacing w:line="560" w:lineRule="exact"/>
              <w:jc w:val="left"/>
              <w:rPr>
                <w:kern w:val="0"/>
                <w:sz w:val="24"/>
              </w:rPr>
            </w:pPr>
            <w:r>
              <w:rPr>
                <w:kern w:val="0"/>
                <w:sz w:val="24"/>
              </w:rPr>
              <w:t>　</w:t>
            </w:r>
            <w:r>
              <w:rPr>
                <w:rFonts w:hint="eastAsia"/>
                <w:kern w:val="0"/>
                <w:sz w:val="24"/>
              </w:rPr>
              <w:t>6</w:t>
            </w:r>
          </w:p>
        </w:tc>
      </w:tr>
    </w:tbl>
    <w:p w14:paraId="0BCB9C5C">
      <w:pPr>
        <w:spacing w:line="560" w:lineRule="exact"/>
        <w:jc w:val="center"/>
        <w:rPr>
          <w:rFonts w:eastAsia="方正小标宋_GBK"/>
          <w:kern w:val="0"/>
          <w:sz w:val="36"/>
          <w:szCs w:val="36"/>
        </w:rPr>
      </w:pPr>
      <w:r>
        <w:rPr>
          <w:rFonts w:eastAsia="黑体"/>
          <w:sz w:val="28"/>
          <w:szCs w:val="28"/>
        </w:rPr>
        <w:br w:type="page"/>
      </w: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14:paraId="1D7886A3">
      <w:pPr>
        <w:widowControl/>
        <w:tabs>
          <w:tab w:val="left" w:pos="3611"/>
          <w:tab w:val="left" w:pos="4791"/>
          <w:tab w:val="left" w:pos="5951"/>
          <w:tab w:val="left" w:pos="7071"/>
          <w:tab w:val="left" w:pos="8191"/>
          <w:tab w:val="left" w:pos="9311"/>
        </w:tabs>
        <w:spacing w:line="560" w:lineRule="exact"/>
        <w:jc w:val="left"/>
        <w:rPr>
          <w:rFonts w:eastAsia="仿宋_GB2312"/>
          <w:kern w:val="0"/>
          <w:sz w:val="24"/>
        </w:rPr>
      </w:pPr>
      <w:r>
        <w:rPr>
          <w:rFonts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9"/>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009F2EDB">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6B5B772E">
            <w:pPr>
              <w:widowControl/>
              <w:spacing w:line="560" w:lineRule="exact"/>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14:paraId="4A40AD78">
            <w:pPr>
              <w:widowControl/>
              <w:spacing w:line="560" w:lineRule="exact"/>
              <w:jc w:val="center"/>
              <w:rPr>
                <w:rFonts w:eastAsia="仿宋_GB2312"/>
                <w:b/>
                <w:bCs/>
                <w:kern w:val="0"/>
                <w:szCs w:val="21"/>
              </w:rPr>
            </w:pPr>
            <w:r>
              <w:rPr>
                <w:rFonts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14:paraId="314E275F">
            <w:pPr>
              <w:widowControl/>
              <w:spacing w:line="560" w:lineRule="exact"/>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14:paraId="447DCFB1">
            <w:pPr>
              <w:widowControl/>
              <w:spacing w:line="560" w:lineRule="exact"/>
              <w:jc w:val="center"/>
              <w:rPr>
                <w:rFonts w:eastAsia="仿宋_GB2312"/>
                <w:b/>
                <w:bCs/>
                <w:kern w:val="0"/>
                <w:szCs w:val="21"/>
              </w:rPr>
            </w:pPr>
            <w:r>
              <w:rPr>
                <w:rFonts w:eastAsia="仿宋_GB2312"/>
                <w:b/>
                <w:bCs/>
                <w:kern w:val="0"/>
                <w:szCs w:val="21"/>
              </w:rPr>
              <w:t>控制率</w:t>
            </w:r>
          </w:p>
        </w:tc>
      </w:tr>
      <w:tr w14:paraId="48DAA658">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4D7B19DC">
            <w:pPr>
              <w:widowControl/>
              <w:spacing w:line="560" w:lineRule="exact"/>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14:paraId="352A854A">
            <w:pPr>
              <w:widowControl/>
              <w:spacing w:line="560" w:lineRule="exact"/>
              <w:jc w:val="center"/>
              <w:rPr>
                <w:rFonts w:eastAsia="仿宋_GB2312"/>
                <w:kern w:val="0"/>
                <w:szCs w:val="21"/>
              </w:rPr>
            </w:pPr>
            <w:r>
              <w:rPr>
                <w:rFonts w:eastAsia="仿宋_GB2312"/>
                <w:kern w:val="0"/>
                <w:szCs w:val="21"/>
              </w:rPr>
              <w:t>　</w:t>
            </w:r>
            <w:r>
              <w:rPr>
                <w:rFonts w:hint="eastAsia" w:eastAsia="仿宋_GB2312"/>
                <w:kern w:val="0"/>
                <w:szCs w:val="21"/>
              </w:rPr>
              <w:t>8</w:t>
            </w:r>
          </w:p>
        </w:tc>
        <w:tc>
          <w:tcPr>
            <w:tcW w:w="2240" w:type="dxa"/>
            <w:gridSpan w:val="2"/>
            <w:tcBorders>
              <w:top w:val="single" w:color="auto" w:sz="4" w:space="0"/>
              <w:left w:val="nil"/>
              <w:bottom w:val="single" w:color="auto" w:sz="4" w:space="0"/>
              <w:right w:val="single" w:color="auto" w:sz="4" w:space="0"/>
            </w:tcBorders>
            <w:vAlign w:val="center"/>
          </w:tcPr>
          <w:p w14:paraId="71C645CF">
            <w:pPr>
              <w:widowControl/>
              <w:spacing w:line="560" w:lineRule="exact"/>
              <w:jc w:val="center"/>
              <w:rPr>
                <w:rFonts w:eastAsia="仿宋_GB2312"/>
                <w:kern w:val="0"/>
                <w:szCs w:val="21"/>
              </w:rPr>
            </w:pPr>
            <w:r>
              <w:rPr>
                <w:rFonts w:hint="eastAsia" w:eastAsia="仿宋_GB2312"/>
                <w:kern w:val="0"/>
                <w:szCs w:val="21"/>
              </w:rPr>
              <w:t>6</w:t>
            </w:r>
            <w:r>
              <w:rPr>
                <w:rFonts w:eastAsia="仿宋_GB2312"/>
                <w:kern w:val="0"/>
                <w:szCs w:val="21"/>
              </w:rPr>
              <w:t>　</w:t>
            </w:r>
          </w:p>
        </w:tc>
        <w:tc>
          <w:tcPr>
            <w:tcW w:w="1832" w:type="dxa"/>
            <w:gridSpan w:val="2"/>
            <w:tcBorders>
              <w:top w:val="single" w:color="auto" w:sz="4" w:space="0"/>
              <w:left w:val="nil"/>
              <w:bottom w:val="single" w:color="auto" w:sz="4" w:space="0"/>
              <w:right w:val="single" w:color="auto" w:sz="4" w:space="0"/>
            </w:tcBorders>
            <w:vAlign w:val="center"/>
          </w:tcPr>
          <w:p w14:paraId="06A1347B">
            <w:pPr>
              <w:widowControl/>
              <w:spacing w:line="560" w:lineRule="exact"/>
              <w:jc w:val="center"/>
              <w:rPr>
                <w:rFonts w:eastAsia="仿宋_GB2312"/>
                <w:kern w:val="0"/>
                <w:szCs w:val="21"/>
              </w:rPr>
            </w:pPr>
            <w:r>
              <w:rPr>
                <w:rFonts w:eastAsia="仿宋_GB2312"/>
                <w:kern w:val="0"/>
                <w:szCs w:val="21"/>
              </w:rPr>
              <w:t>　</w:t>
            </w:r>
            <w:r>
              <w:rPr>
                <w:rFonts w:hint="eastAsia" w:eastAsia="仿宋_GB2312"/>
                <w:kern w:val="0"/>
                <w:szCs w:val="21"/>
              </w:rPr>
              <w:t>75%</w:t>
            </w:r>
          </w:p>
        </w:tc>
      </w:tr>
      <w:tr w14:paraId="376046A0">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29628986">
            <w:pPr>
              <w:widowControl/>
              <w:spacing w:line="560" w:lineRule="exact"/>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14:paraId="033D1F37">
            <w:pPr>
              <w:widowControl/>
              <w:spacing w:line="560" w:lineRule="exact"/>
              <w:jc w:val="center"/>
              <w:rPr>
                <w:rFonts w:eastAsia="仿宋_GB2312"/>
                <w:b/>
                <w:bCs/>
                <w:kern w:val="0"/>
                <w:szCs w:val="21"/>
              </w:rPr>
            </w:pPr>
            <w:r>
              <w:rPr>
                <w:rFonts w:eastAsia="仿宋_GB2312"/>
                <w:b/>
                <w:bCs/>
                <w:kern w:val="0"/>
                <w:szCs w:val="21"/>
              </w:rPr>
              <w:t>201</w:t>
            </w:r>
            <w:r>
              <w:rPr>
                <w:rFonts w:hint="eastAsia" w:eastAsia="仿宋_GB2312"/>
                <w:b/>
                <w:bCs/>
                <w:kern w:val="0"/>
                <w:szCs w:val="21"/>
              </w:rPr>
              <w:t>7</w:t>
            </w:r>
            <w:r>
              <w:rPr>
                <w:rFonts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715C9A19">
            <w:pPr>
              <w:widowControl/>
              <w:spacing w:line="560" w:lineRule="exact"/>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14:paraId="7899F54A">
            <w:pPr>
              <w:widowControl/>
              <w:spacing w:line="560" w:lineRule="exact"/>
              <w:jc w:val="center"/>
              <w:rPr>
                <w:rFonts w:eastAsia="仿宋_GB2312"/>
                <w:b/>
                <w:bCs/>
                <w:kern w:val="0"/>
                <w:szCs w:val="21"/>
              </w:rPr>
            </w:pPr>
            <w:r>
              <w:rPr>
                <w:rFonts w:eastAsia="仿宋_GB2312"/>
                <w:b/>
                <w:bCs/>
                <w:kern w:val="0"/>
                <w:szCs w:val="21"/>
              </w:rPr>
              <w:t>201</w:t>
            </w:r>
            <w:r>
              <w:rPr>
                <w:rFonts w:hint="eastAsia" w:eastAsia="仿宋_GB2312"/>
                <w:b/>
                <w:bCs/>
                <w:kern w:val="0"/>
                <w:szCs w:val="21"/>
              </w:rPr>
              <w:t>8</w:t>
            </w:r>
            <w:r>
              <w:rPr>
                <w:rFonts w:eastAsia="仿宋_GB2312"/>
                <w:b/>
                <w:bCs/>
                <w:kern w:val="0"/>
                <w:szCs w:val="21"/>
              </w:rPr>
              <w:t>年决算数</w:t>
            </w:r>
          </w:p>
        </w:tc>
      </w:tr>
      <w:tr w14:paraId="6BA3ED0B">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68C77E70">
            <w:pPr>
              <w:widowControl/>
              <w:spacing w:line="560" w:lineRule="exact"/>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241E8186">
            <w:pPr>
              <w:widowControl/>
              <w:spacing w:line="560" w:lineRule="exact"/>
              <w:jc w:val="center"/>
              <w:rPr>
                <w:rFonts w:eastAsia="仿宋_GB2312"/>
                <w:kern w:val="0"/>
                <w:szCs w:val="21"/>
              </w:rPr>
            </w:pPr>
            <w:r>
              <w:rPr>
                <w:rFonts w:hint="eastAsia" w:eastAsia="仿宋_GB2312"/>
                <w:kern w:val="0"/>
                <w:szCs w:val="21"/>
              </w:rPr>
              <w:t>3.7</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56210458">
            <w:pPr>
              <w:widowControl/>
              <w:spacing w:line="560" w:lineRule="exact"/>
              <w:jc w:val="center"/>
              <w:rPr>
                <w:rFonts w:eastAsia="仿宋_GB2312"/>
                <w:kern w:val="0"/>
                <w:szCs w:val="21"/>
              </w:rPr>
            </w:pPr>
            <w:r>
              <w:rPr>
                <w:rFonts w:hint="eastAsia" w:eastAsia="仿宋_GB2312"/>
                <w:kern w:val="0"/>
                <w:szCs w:val="21"/>
              </w:rPr>
              <w:t>5</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5587DA2F">
            <w:pPr>
              <w:widowControl/>
              <w:spacing w:line="560" w:lineRule="exact"/>
              <w:jc w:val="center"/>
              <w:rPr>
                <w:rFonts w:eastAsia="仿宋_GB2312"/>
                <w:kern w:val="0"/>
                <w:szCs w:val="21"/>
              </w:rPr>
            </w:pPr>
            <w:r>
              <w:rPr>
                <w:rFonts w:hint="eastAsia" w:eastAsia="仿宋_GB2312"/>
                <w:kern w:val="0"/>
                <w:szCs w:val="21"/>
              </w:rPr>
              <w:t>2.8</w:t>
            </w:r>
            <w:r>
              <w:rPr>
                <w:rFonts w:eastAsia="仿宋_GB2312"/>
                <w:kern w:val="0"/>
                <w:szCs w:val="21"/>
              </w:rPr>
              <w:t>　</w:t>
            </w:r>
          </w:p>
        </w:tc>
      </w:tr>
      <w:tr w14:paraId="2551E4F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5B0234C">
            <w:pPr>
              <w:widowControl/>
              <w:spacing w:line="560" w:lineRule="exact"/>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0447AE01">
            <w:pPr>
              <w:widowControl/>
              <w:spacing w:line="560" w:lineRule="exact"/>
              <w:jc w:val="center"/>
              <w:rPr>
                <w:rFonts w:eastAsia="仿宋_GB2312"/>
                <w:kern w:val="0"/>
                <w:szCs w:val="21"/>
              </w:rPr>
            </w:pPr>
            <w:r>
              <w:rPr>
                <w:rFonts w:hint="eastAsia" w:eastAsia="仿宋_GB2312"/>
                <w:kern w:val="0"/>
                <w:szCs w:val="21"/>
              </w:rPr>
              <w:t>2.9</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8DEE19E">
            <w:pPr>
              <w:widowControl/>
              <w:spacing w:line="560" w:lineRule="exact"/>
              <w:jc w:val="center"/>
              <w:rPr>
                <w:rFonts w:eastAsia="仿宋_GB2312"/>
                <w:kern w:val="0"/>
                <w:szCs w:val="21"/>
              </w:rPr>
            </w:pPr>
            <w:r>
              <w:rPr>
                <w:rFonts w:hint="eastAsia" w:eastAsia="仿宋_GB2312"/>
                <w:kern w:val="0"/>
                <w:szCs w:val="21"/>
              </w:rPr>
              <w:t>4</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5B547404">
            <w:pPr>
              <w:widowControl/>
              <w:spacing w:line="560" w:lineRule="exact"/>
              <w:jc w:val="center"/>
              <w:rPr>
                <w:rFonts w:eastAsia="仿宋_GB2312"/>
                <w:kern w:val="0"/>
                <w:szCs w:val="21"/>
              </w:rPr>
            </w:pPr>
            <w:r>
              <w:rPr>
                <w:rFonts w:hint="eastAsia" w:eastAsia="仿宋_GB2312"/>
                <w:kern w:val="0"/>
                <w:szCs w:val="21"/>
              </w:rPr>
              <w:t>2.68</w:t>
            </w:r>
            <w:r>
              <w:rPr>
                <w:rFonts w:eastAsia="仿宋_GB2312"/>
                <w:kern w:val="0"/>
                <w:szCs w:val="21"/>
              </w:rPr>
              <w:t>　</w:t>
            </w:r>
          </w:p>
        </w:tc>
      </w:tr>
      <w:tr w14:paraId="47C35AE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9145243">
            <w:pPr>
              <w:widowControl/>
              <w:spacing w:line="560" w:lineRule="exact"/>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69EADE35">
            <w:pPr>
              <w:widowControl/>
              <w:spacing w:line="560" w:lineRule="exact"/>
              <w:jc w:val="center"/>
              <w:rPr>
                <w:rFonts w:eastAsia="仿宋_GB2312"/>
                <w:kern w:val="0"/>
                <w:szCs w:val="21"/>
              </w:rPr>
            </w:pP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5C0397B8">
            <w:pPr>
              <w:widowControl/>
              <w:spacing w:line="560" w:lineRule="exact"/>
              <w:jc w:val="center"/>
              <w:rPr>
                <w:rFonts w:eastAsia="仿宋_GB2312"/>
                <w:kern w:val="0"/>
                <w:szCs w:val="21"/>
              </w:rPr>
            </w:pP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6C11294A">
            <w:pPr>
              <w:widowControl/>
              <w:spacing w:line="560" w:lineRule="exact"/>
              <w:jc w:val="center"/>
              <w:rPr>
                <w:rFonts w:eastAsia="仿宋_GB2312"/>
                <w:kern w:val="0"/>
                <w:szCs w:val="21"/>
              </w:rPr>
            </w:pPr>
            <w:r>
              <w:rPr>
                <w:rFonts w:eastAsia="仿宋_GB2312"/>
                <w:kern w:val="0"/>
                <w:szCs w:val="21"/>
              </w:rPr>
              <w:t>　</w:t>
            </w:r>
          </w:p>
        </w:tc>
      </w:tr>
      <w:tr w14:paraId="5BFB444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DC962A9">
            <w:pPr>
              <w:widowControl/>
              <w:spacing w:line="560" w:lineRule="exact"/>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17C8EA10">
            <w:pPr>
              <w:widowControl/>
              <w:spacing w:line="560" w:lineRule="exact"/>
              <w:jc w:val="center"/>
              <w:rPr>
                <w:rFonts w:eastAsia="仿宋_GB2312"/>
                <w:kern w:val="0"/>
                <w:szCs w:val="21"/>
              </w:rPr>
            </w:pPr>
            <w:r>
              <w:rPr>
                <w:rFonts w:hint="eastAsia" w:eastAsia="仿宋_GB2312"/>
                <w:kern w:val="0"/>
                <w:szCs w:val="21"/>
              </w:rPr>
              <w:t>2.9</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67E11169">
            <w:pPr>
              <w:widowControl/>
              <w:spacing w:line="560" w:lineRule="exact"/>
              <w:jc w:val="center"/>
              <w:rPr>
                <w:rFonts w:eastAsia="仿宋_GB2312"/>
                <w:kern w:val="0"/>
                <w:szCs w:val="21"/>
              </w:rPr>
            </w:pPr>
            <w:r>
              <w:rPr>
                <w:rFonts w:hint="eastAsia" w:eastAsia="仿宋_GB2312"/>
                <w:kern w:val="0"/>
                <w:szCs w:val="21"/>
              </w:rPr>
              <w:t>4</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7D4D5780">
            <w:pPr>
              <w:widowControl/>
              <w:spacing w:line="560" w:lineRule="exact"/>
              <w:jc w:val="center"/>
              <w:rPr>
                <w:rFonts w:eastAsia="仿宋_GB2312"/>
                <w:kern w:val="0"/>
                <w:szCs w:val="21"/>
              </w:rPr>
            </w:pPr>
            <w:r>
              <w:rPr>
                <w:rFonts w:eastAsia="仿宋_GB2312"/>
                <w:kern w:val="0"/>
                <w:szCs w:val="21"/>
              </w:rPr>
              <w:t>　</w:t>
            </w:r>
            <w:r>
              <w:rPr>
                <w:rFonts w:hint="eastAsia" w:eastAsia="仿宋_GB2312"/>
                <w:kern w:val="0"/>
                <w:szCs w:val="21"/>
              </w:rPr>
              <w:t>2.68</w:t>
            </w:r>
          </w:p>
        </w:tc>
      </w:tr>
      <w:tr w14:paraId="40667F7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CABBE96">
            <w:pPr>
              <w:widowControl/>
              <w:spacing w:line="560" w:lineRule="exact"/>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4BE3B17D">
            <w:pPr>
              <w:widowControl/>
              <w:spacing w:line="560" w:lineRule="exact"/>
              <w:jc w:val="center"/>
              <w:rPr>
                <w:rFonts w:eastAsia="仿宋_GB2312"/>
                <w:kern w:val="0"/>
                <w:szCs w:val="21"/>
              </w:rPr>
            </w:pP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7CDCDC9B">
            <w:pPr>
              <w:widowControl/>
              <w:spacing w:line="560" w:lineRule="exact"/>
              <w:jc w:val="center"/>
              <w:rPr>
                <w:rFonts w:eastAsia="仿宋_GB2312"/>
                <w:kern w:val="0"/>
                <w:szCs w:val="21"/>
              </w:rPr>
            </w:pP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570B8BE6">
            <w:pPr>
              <w:widowControl/>
              <w:spacing w:line="560" w:lineRule="exact"/>
              <w:jc w:val="center"/>
              <w:rPr>
                <w:rFonts w:eastAsia="仿宋_GB2312"/>
                <w:kern w:val="0"/>
                <w:szCs w:val="21"/>
              </w:rPr>
            </w:pPr>
            <w:r>
              <w:rPr>
                <w:rFonts w:eastAsia="仿宋_GB2312"/>
                <w:kern w:val="0"/>
                <w:szCs w:val="21"/>
              </w:rPr>
              <w:t>　</w:t>
            </w:r>
          </w:p>
        </w:tc>
      </w:tr>
      <w:tr w14:paraId="2356217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51521E8">
            <w:pPr>
              <w:widowControl/>
              <w:spacing w:line="560" w:lineRule="exact"/>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74FC73EE">
            <w:pPr>
              <w:widowControl/>
              <w:spacing w:line="560" w:lineRule="exact"/>
              <w:jc w:val="center"/>
              <w:rPr>
                <w:rFonts w:eastAsia="仿宋_GB2312"/>
                <w:kern w:val="0"/>
                <w:szCs w:val="21"/>
              </w:rPr>
            </w:pPr>
            <w:r>
              <w:rPr>
                <w:rFonts w:hint="eastAsia" w:eastAsia="仿宋_GB2312"/>
                <w:kern w:val="0"/>
                <w:szCs w:val="21"/>
              </w:rPr>
              <w:t>0.85</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38564BF">
            <w:pPr>
              <w:widowControl/>
              <w:spacing w:line="560" w:lineRule="exact"/>
              <w:jc w:val="center"/>
              <w:rPr>
                <w:rFonts w:eastAsia="仿宋_GB2312"/>
                <w:kern w:val="0"/>
                <w:szCs w:val="21"/>
              </w:rPr>
            </w:pPr>
            <w:r>
              <w:rPr>
                <w:rFonts w:hint="eastAsia" w:eastAsia="仿宋_GB2312"/>
                <w:kern w:val="0"/>
                <w:szCs w:val="21"/>
              </w:rPr>
              <w:t>1</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7FE4F0DE">
            <w:pPr>
              <w:widowControl/>
              <w:spacing w:line="560" w:lineRule="exact"/>
              <w:jc w:val="center"/>
              <w:rPr>
                <w:rFonts w:eastAsia="仿宋_GB2312"/>
                <w:kern w:val="0"/>
                <w:szCs w:val="21"/>
              </w:rPr>
            </w:pPr>
            <w:r>
              <w:rPr>
                <w:rFonts w:eastAsia="仿宋_GB2312"/>
                <w:kern w:val="0"/>
                <w:szCs w:val="21"/>
              </w:rPr>
              <w:t>　</w:t>
            </w:r>
            <w:r>
              <w:rPr>
                <w:rFonts w:hint="eastAsia" w:eastAsia="仿宋_GB2312"/>
                <w:kern w:val="0"/>
                <w:szCs w:val="21"/>
              </w:rPr>
              <w:t>0.14</w:t>
            </w:r>
          </w:p>
        </w:tc>
      </w:tr>
      <w:tr w14:paraId="2ABE7DA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B4C82A9">
            <w:pPr>
              <w:widowControl/>
              <w:spacing w:line="560" w:lineRule="exact"/>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58F83B97">
            <w:pPr>
              <w:widowControl/>
              <w:spacing w:line="560" w:lineRule="exact"/>
              <w:jc w:val="center"/>
              <w:rPr>
                <w:rFonts w:eastAsia="仿宋_GB2312"/>
                <w:kern w:val="0"/>
                <w:szCs w:val="21"/>
              </w:rPr>
            </w:pPr>
            <w:r>
              <w:rPr>
                <w:rFonts w:hint="eastAsia" w:eastAsia="仿宋_GB2312"/>
                <w:kern w:val="0"/>
                <w:szCs w:val="21"/>
              </w:rPr>
              <w:t>24.46</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5DB8692F">
            <w:pPr>
              <w:widowControl/>
              <w:spacing w:line="560" w:lineRule="exact"/>
              <w:jc w:val="center"/>
              <w:rPr>
                <w:rFonts w:eastAsia="仿宋_GB2312"/>
                <w:kern w:val="0"/>
                <w:szCs w:val="21"/>
              </w:rPr>
            </w:pPr>
            <w:r>
              <w:rPr>
                <w:rFonts w:hint="eastAsia" w:eastAsia="仿宋_GB2312"/>
                <w:kern w:val="0"/>
                <w:szCs w:val="21"/>
              </w:rPr>
              <w:t>18</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312F0D49">
            <w:pPr>
              <w:widowControl/>
              <w:spacing w:line="560" w:lineRule="exact"/>
              <w:jc w:val="center"/>
              <w:rPr>
                <w:rFonts w:eastAsia="仿宋_GB2312"/>
                <w:kern w:val="0"/>
                <w:szCs w:val="21"/>
              </w:rPr>
            </w:pPr>
            <w:r>
              <w:rPr>
                <w:rFonts w:eastAsia="仿宋_GB2312"/>
                <w:kern w:val="0"/>
                <w:szCs w:val="21"/>
              </w:rPr>
              <w:t>　</w:t>
            </w:r>
            <w:r>
              <w:rPr>
                <w:rFonts w:hint="eastAsia" w:eastAsia="仿宋_GB2312"/>
                <w:kern w:val="0"/>
                <w:szCs w:val="21"/>
              </w:rPr>
              <w:t>93.35</w:t>
            </w:r>
          </w:p>
        </w:tc>
      </w:tr>
      <w:tr w14:paraId="1313E02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A0587AA">
            <w:pPr>
              <w:widowControl/>
              <w:spacing w:line="560" w:lineRule="exact"/>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vAlign w:val="center"/>
          </w:tcPr>
          <w:p w14:paraId="5A22A453">
            <w:pPr>
              <w:widowControl/>
              <w:spacing w:line="560" w:lineRule="exact"/>
              <w:jc w:val="center"/>
              <w:rPr>
                <w:rFonts w:eastAsia="仿宋_GB2312"/>
                <w:kern w:val="0"/>
                <w:szCs w:val="21"/>
              </w:rPr>
            </w:pP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10992FCF">
            <w:pPr>
              <w:widowControl/>
              <w:spacing w:line="560" w:lineRule="exact"/>
              <w:jc w:val="center"/>
              <w:rPr>
                <w:rFonts w:eastAsia="仿宋_GB2312"/>
                <w:kern w:val="0"/>
                <w:szCs w:val="21"/>
              </w:rPr>
            </w:pP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0EE6C072">
            <w:pPr>
              <w:widowControl/>
              <w:spacing w:line="560" w:lineRule="exact"/>
              <w:jc w:val="center"/>
              <w:rPr>
                <w:rFonts w:eastAsia="仿宋_GB2312"/>
                <w:kern w:val="0"/>
                <w:szCs w:val="21"/>
              </w:rPr>
            </w:pPr>
            <w:r>
              <w:rPr>
                <w:rFonts w:eastAsia="仿宋_GB2312"/>
                <w:kern w:val="0"/>
                <w:szCs w:val="21"/>
              </w:rPr>
              <w:t>　</w:t>
            </w:r>
          </w:p>
        </w:tc>
      </w:tr>
      <w:tr w14:paraId="42FBF63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B6A6004">
            <w:pPr>
              <w:widowControl/>
              <w:spacing w:line="560" w:lineRule="exact"/>
              <w:ind w:firstLine="840" w:firstLineChars="400"/>
              <w:jc w:val="left"/>
              <w:rPr>
                <w:rFonts w:eastAsia="仿宋_GB2312"/>
                <w:kern w:val="0"/>
                <w:szCs w:val="21"/>
              </w:rPr>
            </w:pPr>
            <w:r>
              <w:rPr>
                <w:rFonts w:hint="eastAsia" w:eastAsia="仿宋_GB2312"/>
                <w:kern w:val="0"/>
                <w:szCs w:val="21"/>
              </w:rPr>
              <w:t>参政议政调研经费</w:t>
            </w:r>
          </w:p>
        </w:tc>
        <w:tc>
          <w:tcPr>
            <w:tcW w:w="2038" w:type="dxa"/>
            <w:gridSpan w:val="2"/>
            <w:tcBorders>
              <w:top w:val="single" w:color="auto" w:sz="4" w:space="0"/>
              <w:left w:val="nil"/>
              <w:bottom w:val="single" w:color="auto" w:sz="4" w:space="0"/>
              <w:right w:val="single" w:color="000000" w:sz="4" w:space="0"/>
            </w:tcBorders>
            <w:vAlign w:val="center"/>
          </w:tcPr>
          <w:p w14:paraId="095942F4">
            <w:pPr>
              <w:widowControl/>
              <w:spacing w:line="560" w:lineRule="exact"/>
              <w:jc w:val="center"/>
              <w:rPr>
                <w:rFonts w:eastAsia="仿宋_GB2312"/>
                <w:kern w:val="0"/>
                <w:szCs w:val="21"/>
              </w:rPr>
            </w:pPr>
            <w:r>
              <w:rPr>
                <w:rFonts w:hint="eastAsia" w:eastAsia="仿宋_GB2312"/>
                <w:kern w:val="0"/>
                <w:szCs w:val="21"/>
              </w:rPr>
              <w:t>6</w:t>
            </w:r>
          </w:p>
        </w:tc>
        <w:tc>
          <w:tcPr>
            <w:tcW w:w="2240" w:type="dxa"/>
            <w:gridSpan w:val="2"/>
            <w:tcBorders>
              <w:top w:val="single" w:color="auto" w:sz="4" w:space="0"/>
              <w:left w:val="nil"/>
              <w:bottom w:val="single" w:color="auto" w:sz="4" w:space="0"/>
              <w:right w:val="single" w:color="000000" w:sz="4" w:space="0"/>
            </w:tcBorders>
            <w:vAlign w:val="center"/>
          </w:tcPr>
          <w:p w14:paraId="0CCF189A">
            <w:pPr>
              <w:widowControl/>
              <w:spacing w:line="560" w:lineRule="exact"/>
              <w:jc w:val="center"/>
              <w:rPr>
                <w:rFonts w:eastAsia="仿宋_GB2312"/>
                <w:kern w:val="0"/>
                <w:szCs w:val="21"/>
              </w:rPr>
            </w:pPr>
            <w:r>
              <w:rPr>
                <w:rFonts w:hint="eastAsia" w:eastAsia="仿宋_GB2312"/>
                <w:kern w:val="0"/>
                <w:szCs w:val="21"/>
              </w:rPr>
              <w:t>6</w:t>
            </w:r>
          </w:p>
        </w:tc>
        <w:tc>
          <w:tcPr>
            <w:tcW w:w="1832" w:type="dxa"/>
            <w:gridSpan w:val="2"/>
            <w:tcBorders>
              <w:top w:val="single" w:color="auto" w:sz="4" w:space="0"/>
              <w:left w:val="nil"/>
              <w:bottom w:val="single" w:color="auto" w:sz="4" w:space="0"/>
              <w:right w:val="single" w:color="000000" w:sz="4" w:space="0"/>
            </w:tcBorders>
            <w:vAlign w:val="center"/>
          </w:tcPr>
          <w:p w14:paraId="62C35476">
            <w:pPr>
              <w:widowControl/>
              <w:spacing w:line="560" w:lineRule="exact"/>
              <w:jc w:val="center"/>
              <w:rPr>
                <w:rFonts w:eastAsia="仿宋_GB2312"/>
                <w:kern w:val="0"/>
                <w:szCs w:val="21"/>
              </w:rPr>
            </w:pPr>
            <w:r>
              <w:rPr>
                <w:rFonts w:hint="eastAsia" w:eastAsia="仿宋_GB2312"/>
                <w:kern w:val="0"/>
                <w:szCs w:val="21"/>
              </w:rPr>
              <w:t>6</w:t>
            </w:r>
          </w:p>
        </w:tc>
      </w:tr>
      <w:tr w14:paraId="535C6C6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D358420">
            <w:pPr>
              <w:widowControl/>
              <w:spacing w:line="560" w:lineRule="exact"/>
              <w:ind w:firstLine="840" w:firstLineChars="400"/>
              <w:jc w:val="left"/>
              <w:rPr>
                <w:rFonts w:hint="eastAsia" w:ascii="仿宋_GB2312" w:eastAsia="仿宋_GB2312"/>
                <w:kern w:val="0"/>
                <w:szCs w:val="21"/>
              </w:rPr>
            </w:pPr>
            <w:r>
              <w:rPr>
                <w:rFonts w:hint="eastAsia" w:ascii="仿宋_GB2312" w:eastAsia="仿宋_GB2312"/>
                <w:kern w:val="0"/>
                <w:szCs w:val="21"/>
              </w:rPr>
              <w:t>衡阳民盟成立70周年大型纪念活动</w:t>
            </w:r>
          </w:p>
        </w:tc>
        <w:tc>
          <w:tcPr>
            <w:tcW w:w="2038" w:type="dxa"/>
            <w:gridSpan w:val="2"/>
            <w:tcBorders>
              <w:top w:val="single" w:color="auto" w:sz="4" w:space="0"/>
              <w:left w:val="nil"/>
              <w:bottom w:val="single" w:color="auto" w:sz="4" w:space="0"/>
              <w:right w:val="single" w:color="000000" w:sz="4" w:space="0"/>
            </w:tcBorders>
            <w:vAlign w:val="center"/>
          </w:tcPr>
          <w:p w14:paraId="37D38ED0">
            <w:pPr>
              <w:widowControl/>
              <w:spacing w:line="560" w:lineRule="exact"/>
              <w:jc w:val="center"/>
              <w:rPr>
                <w:rFonts w:hint="eastAsia"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2187ECB4">
            <w:pPr>
              <w:widowControl/>
              <w:spacing w:line="560" w:lineRule="exact"/>
              <w:jc w:val="center"/>
              <w:rPr>
                <w:rFonts w:eastAsia="仿宋_GB2312"/>
                <w:kern w:val="0"/>
                <w:szCs w:val="21"/>
              </w:rPr>
            </w:pPr>
            <w:r>
              <w:rPr>
                <w:rFonts w:hint="eastAsia" w:eastAsia="仿宋_GB2312"/>
                <w:kern w:val="0"/>
                <w:szCs w:val="21"/>
              </w:rPr>
              <w:t>15</w:t>
            </w:r>
          </w:p>
        </w:tc>
        <w:tc>
          <w:tcPr>
            <w:tcW w:w="1832" w:type="dxa"/>
            <w:gridSpan w:val="2"/>
            <w:tcBorders>
              <w:top w:val="single" w:color="auto" w:sz="4" w:space="0"/>
              <w:left w:val="nil"/>
              <w:bottom w:val="single" w:color="auto" w:sz="4" w:space="0"/>
              <w:right w:val="single" w:color="000000" w:sz="4" w:space="0"/>
            </w:tcBorders>
            <w:vAlign w:val="center"/>
          </w:tcPr>
          <w:p w14:paraId="030997D9">
            <w:pPr>
              <w:widowControl/>
              <w:spacing w:line="560" w:lineRule="exact"/>
              <w:jc w:val="center"/>
              <w:rPr>
                <w:rFonts w:hint="eastAsia" w:eastAsia="仿宋_GB2312"/>
                <w:kern w:val="0"/>
                <w:szCs w:val="21"/>
              </w:rPr>
            </w:pPr>
            <w:r>
              <w:rPr>
                <w:rFonts w:hint="eastAsia" w:eastAsia="仿宋_GB2312"/>
                <w:kern w:val="0"/>
                <w:szCs w:val="21"/>
              </w:rPr>
              <w:t>15</w:t>
            </w:r>
          </w:p>
        </w:tc>
      </w:tr>
      <w:tr w14:paraId="2B2151A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1F5076B">
            <w:pPr>
              <w:widowControl/>
              <w:spacing w:line="560" w:lineRule="exact"/>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vAlign w:val="center"/>
          </w:tcPr>
          <w:p w14:paraId="0164E15A">
            <w:pPr>
              <w:widowControl/>
              <w:spacing w:line="560" w:lineRule="exact"/>
              <w:jc w:val="center"/>
              <w:rPr>
                <w:rFonts w:eastAsia="仿宋_GB2312"/>
                <w:kern w:val="0"/>
                <w:szCs w:val="21"/>
              </w:rPr>
            </w:pP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36CB0B04">
            <w:pPr>
              <w:widowControl/>
              <w:spacing w:line="560" w:lineRule="exact"/>
              <w:jc w:val="center"/>
              <w:rPr>
                <w:rFonts w:eastAsia="仿宋_GB2312"/>
                <w:kern w:val="0"/>
                <w:szCs w:val="21"/>
              </w:rPr>
            </w:pP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4E1EFACE">
            <w:pPr>
              <w:widowControl/>
              <w:spacing w:line="560" w:lineRule="exact"/>
              <w:jc w:val="center"/>
              <w:rPr>
                <w:rFonts w:eastAsia="仿宋_GB2312"/>
                <w:kern w:val="0"/>
                <w:szCs w:val="21"/>
              </w:rPr>
            </w:pPr>
            <w:r>
              <w:rPr>
                <w:rFonts w:eastAsia="仿宋_GB2312"/>
                <w:kern w:val="0"/>
                <w:szCs w:val="21"/>
              </w:rPr>
              <w:t>　</w:t>
            </w:r>
          </w:p>
        </w:tc>
      </w:tr>
      <w:tr w14:paraId="6C65EC6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392C5AA">
            <w:pPr>
              <w:widowControl/>
              <w:spacing w:line="560" w:lineRule="exact"/>
              <w:ind w:firstLine="840" w:firstLineChars="400"/>
              <w:jc w:val="left"/>
              <w:rPr>
                <w:rFonts w:eastAsia="仿宋_GB2312"/>
                <w:kern w:val="0"/>
                <w:szCs w:val="21"/>
              </w:rPr>
            </w:pPr>
            <w:r>
              <w:rPr>
                <w:rFonts w:hint="eastAsia" w:ascii="仿宋_GB2312" w:eastAsia="仿宋_GB2312"/>
                <w:kern w:val="0"/>
                <w:szCs w:val="21"/>
              </w:rPr>
              <w:t>统战大楼大型修缮</w:t>
            </w:r>
          </w:p>
        </w:tc>
        <w:tc>
          <w:tcPr>
            <w:tcW w:w="2038" w:type="dxa"/>
            <w:gridSpan w:val="2"/>
            <w:tcBorders>
              <w:top w:val="single" w:color="auto" w:sz="4" w:space="0"/>
              <w:left w:val="nil"/>
              <w:bottom w:val="single" w:color="auto" w:sz="4" w:space="0"/>
              <w:right w:val="single" w:color="000000" w:sz="4" w:space="0"/>
            </w:tcBorders>
            <w:vAlign w:val="center"/>
          </w:tcPr>
          <w:p w14:paraId="5E4924B0">
            <w:pPr>
              <w:widowControl/>
              <w:spacing w:line="560" w:lineRule="exact"/>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406337D1">
            <w:pPr>
              <w:widowControl/>
              <w:spacing w:line="560" w:lineRule="exact"/>
              <w:jc w:val="center"/>
              <w:rPr>
                <w:rFonts w:eastAsia="仿宋_GB2312"/>
                <w:kern w:val="0"/>
                <w:szCs w:val="21"/>
              </w:rPr>
            </w:pPr>
            <w:r>
              <w:rPr>
                <w:rFonts w:hint="eastAsia" w:eastAsia="仿宋_GB2312"/>
                <w:kern w:val="0"/>
                <w:szCs w:val="21"/>
              </w:rPr>
              <w:t>83</w:t>
            </w:r>
          </w:p>
        </w:tc>
        <w:tc>
          <w:tcPr>
            <w:tcW w:w="1832" w:type="dxa"/>
            <w:gridSpan w:val="2"/>
            <w:tcBorders>
              <w:top w:val="single" w:color="auto" w:sz="4" w:space="0"/>
              <w:left w:val="nil"/>
              <w:bottom w:val="single" w:color="auto" w:sz="4" w:space="0"/>
              <w:right w:val="single" w:color="000000" w:sz="4" w:space="0"/>
            </w:tcBorders>
            <w:vAlign w:val="center"/>
          </w:tcPr>
          <w:p w14:paraId="4A44E11A">
            <w:pPr>
              <w:widowControl/>
              <w:spacing w:line="560" w:lineRule="exact"/>
              <w:jc w:val="center"/>
              <w:rPr>
                <w:rFonts w:eastAsia="仿宋_GB2312"/>
                <w:kern w:val="0"/>
                <w:szCs w:val="21"/>
              </w:rPr>
            </w:pPr>
            <w:r>
              <w:rPr>
                <w:rFonts w:hint="eastAsia" w:eastAsia="仿宋_GB2312"/>
                <w:kern w:val="0"/>
                <w:szCs w:val="21"/>
              </w:rPr>
              <w:t>63.84</w:t>
            </w:r>
          </w:p>
        </w:tc>
      </w:tr>
      <w:tr w14:paraId="5929F4D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0070196">
            <w:pPr>
              <w:widowControl/>
              <w:spacing w:line="560" w:lineRule="exact"/>
              <w:ind w:firstLine="840" w:firstLineChars="400"/>
              <w:jc w:val="left"/>
              <w:rPr>
                <w:rFonts w:hint="eastAsia" w:ascii="仿宋_GB2312" w:eastAsia="仿宋_GB2312"/>
                <w:kern w:val="0"/>
                <w:szCs w:val="21"/>
              </w:rPr>
            </w:pPr>
            <w:r>
              <w:rPr>
                <w:rFonts w:hint="eastAsia" w:ascii="仿宋_GB2312" w:eastAsia="仿宋_GB2312"/>
                <w:kern w:val="0"/>
                <w:szCs w:val="21"/>
              </w:rPr>
              <w:t>办公费</w:t>
            </w:r>
          </w:p>
        </w:tc>
        <w:tc>
          <w:tcPr>
            <w:tcW w:w="2038" w:type="dxa"/>
            <w:gridSpan w:val="2"/>
            <w:tcBorders>
              <w:top w:val="single" w:color="auto" w:sz="4" w:space="0"/>
              <w:left w:val="nil"/>
              <w:bottom w:val="single" w:color="auto" w:sz="4" w:space="0"/>
              <w:right w:val="single" w:color="000000" w:sz="4" w:space="0"/>
            </w:tcBorders>
            <w:vAlign w:val="center"/>
          </w:tcPr>
          <w:p w14:paraId="627E181E">
            <w:pPr>
              <w:widowControl/>
              <w:spacing w:line="560" w:lineRule="exact"/>
              <w:jc w:val="center"/>
              <w:rPr>
                <w:rFonts w:hint="eastAsia" w:eastAsia="仿宋_GB2312"/>
                <w:kern w:val="0"/>
                <w:szCs w:val="21"/>
              </w:rPr>
            </w:pPr>
            <w:r>
              <w:rPr>
                <w:rFonts w:hint="eastAsia" w:eastAsia="仿宋_GB2312"/>
                <w:kern w:val="0"/>
                <w:szCs w:val="21"/>
              </w:rPr>
              <w:t>0.72</w:t>
            </w:r>
          </w:p>
        </w:tc>
        <w:tc>
          <w:tcPr>
            <w:tcW w:w="2240" w:type="dxa"/>
            <w:gridSpan w:val="2"/>
            <w:tcBorders>
              <w:top w:val="single" w:color="auto" w:sz="4" w:space="0"/>
              <w:left w:val="nil"/>
              <w:bottom w:val="single" w:color="auto" w:sz="4" w:space="0"/>
              <w:right w:val="single" w:color="000000" w:sz="4" w:space="0"/>
            </w:tcBorders>
            <w:vAlign w:val="center"/>
          </w:tcPr>
          <w:p w14:paraId="1F7905AE">
            <w:pPr>
              <w:widowControl/>
              <w:spacing w:line="560" w:lineRule="exact"/>
              <w:jc w:val="center"/>
              <w:rPr>
                <w:rFonts w:eastAsia="仿宋_GB2312"/>
                <w:kern w:val="0"/>
                <w:szCs w:val="21"/>
              </w:rPr>
            </w:pPr>
            <w:r>
              <w:rPr>
                <w:rFonts w:hint="eastAsia" w:eastAsia="仿宋_GB2312"/>
                <w:kern w:val="0"/>
                <w:szCs w:val="21"/>
              </w:rPr>
              <w:t>5</w:t>
            </w:r>
          </w:p>
        </w:tc>
        <w:tc>
          <w:tcPr>
            <w:tcW w:w="1832" w:type="dxa"/>
            <w:gridSpan w:val="2"/>
            <w:tcBorders>
              <w:top w:val="single" w:color="auto" w:sz="4" w:space="0"/>
              <w:left w:val="nil"/>
              <w:bottom w:val="single" w:color="auto" w:sz="4" w:space="0"/>
              <w:right w:val="single" w:color="000000" w:sz="4" w:space="0"/>
            </w:tcBorders>
            <w:vAlign w:val="center"/>
          </w:tcPr>
          <w:p w14:paraId="21646369">
            <w:pPr>
              <w:widowControl/>
              <w:spacing w:line="560" w:lineRule="exact"/>
              <w:jc w:val="center"/>
              <w:rPr>
                <w:rFonts w:hint="eastAsia" w:eastAsia="仿宋_GB2312"/>
                <w:kern w:val="0"/>
                <w:szCs w:val="21"/>
              </w:rPr>
            </w:pPr>
            <w:r>
              <w:rPr>
                <w:rFonts w:hint="eastAsia" w:eastAsia="仿宋_GB2312"/>
                <w:kern w:val="0"/>
                <w:szCs w:val="21"/>
              </w:rPr>
              <w:t>6.49</w:t>
            </w:r>
          </w:p>
        </w:tc>
      </w:tr>
      <w:tr w14:paraId="1DB772D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2CF6701">
            <w:pPr>
              <w:widowControl/>
              <w:spacing w:line="560" w:lineRule="exact"/>
              <w:ind w:firstLine="840" w:firstLineChars="400"/>
              <w:jc w:val="left"/>
              <w:rPr>
                <w:rFonts w:hint="eastAsia" w:ascii="仿宋_GB2312" w:eastAsia="仿宋_GB2312"/>
                <w:kern w:val="0"/>
                <w:szCs w:val="21"/>
              </w:rPr>
            </w:pPr>
            <w:r>
              <w:rPr>
                <w:rFonts w:hint="eastAsia" w:ascii="仿宋_GB2312" w:eastAsia="仿宋_GB2312"/>
                <w:kern w:val="0"/>
                <w:szCs w:val="21"/>
              </w:rPr>
              <w:t>上年结转其他一般公共服务支出</w:t>
            </w:r>
          </w:p>
        </w:tc>
        <w:tc>
          <w:tcPr>
            <w:tcW w:w="2038" w:type="dxa"/>
            <w:gridSpan w:val="2"/>
            <w:tcBorders>
              <w:top w:val="single" w:color="auto" w:sz="4" w:space="0"/>
              <w:left w:val="nil"/>
              <w:bottom w:val="single" w:color="auto" w:sz="4" w:space="0"/>
              <w:right w:val="single" w:color="000000" w:sz="4" w:space="0"/>
            </w:tcBorders>
            <w:vAlign w:val="center"/>
          </w:tcPr>
          <w:p w14:paraId="5610222A">
            <w:pPr>
              <w:widowControl/>
              <w:spacing w:line="560" w:lineRule="exact"/>
              <w:jc w:val="center"/>
              <w:rPr>
                <w:rFonts w:hint="eastAsia"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4383F940">
            <w:pPr>
              <w:widowControl/>
              <w:spacing w:line="560" w:lineRule="exact"/>
              <w:jc w:val="center"/>
              <w:rPr>
                <w:rFonts w:eastAsia="仿宋_GB2312"/>
                <w:kern w:val="0"/>
                <w:szCs w:val="21"/>
              </w:rPr>
            </w:pPr>
            <w:r>
              <w:rPr>
                <w:rFonts w:hint="eastAsia" w:eastAsia="仿宋_GB2312"/>
                <w:kern w:val="0"/>
                <w:szCs w:val="21"/>
              </w:rPr>
              <w:t>2.01</w:t>
            </w:r>
          </w:p>
        </w:tc>
        <w:tc>
          <w:tcPr>
            <w:tcW w:w="1832" w:type="dxa"/>
            <w:gridSpan w:val="2"/>
            <w:tcBorders>
              <w:top w:val="single" w:color="auto" w:sz="4" w:space="0"/>
              <w:left w:val="nil"/>
              <w:bottom w:val="single" w:color="auto" w:sz="4" w:space="0"/>
              <w:right w:val="single" w:color="000000" w:sz="4" w:space="0"/>
            </w:tcBorders>
            <w:vAlign w:val="center"/>
          </w:tcPr>
          <w:p w14:paraId="5933D9B3">
            <w:pPr>
              <w:widowControl/>
              <w:spacing w:line="560" w:lineRule="exact"/>
              <w:jc w:val="center"/>
              <w:rPr>
                <w:rFonts w:hint="eastAsia" w:eastAsia="仿宋_GB2312"/>
                <w:kern w:val="0"/>
                <w:szCs w:val="21"/>
              </w:rPr>
            </w:pPr>
            <w:r>
              <w:rPr>
                <w:rFonts w:hint="eastAsia" w:eastAsia="仿宋_GB2312"/>
                <w:kern w:val="0"/>
                <w:szCs w:val="21"/>
              </w:rPr>
              <w:t>2.01</w:t>
            </w:r>
          </w:p>
        </w:tc>
      </w:tr>
      <w:tr w14:paraId="2CF4DF9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EE3207C">
            <w:pPr>
              <w:widowControl/>
              <w:spacing w:line="560" w:lineRule="exact"/>
              <w:jc w:val="left"/>
              <w:rPr>
                <w:rFonts w:eastAsia="仿宋_GB2312"/>
                <w:kern w:val="0"/>
                <w:szCs w:val="21"/>
              </w:rPr>
            </w:pPr>
            <w:r>
              <w:rPr>
                <w:rFonts w:hint="eastAsia" w:eastAsia="仿宋_GB2312"/>
                <w:kern w:val="0"/>
                <w:szCs w:val="21"/>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3CC41675">
            <w:pPr>
              <w:widowControl/>
              <w:spacing w:line="560" w:lineRule="exact"/>
              <w:jc w:val="center"/>
              <w:rPr>
                <w:rFonts w:eastAsia="仿宋_GB2312"/>
                <w:kern w:val="0"/>
                <w:szCs w:val="21"/>
              </w:rPr>
            </w:pP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2478F92E">
            <w:pPr>
              <w:widowControl/>
              <w:spacing w:line="560" w:lineRule="exact"/>
              <w:jc w:val="center"/>
              <w:rPr>
                <w:rFonts w:eastAsia="仿宋_GB2312"/>
                <w:kern w:val="0"/>
                <w:szCs w:val="21"/>
              </w:rPr>
            </w:pP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0ACB1F03">
            <w:pPr>
              <w:widowControl/>
              <w:spacing w:line="560" w:lineRule="exact"/>
              <w:jc w:val="center"/>
              <w:rPr>
                <w:rFonts w:eastAsia="仿宋_GB2312"/>
                <w:kern w:val="0"/>
                <w:szCs w:val="21"/>
              </w:rPr>
            </w:pPr>
            <w:r>
              <w:rPr>
                <w:rFonts w:eastAsia="仿宋_GB2312"/>
                <w:kern w:val="0"/>
                <w:szCs w:val="21"/>
              </w:rPr>
              <w:t>　</w:t>
            </w:r>
          </w:p>
        </w:tc>
      </w:tr>
      <w:tr w14:paraId="6F73012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FD4F087">
            <w:pPr>
              <w:widowControl/>
              <w:spacing w:line="560" w:lineRule="exact"/>
              <w:jc w:val="center"/>
              <w:rPr>
                <w:rFonts w:eastAsia="仿宋_GB2312"/>
                <w:kern w:val="0"/>
                <w:szCs w:val="21"/>
              </w:rPr>
            </w:pPr>
            <w:r>
              <w:rPr>
                <w:rFonts w:hint="eastAsia" w:eastAsia="仿宋_GB2312"/>
                <w:kern w:val="0"/>
                <w:szCs w:val="21"/>
              </w:rPr>
              <w:t>无</w:t>
            </w:r>
          </w:p>
        </w:tc>
        <w:tc>
          <w:tcPr>
            <w:tcW w:w="2038" w:type="dxa"/>
            <w:gridSpan w:val="2"/>
            <w:tcBorders>
              <w:top w:val="single" w:color="auto" w:sz="4" w:space="0"/>
              <w:left w:val="nil"/>
              <w:bottom w:val="single" w:color="auto" w:sz="4" w:space="0"/>
              <w:right w:val="single" w:color="000000" w:sz="4" w:space="0"/>
            </w:tcBorders>
            <w:vAlign w:val="center"/>
          </w:tcPr>
          <w:p w14:paraId="5499E2D3">
            <w:pPr>
              <w:widowControl/>
              <w:spacing w:line="560" w:lineRule="exact"/>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09787CD2">
            <w:pPr>
              <w:widowControl/>
              <w:spacing w:line="560" w:lineRule="exact"/>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18A95638">
            <w:pPr>
              <w:widowControl/>
              <w:spacing w:line="560" w:lineRule="exact"/>
              <w:jc w:val="center"/>
              <w:rPr>
                <w:rFonts w:eastAsia="仿宋_GB2312"/>
                <w:kern w:val="0"/>
                <w:szCs w:val="21"/>
              </w:rPr>
            </w:pPr>
          </w:p>
        </w:tc>
      </w:tr>
      <w:tr w14:paraId="221DADD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2116EDF">
            <w:pPr>
              <w:widowControl/>
              <w:spacing w:line="560" w:lineRule="exact"/>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5674B126">
            <w:pPr>
              <w:widowControl/>
              <w:spacing w:line="560" w:lineRule="exact"/>
              <w:jc w:val="center"/>
              <w:rPr>
                <w:rFonts w:eastAsia="仿宋_GB2312"/>
                <w:kern w:val="0"/>
                <w:szCs w:val="21"/>
              </w:rPr>
            </w:pPr>
            <w:r>
              <w:rPr>
                <w:rFonts w:hint="eastAsia" w:eastAsia="仿宋_GB2312"/>
                <w:kern w:val="0"/>
                <w:szCs w:val="21"/>
              </w:rPr>
              <w:t>34.40</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25F8BDCA">
            <w:pPr>
              <w:widowControl/>
              <w:spacing w:line="560" w:lineRule="exact"/>
              <w:jc w:val="center"/>
              <w:rPr>
                <w:rFonts w:eastAsia="仿宋_GB2312"/>
                <w:kern w:val="0"/>
                <w:szCs w:val="21"/>
              </w:rPr>
            </w:pPr>
            <w:r>
              <w:rPr>
                <w:rFonts w:hint="eastAsia" w:eastAsia="仿宋_GB2312"/>
                <w:kern w:val="0"/>
                <w:szCs w:val="21"/>
              </w:rPr>
              <w:t>16.97</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323DFFB">
            <w:pPr>
              <w:widowControl/>
              <w:spacing w:line="560" w:lineRule="exact"/>
              <w:jc w:val="center"/>
              <w:rPr>
                <w:rFonts w:eastAsia="仿宋_GB2312"/>
                <w:kern w:val="0"/>
                <w:szCs w:val="21"/>
              </w:rPr>
            </w:pPr>
            <w:r>
              <w:rPr>
                <w:rFonts w:eastAsia="仿宋_GB2312"/>
                <w:kern w:val="0"/>
                <w:szCs w:val="21"/>
              </w:rPr>
              <w:t>　</w:t>
            </w:r>
            <w:r>
              <w:rPr>
                <w:rFonts w:hint="eastAsia" w:eastAsia="仿宋_GB2312"/>
                <w:kern w:val="0"/>
                <w:szCs w:val="21"/>
              </w:rPr>
              <w:t>10.78</w:t>
            </w:r>
          </w:p>
        </w:tc>
      </w:tr>
      <w:tr w14:paraId="5D0529C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844684C">
            <w:pPr>
              <w:widowControl/>
              <w:spacing w:line="560" w:lineRule="exact"/>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506B3383">
            <w:pPr>
              <w:widowControl/>
              <w:spacing w:line="560" w:lineRule="exact"/>
              <w:jc w:val="center"/>
              <w:rPr>
                <w:rFonts w:eastAsia="仿宋_GB2312"/>
                <w:color w:val="FF0000"/>
                <w:kern w:val="0"/>
                <w:szCs w:val="21"/>
              </w:rPr>
            </w:pPr>
            <w:r>
              <w:rPr>
                <w:rFonts w:eastAsia="仿宋_GB2312"/>
                <w:color w:val="FF0000"/>
                <w:kern w:val="0"/>
                <w:szCs w:val="21"/>
              </w:rPr>
              <w:t>　</w:t>
            </w:r>
            <w:r>
              <w:rPr>
                <w:rFonts w:hint="eastAsia" w:eastAsia="仿宋_GB2312"/>
                <w:color w:val="FF0000"/>
                <w:kern w:val="0"/>
                <w:szCs w:val="21"/>
              </w:rPr>
              <w:t>1.33</w:t>
            </w:r>
          </w:p>
        </w:tc>
        <w:tc>
          <w:tcPr>
            <w:tcW w:w="2240" w:type="dxa"/>
            <w:gridSpan w:val="2"/>
            <w:tcBorders>
              <w:top w:val="single" w:color="auto" w:sz="4" w:space="0"/>
              <w:left w:val="nil"/>
              <w:bottom w:val="single" w:color="auto" w:sz="4" w:space="0"/>
              <w:right w:val="single" w:color="000000" w:sz="4" w:space="0"/>
            </w:tcBorders>
            <w:vAlign w:val="center"/>
          </w:tcPr>
          <w:p w14:paraId="5EEDD54C">
            <w:pPr>
              <w:widowControl/>
              <w:spacing w:line="560" w:lineRule="exact"/>
              <w:jc w:val="center"/>
              <w:rPr>
                <w:rFonts w:eastAsia="仿宋_GB2312"/>
                <w:color w:val="FF0000"/>
                <w:kern w:val="0"/>
                <w:szCs w:val="21"/>
              </w:rPr>
            </w:pPr>
            <w:r>
              <w:rPr>
                <w:rFonts w:eastAsia="仿宋_GB2312"/>
                <w:color w:val="FF0000"/>
                <w:kern w:val="0"/>
                <w:szCs w:val="21"/>
              </w:rPr>
              <w:t>　</w:t>
            </w:r>
            <w:r>
              <w:rPr>
                <w:rFonts w:hint="eastAsia" w:eastAsia="仿宋_GB2312"/>
                <w:color w:val="FF0000"/>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14:paraId="6CEB2BAB">
            <w:pPr>
              <w:widowControl/>
              <w:spacing w:line="560" w:lineRule="exact"/>
              <w:jc w:val="center"/>
              <w:rPr>
                <w:rFonts w:eastAsia="仿宋_GB2312"/>
                <w:color w:val="FF0000"/>
                <w:kern w:val="0"/>
                <w:szCs w:val="21"/>
              </w:rPr>
            </w:pPr>
            <w:r>
              <w:rPr>
                <w:rFonts w:hint="eastAsia" w:eastAsia="仿宋_GB2312"/>
                <w:color w:val="FF0000"/>
                <w:kern w:val="0"/>
                <w:szCs w:val="21"/>
              </w:rPr>
              <w:t>0</w:t>
            </w:r>
            <w:r>
              <w:rPr>
                <w:rFonts w:eastAsia="仿宋_GB2312"/>
                <w:color w:val="FF0000"/>
                <w:kern w:val="0"/>
                <w:szCs w:val="21"/>
              </w:rPr>
              <w:t>　</w:t>
            </w:r>
          </w:p>
        </w:tc>
      </w:tr>
      <w:tr w14:paraId="67BA985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4DE3E9E">
            <w:pPr>
              <w:widowControl/>
              <w:spacing w:line="560" w:lineRule="exact"/>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0E9D3D62">
            <w:pPr>
              <w:widowControl/>
              <w:spacing w:line="560" w:lineRule="exact"/>
              <w:jc w:val="center"/>
              <w:rPr>
                <w:rFonts w:eastAsia="仿宋_GB2312"/>
                <w:color w:val="FF0000"/>
                <w:kern w:val="0"/>
                <w:szCs w:val="21"/>
              </w:rPr>
            </w:pPr>
            <w:r>
              <w:rPr>
                <w:rFonts w:hint="eastAsia" w:eastAsia="仿宋_GB2312"/>
                <w:color w:val="FF0000"/>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6B72320B">
            <w:pPr>
              <w:widowControl/>
              <w:spacing w:line="560" w:lineRule="exact"/>
              <w:jc w:val="center"/>
              <w:rPr>
                <w:rFonts w:eastAsia="仿宋_GB2312"/>
                <w:color w:val="FF0000"/>
                <w:kern w:val="0"/>
                <w:szCs w:val="21"/>
              </w:rPr>
            </w:pPr>
            <w:r>
              <w:rPr>
                <w:rFonts w:eastAsia="仿宋_GB2312"/>
                <w:color w:val="FF0000"/>
                <w:kern w:val="0"/>
                <w:szCs w:val="21"/>
              </w:rPr>
              <w:t>　</w:t>
            </w:r>
            <w:r>
              <w:rPr>
                <w:rFonts w:hint="eastAsia" w:eastAsia="仿宋_GB2312"/>
                <w:color w:val="FF0000"/>
                <w:kern w:val="0"/>
                <w:szCs w:val="21"/>
              </w:rPr>
              <w:t>1.5</w:t>
            </w:r>
          </w:p>
        </w:tc>
        <w:tc>
          <w:tcPr>
            <w:tcW w:w="1832" w:type="dxa"/>
            <w:gridSpan w:val="2"/>
            <w:tcBorders>
              <w:top w:val="single" w:color="auto" w:sz="4" w:space="0"/>
              <w:left w:val="nil"/>
              <w:bottom w:val="single" w:color="auto" w:sz="4" w:space="0"/>
              <w:right w:val="single" w:color="000000" w:sz="4" w:space="0"/>
            </w:tcBorders>
            <w:vAlign w:val="center"/>
          </w:tcPr>
          <w:p w14:paraId="5500C295">
            <w:pPr>
              <w:widowControl/>
              <w:spacing w:line="560" w:lineRule="exact"/>
              <w:jc w:val="center"/>
              <w:rPr>
                <w:rFonts w:eastAsia="仿宋_GB2312"/>
                <w:color w:val="000000" w:themeColor="text1"/>
                <w:kern w:val="0"/>
                <w:szCs w:val="21"/>
              </w:rPr>
            </w:pPr>
            <w:r>
              <w:rPr>
                <w:rFonts w:hint="eastAsia" w:eastAsia="仿宋_GB2312"/>
                <w:color w:val="000000" w:themeColor="text1"/>
                <w:kern w:val="0"/>
                <w:szCs w:val="21"/>
              </w:rPr>
              <w:t>0.5</w:t>
            </w:r>
            <w:r>
              <w:rPr>
                <w:rFonts w:eastAsia="仿宋_GB2312"/>
                <w:color w:val="000000" w:themeColor="text1"/>
                <w:kern w:val="0"/>
                <w:szCs w:val="21"/>
              </w:rPr>
              <w:t>　</w:t>
            </w:r>
          </w:p>
        </w:tc>
      </w:tr>
      <w:tr w14:paraId="66D2630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03B92C7">
            <w:pPr>
              <w:widowControl/>
              <w:spacing w:line="560" w:lineRule="exact"/>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00F4B9B7">
            <w:pPr>
              <w:widowControl/>
              <w:spacing w:line="560" w:lineRule="exact"/>
              <w:jc w:val="center"/>
              <w:rPr>
                <w:rFonts w:eastAsia="仿宋_GB2312"/>
                <w:color w:val="FF0000"/>
                <w:kern w:val="0"/>
                <w:szCs w:val="21"/>
              </w:rPr>
            </w:pPr>
            <w:r>
              <w:rPr>
                <w:rFonts w:hint="eastAsia" w:eastAsia="仿宋_GB2312"/>
                <w:color w:val="FF0000"/>
                <w:kern w:val="0"/>
                <w:szCs w:val="21"/>
              </w:rPr>
              <w:t>0</w:t>
            </w:r>
            <w:r>
              <w:rPr>
                <w:rFonts w:eastAsia="仿宋_GB2312"/>
                <w:color w:val="FF0000"/>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D06067B">
            <w:pPr>
              <w:widowControl/>
              <w:spacing w:line="560" w:lineRule="exact"/>
              <w:jc w:val="center"/>
              <w:rPr>
                <w:rFonts w:eastAsia="仿宋_GB2312"/>
                <w:color w:val="FF0000"/>
                <w:kern w:val="0"/>
                <w:szCs w:val="21"/>
              </w:rPr>
            </w:pPr>
            <w:r>
              <w:rPr>
                <w:rFonts w:hint="eastAsia" w:eastAsia="仿宋_GB2312"/>
                <w:color w:val="FF0000"/>
                <w:kern w:val="0"/>
                <w:szCs w:val="21"/>
              </w:rPr>
              <w:t>2</w:t>
            </w:r>
            <w:r>
              <w:rPr>
                <w:rFonts w:eastAsia="仿宋_GB2312"/>
                <w:color w:val="FF0000"/>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4A957221">
            <w:pPr>
              <w:widowControl/>
              <w:spacing w:line="560" w:lineRule="exact"/>
              <w:jc w:val="center"/>
              <w:rPr>
                <w:rFonts w:eastAsia="仿宋_GB2312"/>
                <w:color w:val="000000" w:themeColor="text1"/>
                <w:kern w:val="0"/>
                <w:szCs w:val="21"/>
              </w:rPr>
            </w:pPr>
            <w:r>
              <w:rPr>
                <w:rFonts w:hint="eastAsia" w:eastAsia="仿宋_GB2312"/>
                <w:color w:val="000000" w:themeColor="text1"/>
                <w:kern w:val="0"/>
                <w:szCs w:val="21"/>
              </w:rPr>
              <w:t>0</w:t>
            </w:r>
            <w:r>
              <w:rPr>
                <w:rFonts w:eastAsia="仿宋_GB2312"/>
                <w:color w:val="000000" w:themeColor="text1"/>
                <w:kern w:val="0"/>
                <w:szCs w:val="21"/>
              </w:rPr>
              <w:t>　</w:t>
            </w:r>
          </w:p>
        </w:tc>
      </w:tr>
      <w:tr w14:paraId="1531122E">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14:paraId="5853411E">
            <w:pPr>
              <w:widowControl/>
              <w:spacing w:line="560" w:lineRule="exact"/>
              <w:ind w:firstLine="1155" w:firstLineChars="550"/>
              <w:jc w:val="left"/>
              <w:rPr>
                <w:rFonts w:eastAsia="仿宋_GB2312"/>
                <w:kern w:val="0"/>
                <w:szCs w:val="21"/>
              </w:rPr>
            </w:pPr>
            <w:r>
              <w:rPr>
                <w:rFonts w:hint="eastAsia" w:ascii="仿宋_GB2312" w:eastAsia="仿宋_GB2312"/>
                <w:kern w:val="0"/>
                <w:szCs w:val="21"/>
              </w:rPr>
              <w:t>其他交通费用</w:t>
            </w:r>
          </w:p>
        </w:tc>
        <w:tc>
          <w:tcPr>
            <w:tcW w:w="2038" w:type="dxa"/>
            <w:gridSpan w:val="2"/>
            <w:tcBorders>
              <w:top w:val="single" w:color="auto" w:sz="4" w:space="0"/>
              <w:left w:val="nil"/>
              <w:bottom w:val="single" w:color="auto" w:sz="4" w:space="0"/>
              <w:right w:val="single" w:color="000000" w:sz="4" w:space="0"/>
            </w:tcBorders>
            <w:vAlign w:val="center"/>
          </w:tcPr>
          <w:p w14:paraId="01F852F2">
            <w:pPr>
              <w:widowControl/>
              <w:spacing w:line="560" w:lineRule="exact"/>
              <w:jc w:val="center"/>
              <w:rPr>
                <w:rFonts w:eastAsia="仿宋_GB2312"/>
                <w:kern w:val="0"/>
                <w:szCs w:val="21"/>
              </w:rPr>
            </w:pPr>
            <w:r>
              <w:rPr>
                <w:rFonts w:hint="eastAsia" w:eastAsia="仿宋_GB2312"/>
                <w:kern w:val="0"/>
                <w:szCs w:val="21"/>
              </w:rPr>
              <w:t>5.55</w:t>
            </w:r>
          </w:p>
        </w:tc>
        <w:tc>
          <w:tcPr>
            <w:tcW w:w="2240" w:type="dxa"/>
            <w:gridSpan w:val="2"/>
            <w:tcBorders>
              <w:top w:val="single" w:color="auto" w:sz="4" w:space="0"/>
              <w:left w:val="nil"/>
              <w:bottom w:val="single" w:color="auto" w:sz="4" w:space="0"/>
              <w:right w:val="single" w:color="000000" w:sz="4" w:space="0"/>
            </w:tcBorders>
            <w:vAlign w:val="center"/>
          </w:tcPr>
          <w:p w14:paraId="46C31559">
            <w:pPr>
              <w:widowControl/>
              <w:spacing w:line="560" w:lineRule="exact"/>
              <w:jc w:val="center"/>
              <w:rPr>
                <w:rFonts w:eastAsia="仿宋_GB2312"/>
                <w:kern w:val="0"/>
                <w:szCs w:val="21"/>
              </w:rPr>
            </w:pPr>
            <w:r>
              <w:rPr>
                <w:rFonts w:hint="eastAsia" w:eastAsia="仿宋_GB2312"/>
                <w:kern w:val="0"/>
                <w:szCs w:val="21"/>
              </w:rPr>
              <w:t>5.3</w:t>
            </w:r>
          </w:p>
        </w:tc>
        <w:tc>
          <w:tcPr>
            <w:tcW w:w="1832" w:type="dxa"/>
            <w:gridSpan w:val="2"/>
            <w:tcBorders>
              <w:top w:val="single" w:color="auto" w:sz="4" w:space="0"/>
              <w:left w:val="nil"/>
              <w:bottom w:val="single" w:color="auto" w:sz="4" w:space="0"/>
              <w:right w:val="single" w:color="000000" w:sz="4" w:space="0"/>
            </w:tcBorders>
            <w:vAlign w:val="center"/>
          </w:tcPr>
          <w:p w14:paraId="3C7DED77">
            <w:pPr>
              <w:widowControl/>
              <w:spacing w:line="560" w:lineRule="exact"/>
              <w:jc w:val="center"/>
              <w:rPr>
                <w:rFonts w:eastAsia="仿宋_GB2312"/>
                <w:kern w:val="0"/>
                <w:szCs w:val="21"/>
              </w:rPr>
            </w:pPr>
            <w:r>
              <w:rPr>
                <w:rFonts w:hint="eastAsia" w:eastAsia="仿宋_GB2312"/>
                <w:kern w:val="0"/>
                <w:szCs w:val="21"/>
              </w:rPr>
              <w:t>5.69</w:t>
            </w:r>
          </w:p>
        </w:tc>
      </w:tr>
      <w:tr w14:paraId="23EE4848">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14:paraId="32B1F457">
            <w:pPr>
              <w:widowControl/>
              <w:spacing w:line="560" w:lineRule="exact"/>
              <w:ind w:firstLine="1155" w:firstLineChars="550"/>
              <w:jc w:val="left"/>
              <w:rPr>
                <w:rFonts w:hint="eastAsia" w:ascii="仿宋_GB2312" w:eastAsia="仿宋_GB2312"/>
                <w:kern w:val="0"/>
                <w:szCs w:val="21"/>
              </w:rPr>
            </w:pPr>
            <w:r>
              <w:rPr>
                <w:rFonts w:hint="eastAsia" w:ascii="仿宋_GB2312" w:eastAsia="仿宋_GB2312"/>
                <w:kern w:val="0"/>
                <w:szCs w:val="21"/>
              </w:rPr>
              <w:t>公务用车运行维护费</w:t>
            </w:r>
          </w:p>
        </w:tc>
        <w:tc>
          <w:tcPr>
            <w:tcW w:w="2038" w:type="dxa"/>
            <w:gridSpan w:val="2"/>
            <w:tcBorders>
              <w:top w:val="single" w:color="auto" w:sz="4" w:space="0"/>
              <w:left w:val="nil"/>
              <w:bottom w:val="single" w:color="auto" w:sz="4" w:space="0"/>
              <w:right w:val="single" w:color="000000" w:sz="4" w:space="0"/>
            </w:tcBorders>
            <w:vAlign w:val="center"/>
          </w:tcPr>
          <w:p w14:paraId="6E2063AB">
            <w:pPr>
              <w:widowControl/>
              <w:spacing w:line="560" w:lineRule="exact"/>
              <w:jc w:val="center"/>
              <w:rPr>
                <w:rFonts w:eastAsia="仿宋_GB2312"/>
                <w:kern w:val="0"/>
                <w:szCs w:val="21"/>
              </w:rPr>
            </w:pPr>
            <w:r>
              <w:rPr>
                <w:rFonts w:hint="eastAsia" w:eastAsia="仿宋_GB2312"/>
                <w:kern w:val="0"/>
                <w:szCs w:val="21"/>
              </w:rPr>
              <w:t>2.9</w:t>
            </w:r>
          </w:p>
        </w:tc>
        <w:tc>
          <w:tcPr>
            <w:tcW w:w="2240" w:type="dxa"/>
            <w:gridSpan w:val="2"/>
            <w:tcBorders>
              <w:top w:val="single" w:color="auto" w:sz="4" w:space="0"/>
              <w:left w:val="nil"/>
              <w:bottom w:val="single" w:color="auto" w:sz="4" w:space="0"/>
              <w:right w:val="single" w:color="000000" w:sz="4" w:space="0"/>
            </w:tcBorders>
            <w:vAlign w:val="center"/>
          </w:tcPr>
          <w:p w14:paraId="4017DCA2">
            <w:pPr>
              <w:widowControl/>
              <w:spacing w:line="560" w:lineRule="exact"/>
              <w:jc w:val="center"/>
              <w:rPr>
                <w:rFonts w:eastAsia="仿宋_GB2312"/>
                <w:kern w:val="0"/>
                <w:szCs w:val="21"/>
              </w:rPr>
            </w:pPr>
            <w:r>
              <w:rPr>
                <w:rFonts w:hint="eastAsia" w:eastAsia="仿宋_GB2312"/>
                <w:kern w:val="0"/>
                <w:szCs w:val="21"/>
              </w:rPr>
              <w:t>4</w:t>
            </w:r>
          </w:p>
        </w:tc>
        <w:tc>
          <w:tcPr>
            <w:tcW w:w="1832" w:type="dxa"/>
            <w:gridSpan w:val="2"/>
            <w:tcBorders>
              <w:top w:val="single" w:color="auto" w:sz="4" w:space="0"/>
              <w:left w:val="nil"/>
              <w:bottom w:val="single" w:color="auto" w:sz="4" w:space="0"/>
              <w:right w:val="single" w:color="000000" w:sz="4" w:space="0"/>
            </w:tcBorders>
            <w:vAlign w:val="center"/>
          </w:tcPr>
          <w:p w14:paraId="7B4DDBB6">
            <w:pPr>
              <w:widowControl/>
              <w:spacing w:line="560" w:lineRule="exact"/>
              <w:jc w:val="center"/>
              <w:rPr>
                <w:rFonts w:eastAsia="仿宋_GB2312"/>
                <w:kern w:val="0"/>
                <w:szCs w:val="21"/>
              </w:rPr>
            </w:pPr>
            <w:r>
              <w:rPr>
                <w:rFonts w:hint="eastAsia" w:eastAsia="仿宋_GB2312"/>
                <w:kern w:val="0"/>
                <w:szCs w:val="21"/>
              </w:rPr>
              <w:t>2.68</w:t>
            </w:r>
          </w:p>
        </w:tc>
      </w:tr>
      <w:tr w14:paraId="1DEECAE5">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14:paraId="50A15A7B">
            <w:pPr>
              <w:widowControl/>
              <w:spacing w:line="560" w:lineRule="exact"/>
              <w:ind w:firstLine="1155" w:firstLineChars="550"/>
              <w:jc w:val="left"/>
              <w:rPr>
                <w:rFonts w:hint="eastAsia" w:ascii="仿宋_GB2312" w:eastAsia="仿宋_GB2312"/>
                <w:kern w:val="0"/>
                <w:szCs w:val="21"/>
              </w:rPr>
            </w:pPr>
            <w:r>
              <w:rPr>
                <w:rFonts w:hint="eastAsia" w:ascii="仿宋_GB2312" w:eastAsia="仿宋_GB2312"/>
                <w:kern w:val="0"/>
                <w:szCs w:val="21"/>
              </w:rPr>
              <w:t>工会经费</w:t>
            </w:r>
          </w:p>
        </w:tc>
        <w:tc>
          <w:tcPr>
            <w:tcW w:w="2038" w:type="dxa"/>
            <w:gridSpan w:val="2"/>
            <w:tcBorders>
              <w:top w:val="single" w:color="auto" w:sz="4" w:space="0"/>
              <w:left w:val="nil"/>
              <w:bottom w:val="single" w:color="auto" w:sz="4" w:space="0"/>
              <w:right w:val="single" w:color="000000" w:sz="4" w:space="0"/>
            </w:tcBorders>
            <w:vAlign w:val="center"/>
          </w:tcPr>
          <w:p w14:paraId="54634AC8">
            <w:pPr>
              <w:widowControl/>
              <w:spacing w:line="560" w:lineRule="exact"/>
              <w:jc w:val="center"/>
              <w:rPr>
                <w:rFonts w:eastAsia="仿宋_GB2312"/>
                <w:kern w:val="0"/>
                <w:szCs w:val="21"/>
              </w:rPr>
            </w:pPr>
            <w:r>
              <w:rPr>
                <w:rFonts w:hint="eastAsia" w:eastAsia="仿宋_GB2312"/>
                <w:kern w:val="0"/>
                <w:szCs w:val="21"/>
              </w:rPr>
              <w:t>0.98</w:t>
            </w:r>
          </w:p>
        </w:tc>
        <w:tc>
          <w:tcPr>
            <w:tcW w:w="2240" w:type="dxa"/>
            <w:gridSpan w:val="2"/>
            <w:tcBorders>
              <w:top w:val="single" w:color="auto" w:sz="4" w:space="0"/>
              <w:left w:val="nil"/>
              <w:bottom w:val="single" w:color="auto" w:sz="4" w:space="0"/>
              <w:right w:val="single" w:color="000000" w:sz="4" w:space="0"/>
            </w:tcBorders>
            <w:vAlign w:val="center"/>
          </w:tcPr>
          <w:p w14:paraId="10F9850A">
            <w:pPr>
              <w:widowControl/>
              <w:spacing w:line="560" w:lineRule="exact"/>
              <w:jc w:val="center"/>
              <w:rPr>
                <w:rFonts w:eastAsia="仿宋_GB2312"/>
                <w:kern w:val="0"/>
                <w:szCs w:val="21"/>
              </w:rPr>
            </w:pPr>
            <w:r>
              <w:rPr>
                <w:rFonts w:hint="eastAsia" w:eastAsia="仿宋_GB2312"/>
                <w:kern w:val="0"/>
                <w:szCs w:val="21"/>
              </w:rPr>
              <w:t>1.41</w:t>
            </w:r>
          </w:p>
        </w:tc>
        <w:tc>
          <w:tcPr>
            <w:tcW w:w="1832" w:type="dxa"/>
            <w:gridSpan w:val="2"/>
            <w:tcBorders>
              <w:top w:val="single" w:color="auto" w:sz="4" w:space="0"/>
              <w:left w:val="nil"/>
              <w:bottom w:val="single" w:color="auto" w:sz="4" w:space="0"/>
              <w:right w:val="single" w:color="000000" w:sz="4" w:space="0"/>
            </w:tcBorders>
            <w:vAlign w:val="center"/>
          </w:tcPr>
          <w:p w14:paraId="0CA42E1E">
            <w:pPr>
              <w:widowControl/>
              <w:spacing w:line="560" w:lineRule="exact"/>
              <w:jc w:val="center"/>
              <w:rPr>
                <w:rFonts w:eastAsia="仿宋_GB2312"/>
                <w:kern w:val="0"/>
                <w:szCs w:val="21"/>
              </w:rPr>
            </w:pPr>
            <w:r>
              <w:rPr>
                <w:rFonts w:hint="eastAsia" w:eastAsia="仿宋_GB2312"/>
                <w:kern w:val="0"/>
                <w:szCs w:val="21"/>
              </w:rPr>
              <w:t>1.41</w:t>
            </w:r>
          </w:p>
        </w:tc>
      </w:tr>
      <w:tr w14:paraId="1ED1F9F9">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14:paraId="6AFB70C8">
            <w:pPr>
              <w:widowControl/>
              <w:spacing w:line="560" w:lineRule="exact"/>
              <w:ind w:firstLine="1155" w:firstLineChars="550"/>
              <w:jc w:val="left"/>
              <w:rPr>
                <w:rFonts w:hint="eastAsia" w:ascii="仿宋_GB2312" w:eastAsia="仿宋_GB2312"/>
                <w:kern w:val="0"/>
                <w:szCs w:val="21"/>
              </w:rPr>
            </w:pPr>
            <w:r>
              <w:rPr>
                <w:rFonts w:hint="eastAsia" w:ascii="仿宋_GB2312" w:eastAsia="仿宋_GB2312"/>
                <w:kern w:val="0"/>
                <w:szCs w:val="21"/>
              </w:rPr>
              <w:t>公务接待费</w:t>
            </w:r>
          </w:p>
        </w:tc>
        <w:tc>
          <w:tcPr>
            <w:tcW w:w="2038" w:type="dxa"/>
            <w:gridSpan w:val="2"/>
            <w:tcBorders>
              <w:top w:val="single" w:color="auto" w:sz="4" w:space="0"/>
              <w:left w:val="nil"/>
              <w:bottom w:val="single" w:color="auto" w:sz="4" w:space="0"/>
              <w:right w:val="single" w:color="000000" w:sz="4" w:space="0"/>
            </w:tcBorders>
            <w:vAlign w:val="center"/>
          </w:tcPr>
          <w:p w14:paraId="3E7280C8">
            <w:pPr>
              <w:widowControl/>
              <w:spacing w:line="560" w:lineRule="exact"/>
              <w:jc w:val="center"/>
              <w:rPr>
                <w:rFonts w:eastAsia="仿宋_GB2312"/>
                <w:kern w:val="0"/>
                <w:szCs w:val="21"/>
              </w:rPr>
            </w:pPr>
            <w:r>
              <w:rPr>
                <w:rFonts w:hint="eastAsia" w:eastAsia="仿宋_GB2312"/>
                <w:kern w:val="0"/>
                <w:szCs w:val="21"/>
              </w:rPr>
              <w:t>0.85</w:t>
            </w:r>
          </w:p>
        </w:tc>
        <w:tc>
          <w:tcPr>
            <w:tcW w:w="2240" w:type="dxa"/>
            <w:gridSpan w:val="2"/>
            <w:tcBorders>
              <w:top w:val="single" w:color="auto" w:sz="4" w:space="0"/>
              <w:left w:val="nil"/>
              <w:bottom w:val="single" w:color="auto" w:sz="4" w:space="0"/>
              <w:right w:val="single" w:color="000000" w:sz="4" w:space="0"/>
            </w:tcBorders>
            <w:vAlign w:val="center"/>
          </w:tcPr>
          <w:p w14:paraId="7DE73657">
            <w:pPr>
              <w:widowControl/>
              <w:spacing w:line="560" w:lineRule="exact"/>
              <w:jc w:val="center"/>
              <w:rPr>
                <w:rFonts w:eastAsia="仿宋_GB2312"/>
                <w:kern w:val="0"/>
                <w:szCs w:val="21"/>
              </w:rPr>
            </w:pPr>
            <w:r>
              <w:rPr>
                <w:rFonts w:hint="eastAsia" w:eastAsia="仿宋_GB2312"/>
                <w:kern w:val="0"/>
                <w:szCs w:val="21"/>
              </w:rPr>
              <w:t>1</w:t>
            </w:r>
          </w:p>
        </w:tc>
        <w:tc>
          <w:tcPr>
            <w:tcW w:w="1832" w:type="dxa"/>
            <w:gridSpan w:val="2"/>
            <w:tcBorders>
              <w:top w:val="single" w:color="auto" w:sz="4" w:space="0"/>
              <w:left w:val="nil"/>
              <w:bottom w:val="single" w:color="auto" w:sz="4" w:space="0"/>
              <w:right w:val="single" w:color="000000" w:sz="4" w:space="0"/>
            </w:tcBorders>
            <w:vAlign w:val="center"/>
          </w:tcPr>
          <w:p w14:paraId="5266A7F1">
            <w:pPr>
              <w:widowControl/>
              <w:spacing w:line="560" w:lineRule="exact"/>
              <w:jc w:val="center"/>
              <w:rPr>
                <w:rFonts w:eastAsia="仿宋_GB2312"/>
                <w:kern w:val="0"/>
                <w:szCs w:val="21"/>
              </w:rPr>
            </w:pPr>
            <w:r>
              <w:rPr>
                <w:rFonts w:hint="eastAsia" w:eastAsia="仿宋_GB2312"/>
                <w:kern w:val="0"/>
                <w:szCs w:val="21"/>
              </w:rPr>
              <w:t>0.14</w:t>
            </w:r>
          </w:p>
        </w:tc>
      </w:tr>
      <w:tr w14:paraId="35937C54">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14:paraId="7974F44E">
            <w:pPr>
              <w:widowControl/>
              <w:spacing w:line="560" w:lineRule="exact"/>
              <w:ind w:firstLine="1155" w:firstLineChars="550"/>
              <w:jc w:val="left"/>
              <w:rPr>
                <w:rFonts w:hint="eastAsia" w:ascii="仿宋_GB2312" w:eastAsia="仿宋_GB2312"/>
                <w:kern w:val="0"/>
                <w:szCs w:val="21"/>
              </w:rPr>
            </w:pPr>
            <w:r>
              <w:rPr>
                <w:rFonts w:hint="eastAsia" w:ascii="仿宋_GB2312" w:eastAsia="仿宋_GB2312"/>
                <w:kern w:val="0"/>
                <w:szCs w:val="21"/>
              </w:rPr>
              <w:t>税金及其他附加费用</w:t>
            </w:r>
          </w:p>
        </w:tc>
        <w:tc>
          <w:tcPr>
            <w:tcW w:w="2038" w:type="dxa"/>
            <w:gridSpan w:val="2"/>
            <w:tcBorders>
              <w:top w:val="single" w:color="auto" w:sz="4" w:space="0"/>
              <w:left w:val="nil"/>
              <w:bottom w:val="single" w:color="auto" w:sz="4" w:space="0"/>
              <w:right w:val="single" w:color="000000" w:sz="4" w:space="0"/>
            </w:tcBorders>
            <w:vAlign w:val="center"/>
          </w:tcPr>
          <w:p w14:paraId="0B6C96E8">
            <w:pPr>
              <w:widowControl/>
              <w:spacing w:line="560" w:lineRule="exact"/>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34D45E9D">
            <w:pPr>
              <w:widowControl/>
              <w:spacing w:line="560" w:lineRule="exact"/>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14:paraId="5469F43E">
            <w:pPr>
              <w:widowControl/>
              <w:spacing w:line="560" w:lineRule="exact"/>
              <w:jc w:val="center"/>
              <w:rPr>
                <w:rFonts w:eastAsia="仿宋_GB2312"/>
                <w:kern w:val="0"/>
                <w:szCs w:val="21"/>
              </w:rPr>
            </w:pPr>
            <w:r>
              <w:rPr>
                <w:rFonts w:hint="eastAsia" w:eastAsia="仿宋_GB2312"/>
                <w:kern w:val="0"/>
                <w:szCs w:val="21"/>
              </w:rPr>
              <w:t>0.36</w:t>
            </w:r>
          </w:p>
        </w:tc>
      </w:tr>
      <w:tr w14:paraId="22E51637">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14:paraId="705E8353">
            <w:pPr>
              <w:widowControl/>
              <w:spacing w:line="560" w:lineRule="exact"/>
              <w:ind w:firstLine="1155" w:firstLineChars="550"/>
              <w:jc w:val="left"/>
              <w:rPr>
                <w:rFonts w:hint="eastAsia" w:ascii="仿宋_GB2312" w:eastAsia="仿宋_GB2312"/>
                <w:kern w:val="0"/>
                <w:szCs w:val="21"/>
              </w:rPr>
            </w:pPr>
            <w:r>
              <w:rPr>
                <w:rFonts w:hint="eastAsia" w:ascii="仿宋_GB2312" w:eastAsia="仿宋_GB2312"/>
                <w:kern w:val="0"/>
                <w:szCs w:val="21"/>
              </w:rPr>
              <w:t>物业管理费</w:t>
            </w:r>
          </w:p>
        </w:tc>
        <w:tc>
          <w:tcPr>
            <w:tcW w:w="2038" w:type="dxa"/>
            <w:gridSpan w:val="2"/>
            <w:tcBorders>
              <w:top w:val="single" w:color="auto" w:sz="4" w:space="0"/>
              <w:left w:val="nil"/>
              <w:bottom w:val="single" w:color="auto" w:sz="4" w:space="0"/>
              <w:right w:val="single" w:color="000000" w:sz="4" w:space="0"/>
            </w:tcBorders>
            <w:vAlign w:val="center"/>
          </w:tcPr>
          <w:p w14:paraId="636ADF94">
            <w:pPr>
              <w:widowControl/>
              <w:spacing w:line="560" w:lineRule="exact"/>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5B3E9086">
            <w:pPr>
              <w:widowControl/>
              <w:spacing w:line="560" w:lineRule="exact"/>
              <w:jc w:val="center"/>
              <w:rPr>
                <w:rFonts w:eastAsia="仿宋_GB2312"/>
                <w:kern w:val="0"/>
                <w:szCs w:val="21"/>
              </w:rPr>
            </w:pPr>
            <w:r>
              <w:rPr>
                <w:rFonts w:hint="eastAsia" w:eastAsia="仿宋_GB2312"/>
                <w:kern w:val="0"/>
                <w:szCs w:val="21"/>
              </w:rPr>
              <w:t>1</w:t>
            </w:r>
          </w:p>
        </w:tc>
        <w:tc>
          <w:tcPr>
            <w:tcW w:w="1832" w:type="dxa"/>
            <w:gridSpan w:val="2"/>
            <w:tcBorders>
              <w:top w:val="single" w:color="auto" w:sz="4" w:space="0"/>
              <w:left w:val="nil"/>
              <w:bottom w:val="single" w:color="auto" w:sz="4" w:space="0"/>
              <w:right w:val="single" w:color="000000" w:sz="4" w:space="0"/>
            </w:tcBorders>
            <w:vAlign w:val="center"/>
          </w:tcPr>
          <w:p w14:paraId="4ED7C93B">
            <w:pPr>
              <w:widowControl/>
              <w:spacing w:line="560" w:lineRule="exact"/>
              <w:jc w:val="center"/>
              <w:rPr>
                <w:rFonts w:hint="eastAsia" w:eastAsia="仿宋_GB2312"/>
                <w:kern w:val="0"/>
                <w:szCs w:val="21"/>
              </w:rPr>
            </w:pPr>
            <w:r>
              <w:rPr>
                <w:rFonts w:hint="eastAsia" w:eastAsia="仿宋_GB2312"/>
                <w:kern w:val="0"/>
                <w:szCs w:val="21"/>
              </w:rPr>
              <w:t>0</w:t>
            </w:r>
          </w:p>
        </w:tc>
      </w:tr>
      <w:tr w14:paraId="3DD293A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1F395F5">
            <w:pPr>
              <w:widowControl/>
              <w:spacing w:line="560" w:lineRule="exact"/>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6AB5F1D0">
            <w:pPr>
              <w:widowControl/>
              <w:spacing w:line="560" w:lineRule="exact"/>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13D64B68">
            <w:pPr>
              <w:widowControl/>
              <w:spacing w:line="560" w:lineRule="exact"/>
              <w:jc w:val="center"/>
              <w:rPr>
                <w:rFonts w:eastAsia="仿宋_GB2312"/>
                <w:kern w:val="0"/>
                <w:szCs w:val="21"/>
              </w:rPr>
            </w:pPr>
            <w:r>
              <w:rPr>
                <w:rFonts w:hint="eastAsia" w:eastAsia="仿宋_GB2312"/>
                <w:kern w:val="0"/>
                <w:szCs w:val="21"/>
              </w:rPr>
              <w:t>无</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91A7D53">
            <w:pPr>
              <w:widowControl/>
              <w:spacing w:line="560" w:lineRule="exact"/>
              <w:jc w:val="center"/>
              <w:rPr>
                <w:rFonts w:eastAsia="仿宋_GB2312"/>
                <w:kern w:val="0"/>
                <w:szCs w:val="21"/>
              </w:rPr>
            </w:pPr>
            <w:r>
              <w:rPr>
                <w:rFonts w:hint="eastAsia" w:eastAsia="仿宋_GB2312"/>
                <w:kern w:val="0"/>
                <w:szCs w:val="21"/>
              </w:rPr>
              <w:t>无</w:t>
            </w:r>
          </w:p>
        </w:tc>
      </w:tr>
      <w:tr w14:paraId="0CC6437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0EA0B87">
            <w:pPr>
              <w:widowControl/>
              <w:spacing w:line="560" w:lineRule="exact"/>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vAlign w:val="center"/>
          </w:tcPr>
          <w:p w14:paraId="67B57214">
            <w:pPr>
              <w:widowControl/>
              <w:spacing w:line="560" w:lineRule="exact"/>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6B9C338D">
            <w:pPr>
              <w:widowControl/>
              <w:spacing w:line="560" w:lineRule="exact"/>
              <w:jc w:val="center"/>
              <w:rPr>
                <w:rFonts w:eastAsia="仿宋_GB2312"/>
                <w:kern w:val="0"/>
                <w:szCs w:val="21"/>
              </w:rPr>
            </w:pP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7F69816">
            <w:pPr>
              <w:widowControl/>
              <w:spacing w:line="560" w:lineRule="exact"/>
              <w:jc w:val="center"/>
              <w:rPr>
                <w:rFonts w:eastAsia="仿宋_GB2312"/>
                <w:kern w:val="0"/>
                <w:szCs w:val="21"/>
              </w:rPr>
            </w:pPr>
            <w:r>
              <w:rPr>
                <w:rFonts w:eastAsia="仿宋_GB2312"/>
                <w:kern w:val="0"/>
                <w:szCs w:val="21"/>
              </w:rPr>
              <w:t>　</w:t>
            </w:r>
          </w:p>
        </w:tc>
      </w:tr>
      <w:tr w14:paraId="153EB730">
        <w:tblPrEx>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6355EA27">
            <w:pPr>
              <w:widowControl/>
              <w:spacing w:line="560" w:lineRule="exact"/>
              <w:jc w:val="center"/>
              <w:rPr>
                <w:rFonts w:eastAsia="仿宋_GB2312"/>
                <w:kern w:val="0"/>
                <w:szCs w:val="21"/>
              </w:rPr>
            </w:pPr>
            <w:r>
              <w:rPr>
                <w:rFonts w:eastAsia="仿宋_GB2312"/>
                <w:kern w:val="0"/>
                <w:szCs w:val="21"/>
              </w:rPr>
              <w:t>楼堂馆所控制情况</w:t>
            </w:r>
            <w:r>
              <w:rPr>
                <w:rFonts w:eastAsia="仿宋_GB2312"/>
                <w:kern w:val="0"/>
                <w:szCs w:val="21"/>
              </w:rPr>
              <w:br w:type="textWrapping"/>
            </w:r>
            <w:r>
              <w:rPr>
                <w:rFonts w:eastAsia="仿宋_GB2312"/>
                <w:kern w:val="0"/>
                <w:szCs w:val="21"/>
              </w:rPr>
              <w:t>（201</w:t>
            </w:r>
            <w:r>
              <w:rPr>
                <w:rFonts w:hint="eastAsia" w:eastAsia="仿宋_GB2312"/>
                <w:kern w:val="0"/>
                <w:szCs w:val="21"/>
              </w:rPr>
              <w:t>8</w:t>
            </w:r>
            <w:r>
              <w:rPr>
                <w:rFonts w:eastAsia="仿宋_GB2312"/>
                <w:kern w:val="0"/>
                <w:szCs w:val="21"/>
              </w:rPr>
              <w:t>年完工项目）</w:t>
            </w:r>
          </w:p>
        </w:tc>
        <w:tc>
          <w:tcPr>
            <w:tcW w:w="1189" w:type="dxa"/>
            <w:tcBorders>
              <w:top w:val="nil"/>
              <w:left w:val="nil"/>
              <w:bottom w:val="single" w:color="auto" w:sz="4" w:space="0"/>
              <w:right w:val="single" w:color="auto" w:sz="4" w:space="0"/>
            </w:tcBorders>
            <w:vAlign w:val="center"/>
          </w:tcPr>
          <w:p w14:paraId="1B27D9BE">
            <w:pPr>
              <w:widowControl/>
              <w:spacing w:line="560" w:lineRule="exact"/>
              <w:jc w:val="center"/>
              <w:rPr>
                <w:rFonts w:eastAsia="仿宋_GB2312"/>
                <w:b/>
                <w:bCs/>
                <w:kern w:val="0"/>
                <w:szCs w:val="21"/>
              </w:rPr>
            </w:pPr>
            <w:r>
              <w:rPr>
                <w:rFonts w:eastAsia="仿宋_GB2312"/>
                <w:b/>
                <w:bCs/>
                <w:kern w:val="0"/>
                <w:szCs w:val="21"/>
              </w:rPr>
              <w:t>批复规模</w:t>
            </w:r>
            <w:r>
              <w:rPr>
                <w:rFonts w:eastAsia="仿宋_GB2312"/>
                <w:b/>
                <w:bCs/>
                <w:kern w:val="0"/>
                <w:szCs w:val="21"/>
              </w:rPr>
              <w:br w:type="textWrapping"/>
            </w:r>
            <w:r>
              <w:rPr>
                <w:rFonts w:eastAsia="仿宋_GB2312"/>
                <w:b/>
                <w:bCs/>
                <w:kern w:val="0"/>
                <w:szCs w:val="21"/>
              </w:rPr>
              <w:t>（</w:t>
            </w:r>
            <w:r>
              <w:rPr>
                <w:b/>
                <w:bCs/>
                <w:kern w:val="0"/>
                <w:szCs w:val="21"/>
              </w:rPr>
              <w:t>㎡</w:t>
            </w:r>
            <w:r>
              <w:rPr>
                <w:rFonts w:eastAsia="仿宋_GB2312"/>
                <w:b/>
                <w:bCs/>
                <w:kern w:val="0"/>
                <w:szCs w:val="21"/>
              </w:rPr>
              <w:t>）</w:t>
            </w:r>
          </w:p>
        </w:tc>
        <w:tc>
          <w:tcPr>
            <w:tcW w:w="849" w:type="dxa"/>
            <w:tcBorders>
              <w:top w:val="nil"/>
              <w:left w:val="nil"/>
              <w:bottom w:val="single" w:color="auto" w:sz="4" w:space="0"/>
              <w:right w:val="single" w:color="auto" w:sz="4" w:space="0"/>
            </w:tcBorders>
            <w:vAlign w:val="center"/>
          </w:tcPr>
          <w:p w14:paraId="22087AD8">
            <w:pPr>
              <w:widowControl/>
              <w:spacing w:line="560" w:lineRule="exact"/>
              <w:jc w:val="center"/>
              <w:rPr>
                <w:rFonts w:eastAsia="仿宋_GB2312"/>
                <w:b/>
                <w:bCs/>
                <w:kern w:val="0"/>
                <w:szCs w:val="21"/>
              </w:rPr>
            </w:pPr>
            <w:r>
              <w:rPr>
                <w:rFonts w:eastAsia="仿宋_GB2312"/>
                <w:b/>
                <w:bCs/>
                <w:kern w:val="0"/>
                <w:szCs w:val="21"/>
              </w:rPr>
              <w:t>实际规模（</w:t>
            </w:r>
            <w:r>
              <w:rPr>
                <w:b/>
                <w:bCs/>
                <w:kern w:val="0"/>
                <w:szCs w:val="21"/>
              </w:rPr>
              <w:t>㎡</w:t>
            </w:r>
            <w:r>
              <w:rPr>
                <w:rFonts w:eastAsia="仿宋_GB2312"/>
                <w:b/>
                <w:bCs/>
                <w:kern w:val="0"/>
                <w:szCs w:val="21"/>
              </w:rPr>
              <w:t>）</w:t>
            </w:r>
          </w:p>
        </w:tc>
        <w:tc>
          <w:tcPr>
            <w:tcW w:w="1129" w:type="dxa"/>
            <w:tcBorders>
              <w:top w:val="nil"/>
              <w:left w:val="nil"/>
              <w:bottom w:val="single" w:color="auto" w:sz="4" w:space="0"/>
              <w:right w:val="single" w:color="auto" w:sz="4" w:space="0"/>
            </w:tcBorders>
            <w:vAlign w:val="center"/>
          </w:tcPr>
          <w:p w14:paraId="60E685C5">
            <w:pPr>
              <w:widowControl/>
              <w:spacing w:line="560" w:lineRule="exact"/>
              <w:jc w:val="center"/>
              <w:rPr>
                <w:rFonts w:eastAsia="仿宋_GB2312"/>
                <w:b/>
                <w:bCs/>
                <w:kern w:val="0"/>
                <w:szCs w:val="21"/>
              </w:rPr>
            </w:pPr>
            <w:r>
              <w:rPr>
                <w:rFonts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14:paraId="7EC66E76">
            <w:pPr>
              <w:widowControl/>
              <w:spacing w:line="560" w:lineRule="exact"/>
              <w:jc w:val="center"/>
              <w:rPr>
                <w:rFonts w:eastAsia="仿宋_GB2312"/>
                <w:b/>
                <w:bCs/>
                <w:kern w:val="0"/>
                <w:szCs w:val="21"/>
              </w:rPr>
            </w:pPr>
            <w:r>
              <w:rPr>
                <w:rFonts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14:paraId="573A9191">
            <w:pPr>
              <w:widowControl/>
              <w:spacing w:line="560" w:lineRule="exact"/>
              <w:jc w:val="center"/>
              <w:rPr>
                <w:rFonts w:eastAsia="仿宋_GB2312"/>
                <w:b/>
                <w:bCs/>
                <w:kern w:val="0"/>
                <w:szCs w:val="21"/>
              </w:rPr>
            </w:pPr>
            <w:r>
              <w:rPr>
                <w:rFonts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14:paraId="50E1055E">
            <w:pPr>
              <w:widowControl/>
              <w:spacing w:line="560" w:lineRule="exact"/>
              <w:jc w:val="center"/>
              <w:rPr>
                <w:rFonts w:eastAsia="仿宋_GB2312"/>
                <w:b/>
                <w:bCs/>
                <w:kern w:val="0"/>
                <w:szCs w:val="21"/>
              </w:rPr>
            </w:pPr>
            <w:r>
              <w:rPr>
                <w:rFonts w:eastAsia="仿宋_GB2312"/>
                <w:b/>
                <w:bCs/>
                <w:kern w:val="0"/>
                <w:szCs w:val="21"/>
              </w:rPr>
              <w:t>投资概算控制率</w:t>
            </w:r>
          </w:p>
        </w:tc>
      </w:tr>
      <w:tr w14:paraId="49428196">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0B2F5738">
            <w:pPr>
              <w:widowControl/>
              <w:spacing w:line="560" w:lineRule="exact"/>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14:paraId="355AF9E0">
            <w:pPr>
              <w:widowControl/>
              <w:spacing w:line="560" w:lineRule="exact"/>
              <w:jc w:val="center"/>
              <w:rPr>
                <w:rFonts w:eastAsia="仿宋_GB2312"/>
                <w:kern w:val="0"/>
                <w:szCs w:val="21"/>
              </w:rPr>
            </w:pPr>
            <w:r>
              <w:rPr>
                <w:rFonts w:eastAsia="仿宋_GB2312"/>
                <w:kern w:val="0"/>
                <w:szCs w:val="21"/>
              </w:rPr>
              <w:t>　</w:t>
            </w:r>
            <w:r>
              <w:rPr>
                <w:rFonts w:hint="eastAsia" w:eastAsia="仿宋_GB2312"/>
                <w:kern w:val="0"/>
                <w:szCs w:val="21"/>
              </w:rPr>
              <w:t>无</w:t>
            </w:r>
          </w:p>
        </w:tc>
        <w:tc>
          <w:tcPr>
            <w:tcW w:w="849" w:type="dxa"/>
            <w:tcBorders>
              <w:top w:val="nil"/>
              <w:left w:val="nil"/>
              <w:bottom w:val="single" w:color="auto" w:sz="4" w:space="0"/>
              <w:right w:val="single" w:color="auto" w:sz="4" w:space="0"/>
            </w:tcBorders>
            <w:vAlign w:val="center"/>
          </w:tcPr>
          <w:p w14:paraId="39110172">
            <w:pPr>
              <w:widowControl/>
              <w:spacing w:line="560" w:lineRule="exact"/>
              <w:jc w:val="left"/>
              <w:rPr>
                <w:rFonts w:eastAsia="仿宋_GB2312"/>
                <w:kern w:val="0"/>
                <w:szCs w:val="21"/>
              </w:rPr>
            </w:pPr>
            <w:r>
              <w:rPr>
                <w:rFonts w:hint="eastAsia" w:eastAsia="仿宋_GB2312"/>
                <w:kern w:val="0"/>
                <w:szCs w:val="21"/>
              </w:rPr>
              <w:t>无</w:t>
            </w:r>
          </w:p>
        </w:tc>
        <w:tc>
          <w:tcPr>
            <w:tcW w:w="1129" w:type="dxa"/>
            <w:tcBorders>
              <w:top w:val="nil"/>
              <w:left w:val="nil"/>
              <w:bottom w:val="single" w:color="auto" w:sz="4" w:space="0"/>
              <w:right w:val="single" w:color="auto" w:sz="4" w:space="0"/>
            </w:tcBorders>
            <w:vAlign w:val="center"/>
          </w:tcPr>
          <w:p w14:paraId="406AB0C7">
            <w:pPr>
              <w:widowControl/>
              <w:spacing w:line="560" w:lineRule="exact"/>
              <w:jc w:val="left"/>
              <w:rPr>
                <w:rFonts w:eastAsia="仿宋_GB2312"/>
                <w:kern w:val="0"/>
                <w:szCs w:val="21"/>
              </w:rPr>
            </w:pPr>
            <w:r>
              <w:rPr>
                <w:rFonts w:hint="eastAsia" w:eastAsia="仿宋_GB2312"/>
                <w:kern w:val="0"/>
                <w:szCs w:val="21"/>
              </w:rPr>
              <w:t>无</w:t>
            </w:r>
          </w:p>
        </w:tc>
        <w:tc>
          <w:tcPr>
            <w:tcW w:w="1111" w:type="dxa"/>
            <w:tcBorders>
              <w:top w:val="nil"/>
              <w:left w:val="nil"/>
              <w:bottom w:val="single" w:color="auto" w:sz="4" w:space="0"/>
              <w:right w:val="single" w:color="auto" w:sz="4" w:space="0"/>
            </w:tcBorders>
            <w:vAlign w:val="center"/>
          </w:tcPr>
          <w:p w14:paraId="6D216F2A">
            <w:pPr>
              <w:widowControl/>
              <w:spacing w:line="560" w:lineRule="exact"/>
              <w:jc w:val="left"/>
              <w:rPr>
                <w:rFonts w:eastAsia="仿宋_GB2312"/>
                <w:kern w:val="0"/>
                <w:szCs w:val="21"/>
              </w:rPr>
            </w:pPr>
            <w:r>
              <w:rPr>
                <w:rFonts w:hint="eastAsia" w:eastAsia="仿宋_GB2312"/>
                <w:kern w:val="0"/>
                <w:szCs w:val="21"/>
              </w:rPr>
              <w:t>无</w:t>
            </w:r>
          </w:p>
        </w:tc>
        <w:tc>
          <w:tcPr>
            <w:tcW w:w="969" w:type="dxa"/>
            <w:tcBorders>
              <w:top w:val="nil"/>
              <w:left w:val="nil"/>
              <w:bottom w:val="single" w:color="auto" w:sz="4" w:space="0"/>
              <w:right w:val="single" w:color="auto" w:sz="4" w:space="0"/>
            </w:tcBorders>
            <w:vAlign w:val="center"/>
          </w:tcPr>
          <w:p w14:paraId="56A84C52">
            <w:pPr>
              <w:widowControl/>
              <w:spacing w:line="560" w:lineRule="exact"/>
              <w:jc w:val="left"/>
              <w:rPr>
                <w:rFonts w:eastAsia="仿宋_GB2312"/>
                <w:kern w:val="0"/>
                <w:szCs w:val="21"/>
              </w:rPr>
            </w:pPr>
            <w:r>
              <w:rPr>
                <w:rFonts w:hint="eastAsia" w:eastAsia="仿宋_GB2312"/>
                <w:kern w:val="0"/>
                <w:szCs w:val="21"/>
              </w:rPr>
              <w:t>无</w:t>
            </w:r>
          </w:p>
        </w:tc>
        <w:tc>
          <w:tcPr>
            <w:tcW w:w="863" w:type="dxa"/>
            <w:tcBorders>
              <w:top w:val="nil"/>
              <w:left w:val="nil"/>
              <w:bottom w:val="single" w:color="auto" w:sz="4" w:space="0"/>
              <w:right w:val="single" w:color="auto" w:sz="4" w:space="0"/>
            </w:tcBorders>
            <w:vAlign w:val="center"/>
          </w:tcPr>
          <w:p w14:paraId="7AD678D7">
            <w:pPr>
              <w:widowControl/>
              <w:spacing w:line="560" w:lineRule="exact"/>
              <w:jc w:val="left"/>
              <w:rPr>
                <w:rFonts w:eastAsia="仿宋_GB2312"/>
                <w:kern w:val="0"/>
                <w:szCs w:val="21"/>
              </w:rPr>
            </w:pPr>
            <w:r>
              <w:rPr>
                <w:rFonts w:hint="eastAsia" w:eastAsia="仿宋_GB2312"/>
                <w:kern w:val="0"/>
                <w:szCs w:val="21"/>
              </w:rPr>
              <w:t>无</w:t>
            </w:r>
          </w:p>
        </w:tc>
      </w:tr>
      <w:tr w14:paraId="211E073A">
        <w:tblPrEx>
          <w:tblCellMar>
            <w:top w:w="0" w:type="dxa"/>
            <w:left w:w="108" w:type="dxa"/>
            <w:bottom w:w="0" w:type="dxa"/>
            <w:right w:w="108" w:type="dxa"/>
          </w:tblCellMar>
        </w:tblPrEx>
        <w:trPr>
          <w:trHeight w:val="664" w:hRule="atLeast"/>
          <w:jc w:val="center"/>
        </w:trPr>
        <w:tc>
          <w:tcPr>
            <w:tcW w:w="3354" w:type="dxa"/>
            <w:tcBorders>
              <w:top w:val="nil"/>
              <w:left w:val="single" w:color="auto" w:sz="4" w:space="0"/>
              <w:bottom w:val="single" w:color="auto" w:sz="4" w:space="0"/>
              <w:right w:val="single" w:color="auto" w:sz="4" w:space="0"/>
            </w:tcBorders>
            <w:vAlign w:val="center"/>
          </w:tcPr>
          <w:p w14:paraId="4C280303">
            <w:pPr>
              <w:widowControl/>
              <w:spacing w:line="560" w:lineRule="exact"/>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32EF0401">
            <w:pPr>
              <w:widowControl/>
              <w:spacing w:line="560" w:lineRule="exact"/>
              <w:jc w:val="center"/>
              <w:rPr>
                <w:rFonts w:eastAsia="仿宋_GB2312"/>
                <w:kern w:val="0"/>
                <w:szCs w:val="21"/>
              </w:rPr>
            </w:pPr>
            <w:r>
              <w:rPr>
                <w:rFonts w:eastAsia="仿宋_GB2312"/>
                <w:kern w:val="0"/>
                <w:szCs w:val="21"/>
              </w:rPr>
              <w:t>　</w:t>
            </w:r>
          </w:p>
        </w:tc>
      </w:tr>
    </w:tbl>
    <w:p w14:paraId="1299AADB">
      <w:pPr>
        <w:widowControl/>
        <w:spacing w:line="560" w:lineRule="exact"/>
        <w:jc w:val="center"/>
        <w:rPr>
          <w:rFonts w:eastAsia="仿宋_GB2312"/>
          <w:kern w:val="0"/>
          <w:sz w:val="22"/>
          <w:szCs w:val="22"/>
        </w:rPr>
      </w:pPr>
      <w:r>
        <w:rPr>
          <w:rFonts w:eastAsia="仿宋_GB2312"/>
          <w:kern w:val="0"/>
          <w:sz w:val="22"/>
          <w:szCs w:val="22"/>
        </w:rPr>
        <w:t>说明：“项目支出”需要填报基本支出以外的所有项目</w:t>
      </w:r>
      <w:r>
        <w:rPr>
          <w:rFonts w:hint="eastAsia" w:eastAsia="仿宋_GB2312"/>
          <w:kern w:val="0"/>
          <w:sz w:val="22"/>
          <w:szCs w:val="22"/>
        </w:rPr>
        <w:t>支出</w:t>
      </w:r>
      <w:r>
        <w:rPr>
          <w:rFonts w:eastAsia="仿宋_GB2312"/>
          <w:kern w:val="0"/>
          <w:sz w:val="22"/>
          <w:szCs w:val="22"/>
        </w:rPr>
        <w:t>情况，包括业务工作项目、运行维护项目</w:t>
      </w:r>
      <w:r>
        <w:rPr>
          <w:rFonts w:hint="eastAsia" w:eastAsia="仿宋_GB2312"/>
          <w:kern w:val="0"/>
          <w:sz w:val="22"/>
          <w:szCs w:val="22"/>
        </w:rPr>
        <w:t>和市级专项资金</w:t>
      </w:r>
      <w:r>
        <w:rPr>
          <w:rFonts w:eastAsia="仿宋_GB2312"/>
          <w:kern w:val="0"/>
          <w:sz w:val="22"/>
          <w:szCs w:val="22"/>
        </w:rPr>
        <w:t>等；“公用经费”填报基本支出中的一般商品和服务支出。</w:t>
      </w:r>
      <w:r>
        <w:rPr>
          <w:rFonts w:eastAsia="仿宋_GB2312"/>
          <w:kern w:val="0"/>
          <w:sz w:val="22"/>
          <w:szCs w:val="22"/>
        </w:rPr>
        <w:br w:type="page"/>
      </w:r>
    </w:p>
    <w:p w14:paraId="41161573">
      <w:pPr>
        <w:widowControl/>
        <w:spacing w:line="560" w:lineRule="exact"/>
        <w:jc w:val="center"/>
        <w:rPr>
          <w:rFonts w:eastAsia="仿宋_GB2312"/>
          <w:kern w:val="0"/>
          <w:sz w:val="22"/>
          <w:szCs w:val="22"/>
        </w:rPr>
      </w:pPr>
    </w:p>
    <w:p w14:paraId="131D1F72">
      <w:pPr>
        <w:widowControl/>
        <w:spacing w:line="560" w:lineRule="exact"/>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2018年度市级专项资金绩效目标自评表</w:t>
      </w:r>
    </w:p>
    <w:tbl>
      <w:tblPr>
        <w:tblStyle w:val="9"/>
        <w:tblW w:w="0" w:type="auto"/>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14:paraId="0B5EA6E3">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14:paraId="65965F4B">
            <w:pPr>
              <w:widowControl/>
              <w:spacing w:line="560" w:lineRule="exact"/>
              <w:jc w:val="center"/>
              <w:rPr>
                <w:rFonts w:ascii="楷体_GB2312" w:hAnsi="宋体" w:eastAsia="楷体_GB2312" w:cs="宋体"/>
                <w:b/>
                <w:bCs/>
                <w:color w:val="000000"/>
                <w:kern w:val="0"/>
                <w:sz w:val="22"/>
              </w:rPr>
            </w:pPr>
          </w:p>
        </w:tc>
      </w:tr>
      <w:tr w14:paraId="28C0FC86">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34C9BC7D">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02874371">
            <w:pPr>
              <w:widowControl/>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1276" w:type="dxa"/>
            <w:tcBorders>
              <w:top w:val="single" w:color="auto" w:sz="4" w:space="0"/>
              <w:left w:val="single" w:color="auto" w:sz="4" w:space="0"/>
              <w:bottom w:val="single" w:color="auto" w:sz="4" w:space="0"/>
              <w:right w:val="single" w:color="auto" w:sz="4" w:space="0"/>
            </w:tcBorders>
            <w:noWrap/>
            <w:vAlign w:val="center"/>
          </w:tcPr>
          <w:p w14:paraId="4C337B1A">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14:paraId="01309ABC">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14:paraId="6B795734">
            <w:pPr>
              <w:widowControl/>
              <w:spacing w:line="560" w:lineRule="exact"/>
              <w:jc w:val="left"/>
              <w:rPr>
                <w:rFonts w:ascii="宋体" w:hAnsi="宋体" w:cs="宋体"/>
                <w:color w:val="000000"/>
                <w:kern w:val="0"/>
                <w:szCs w:val="21"/>
              </w:rPr>
            </w:pPr>
            <w:r>
              <w:rPr>
                <w:rFonts w:hint="eastAsia" w:ascii="宋体" w:hAnsi="宋体" w:cs="宋体"/>
                <w:color w:val="000000"/>
                <w:kern w:val="0"/>
                <w:szCs w:val="21"/>
              </w:rPr>
              <w:t>　</w:t>
            </w:r>
          </w:p>
        </w:tc>
      </w:tr>
      <w:tr w14:paraId="2215D704">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14:paraId="31A89435">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14:paraId="16252383">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9153922">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53807582">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35A0565A">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14:paraId="078CA996">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14:paraId="36D27341">
            <w:pPr>
              <w:widowControl/>
              <w:spacing w:line="560" w:lineRule="exact"/>
              <w:jc w:val="left"/>
              <w:rPr>
                <w:rFonts w:ascii="宋体" w:hAnsi="宋体" w:cs="宋体"/>
                <w:color w:val="000000"/>
                <w:kern w:val="0"/>
                <w:szCs w:val="21"/>
              </w:rPr>
            </w:pPr>
            <w:r>
              <w:rPr>
                <w:rFonts w:hint="eastAsia" w:ascii="宋体" w:hAnsi="宋体" w:cs="宋体"/>
                <w:color w:val="000000"/>
                <w:kern w:val="0"/>
                <w:szCs w:val="21"/>
              </w:rPr>
              <w:t>　</w:t>
            </w:r>
          </w:p>
        </w:tc>
      </w:tr>
      <w:tr w14:paraId="012C7C45">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14:paraId="2FD8C2B3">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14:paraId="30FD4EDE">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14:paraId="4D9A8A44">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59CEC579">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7240B3A1">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14:paraId="16F77B79">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6221022E">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26133ED">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14:paraId="1B5340E7">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55483306">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1209F78C">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99EB5ED">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3571C5D8">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41127947">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14:paraId="0687A892">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1C5D36AB">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251FE38F">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2B7636C">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370B2CE1">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1BD01CE">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14:paraId="0C7D1E41">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1548FB5C">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70C0962C">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67AC256">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4787E460">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16F22A7">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14:paraId="23880A8B">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14:paraId="538F7A9A">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14:paraId="23A313F4">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A369AB7">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79FC31BF">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14:paraId="6A62EA25">
            <w:pPr>
              <w:widowControl/>
              <w:spacing w:line="560" w:lineRule="exact"/>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14:paraId="361175A5">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14:paraId="3364DADD">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E54FDDC">
            <w:pPr>
              <w:widowControl/>
              <w:spacing w:line="560" w:lineRule="exact"/>
              <w:jc w:val="left"/>
              <w:rPr>
                <w:rFonts w:ascii="仿宋_GB2312" w:hAnsi="宋体" w:eastAsia="仿宋_GB2312" w:cs="宋体"/>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14:paraId="5490B0BD">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14:paraId="07807DAD">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67DAB91">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00CEE060">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nil"/>
              <w:bottom w:val="single" w:color="auto" w:sz="4" w:space="0"/>
              <w:right w:val="nil"/>
            </w:tcBorders>
            <w:vAlign w:val="center"/>
          </w:tcPr>
          <w:p w14:paraId="75F08A07">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14:paraId="66157686">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14:paraId="71C17082">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14:paraId="068C2158">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14:paraId="50611661">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14:paraId="15292B12">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14:paraId="65D822D6">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14:paraId="41E0EF4B">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14:paraId="19AA58F0">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14:paraId="3958A234">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033DE55">
            <w:pPr>
              <w:widowControl/>
              <w:spacing w:line="560" w:lineRule="exact"/>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0EBFD0EB">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70CE1AF">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14:paraId="5C5C0CA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4E198B3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843786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0A30FDF">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0743310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AB903EC">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7518FE6">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D99D1E5">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A8AADC">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72C13A6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2D50865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B8A92FA">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4783E24F">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623CC1F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EA690D1">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2059E10">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72A2319">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48D8D19">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14C8CE4A">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1BD8653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4CA0BD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043F8C73">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4AC58E2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EDA1127">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64E6B0D">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148A846">
            <w:pPr>
              <w:widowControl/>
              <w:spacing w:line="560" w:lineRule="exact"/>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1E16337">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14:paraId="797993E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7A3DAB8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4F281A6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51BC7BC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40AF42E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2A0953D">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E24A774">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8251E12">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67AB7F7">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5D6D45D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50F6939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06E7BA46">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5A33226C">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0397D15D">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380C116">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6A898DD">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22015F4">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907B6A8">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22555E1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432FCD83">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920DAA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66C57C4A">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762526E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0D48847">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C019851">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67D8B205">
            <w:pPr>
              <w:widowControl/>
              <w:spacing w:line="560" w:lineRule="exact"/>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F994801">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14:paraId="7D6133C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2C7F519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188D71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6B782CBC">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0342FF3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9B1B1D7">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BECE3E5">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47EC7D4">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FA33929">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51070D2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29A8808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445F02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69E4596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183973E3">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229074B">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D3E9420">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570B022">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23FC70">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222C51A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1393B80D">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0EEE14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3E6696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45DDEDF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533C7A9">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EE22C85">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E31E35D">
            <w:pPr>
              <w:widowControl/>
              <w:spacing w:line="560" w:lineRule="exact"/>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B192B4C">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14:paraId="24BDDB0B">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5433877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7652A14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65E185C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7AD2CD7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D93FC40">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4F78EE4">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7E45427">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D8FDBD5">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6B0DE68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6865C29A">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60F688A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418A1B1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324021B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41225CC">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F655BEA">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1E924B6">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230168F">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4B0DCE6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0F4389A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1FC5F7B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2648C3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34E60E6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8B59D1B">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E373B96">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AA156A5">
            <w:pPr>
              <w:widowControl/>
              <w:spacing w:line="560" w:lineRule="exact"/>
              <w:jc w:val="left"/>
              <w:rPr>
                <w:rFonts w:ascii="仿宋_GB2312" w:hAnsi="宋体"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noWrap/>
            <w:vAlign w:val="center"/>
          </w:tcPr>
          <w:p w14:paraId="58B82BA3">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701" w:type="dxa"/>
            <w:tcBorders>
              <w:top w:val="single" w:color="auto" w:sz="4" w:space="0"/>
              <w:left w:val="nil"/>
              <w:bottom w:val="single" w:color="auto" w:sz="4" w:space="0"/>
              <w:right w:val="single" w:color="auto" w:sz="4" w:space="0"/>
            </w:tcBorders>
            <w:noWrap/>
            <w:vAlign w:val="bottom"/>
          </w:tcPr>
          <w:p w14:paraId="7539A5E4">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50FF766D">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47FD206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ECE27CD">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5EEBAAA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F16BA31">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E7BB550">
            <w:pPr>
              <w:widowControl/>
              <w:spacing w:line="560" w:lineRule="exact"/>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3E6F408C">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3DABCAE">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  指标</w:t>
            </w:r>
          </w:p>
        </w:tc>
        <w:tc>
          <w:tcPr>
            <w:tcW w:w="1701" w:type="dxa"/>
            <w:tcBorders>
              <w:top w:val="single" w:color="auto" w:sz="4" w:space="0"/>
              <w:left w:val="nil"/>
              <w:bottom w:val="single" w:color="auto" w:sz="4" w:space="0"/>
              <w:right w:val="single" w:color="auto" w:sz="4" w:space="0"/>
            </w:tcBorders>
            <w:noWrap/>
            <w:vAlign w:val="bottom"/>
          </w:tcPr>
          <w:p w14:paraId="5424265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5DD082AA">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6A9510C">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40AF6F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28EB527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E299C70">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EB84D22">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612BF518">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A7ED954">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4306C0AB">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2411746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5118B9EF">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311C5A1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6EA866AA">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7CEAE5C">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C7EF991">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1A09AA30">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E0DD1F">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543F39E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340D7AB6">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517E825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04ADDEAF">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17F424B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1B2286D">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28E62B85">
            <w:pPr>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0C298F2E">
            <w:pPr>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4C96A35">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  指标</w:t>
            </w:r>
          </w:p>
        </w:tc>
        <w:tc>
          <w:tcPr>
            <w:tcW w:w="1701" w:type="dxa"/>
            <w:tcBorders>
              <w:top w:val="single" w:color="auto" w:sz="4" w:space="0"/>
              <w:left w:val="nil"/>
              <w:bottom w:val="single" w:color="auto" w:sz="4" w:space="0"/>
              <w:right w:val="single" w:color="auto" w:sz="4" w:space="0"/>
            </w:tcBorders>
            <w:noWrap/>
            <w:vAlign w:val="bottom"/>
          </w:tcPr>
          <w:p w14:paraId="7D20C8DB">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7E408CC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53AF005F">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EB2608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1F85610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137E90C">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93AC470">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4E34B8A6">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E2DE6D">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391FB9B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2619103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4470D3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3E585B5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1A37114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3ACEB81">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BD96C6A">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2A61732">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330E3F6">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29B9CB6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31DEB7B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4D7C103">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3BDDBA0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2A75127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6E34FAC">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C58D0BF">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721F609">
            <w:pPr>
              <w:widowControl/>
              <w:spacing w:line="560" w:lineRule="exact"/>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EC17C66">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14:paraId="572D706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455BE683">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BB2833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1553C5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3CC2BD22">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21BD6DD">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14B4355">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67A89BD2">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3E2FEA">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069E631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598AA1C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53C361D">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0EC8E68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33447EE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B884D89">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64254D6">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417DEFD">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0437E4">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14:paraId="2B8DFBAF">
            <w:pPr>
              <w:widowControl/>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center"/>
          </w:tcPr>
          <w:p w14:paraId="7CF46198">
            <w:pPr>
              <w:widowControl/>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14:paraId="74AD80B2">
            <w:pPr>
              <w:widowControl/>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14:paraId="2E68DACF">
            <w:pPr>
              <w:widowControl/>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center"/>
          </w:tcPr>
          <w:p w14:paraId="1B41C79A">
            <w:pPr>
              <w:widowControl/>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6FAB154">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8FE2723">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8ACE0DC">
            <w:pPr>
              <w:widowControl/>
              <w:spacing w:line="560" w:lineRule="exact"/>
              <w:jc w:val="left"/>
              <w:rPr>
                <w:rFonts w:ascii="仿宋_GB2312" w:hAnsi="宋体"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noWrap/>
            <w:vAlign w:val="center"/>
          </w:tcPr>
          <w:p w14:paraId="01F4F910">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701" w:type="dxa"/>
            <w:tcBorders>
              <w:top w:val="single" w:color="auto" w:sz="4" w:space="0"/>
              <w:left w:val="nil"/>
              <w:bottom w:val="single" w:color="auto" w:sz="4" w:space="0"/>
              <w:right w:val="single" w:color="auto" w:sz="4" w:space="0"/>
            </w:tcBorders>
            <w:noWrap/>
            <w:vAlign w:val="bottom"/>
          </w:tcPr>
          <w:p w14:paraId="081224B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473807C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6413DBFD">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7DF7F1E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25611B07">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E6DD6F5">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EDBDB0F">
            <w:pPr>
              <w:widowControl/>
              <w:spacing w:line="560" w:lineRule="exact"/>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112FF4F5">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9C2E8C0">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14:paraId="784E057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093F7FF8">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300A59BF">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361895D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360A341D">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4F0EAE8">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F5BF3F3">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49321D7F">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0E5491">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2B950EFC">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178CCC2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20B6C5F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7641004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42DAFD75">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E20C337">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B62E723">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6ADE24F">
            <w:pPr>
              <w:widowControl/>
              <w:spacing w:line="560" w:lineRule="exact"/>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64000E">
            <w:pPr>
              <w:widowControl/>
              <w:spacing w:line="560" w:lineRule="exact"/>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14:paraId="17F725F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69E974E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0207AF33">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168B5F11">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669C1A70">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C7B3F21">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4987A54">
            <w:pPr>
              <w:widowControl/>
              <w:spacing w:line="560" w:lineRule="exact"/>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D9D0C23">
            <w:pPr>
              <w:widowControl/>
              <w:spacing w:line="560" w:lineRule="exact"/>
              <w:jc w:val="left"/>
              <w:rPr>
                <w:rFonts w:ascii="仿宋_GB2312" w:hAnsi="宋体"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noWrap/>
            <w:vAlign w:val="center"/>
          </w:tcPr>
          <w:p w14:paraId="62C469DC">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701" w:type="dxa"/>
            <w:tcBorders>
              <w:top w:val="single" w:color="auto" w:sz="4" w:space="0"/>
              <w:left w:val="nil"/>
              <w:bottom w:val="single" w:color="auto" w:sz="4" w:space="0"/>
              <w:right w:val="single" w:color="auto" w:sz="4" w:space="0"/>
            </w:tcBorders>
            <w:noWrap/>
            <w:vAlign w:val="bottom"/>
          </w:tcPr>
          <w:p w14:paraId="64241BB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14:paraId="39004B0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14:paraId="0AC8F0BE">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14:paraId="39B80969">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14:paraId="62534F4B">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2C1B1D0">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14:paraId="3CEF4583">
            <w:pPr>
              <w:widowControl/>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14:paraId="4C556BDE">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请在此处简要说明各级监督检查中发现的问题及其所涉及的金额，如没有请填无</w:t>
            </w:r>
          </w:p>
        </w:tc>
      </w:tr>
      <w:tr w14:paraId="07597582">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14:paraId="5CCB36ED">
            <w:pPr>
              <w:widowControl/>
              <w:spacing w:line="560" w:lineRule="exact"/>
              <w:ind w:firstLine="420" w:firstLineChars="200"/>
              <w:jc w:val="left"/>
              <w:rPr>
                <w:rFonts w:ascii="仿宋_GB2312" w:hAnsi="宋体" w:eastAsia="仿宋_GB2312" w:cs="宋体"/>
                <w:color w:val="000000"/>
                <w:kern w:val="0"/>
                <w:szCs w:val="21"/>
              </w:rPr>
            </w:pPr>
          </w:p>
          <w:p w14:paraId="72AA924B">
            <w:pPr>
              <w:widowControl/>
              <w:spacing w:line="5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注：1、其他资金包括和中央、省补助、地方财政资金共同投入到同一项目的自有资金、社会资金，以及以前年度的结转结余资金等。 </w:t>
            </w:r>
          </w:p>
          <w:p w14:paraId="476E50E4">
            <w:pPr>
              <w:widowControl/>
              <w:spacing w:line="5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2、定量指标，资金使用单位填写本地区实际完成数。市直各部门汇总时，对绝对值直接累加计算，相对值按照资金额度加权平均计算。</w:t>
            </w:r>
          </w:p>
          <w:p w14:paraId="3CB5AF2A">
            <w:pPr>
              <w:widowControl/>
              <w:spacing w:line="5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14:paraId="046E6D07">
            <w:pPr>
              <w:widowControl/>
              <w:spacing w:line="5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14:paraId="62FD3661">
      <w:pPr>
        <w:spacing w:line="560" w:lineRule="exact"/>
      </w:pPr>
    </w:p>
    <w:p w14:paraId="7E40E36A">
      <w:pPr>
        <w:spacing w:line="56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82A"/>
    <w:rsid w:val="000F2ABB"/>
    <w:rsid w:val="00132E6D"/>
    <w:rsid w:val="00525D39"/>
    <w:rsid w:val="00644B8B"/>
    <w:rsid w:val="00745D26"/>
    <w:rsid w:val="0089042C"/>
    <w:rsid w:val="009019E1"/>
    <w:rsid w:val="00AD382A"/>
    <w:rsid w:val="00C3134A"/>
    <w:rsid w:val="00CE4D16"/>
    <w:rsid w:val="00D7581D"/>
    <w:rsid w:val="00DE2CE4"/>
    <w:rsid w:val="00F242C8"/>
    <w:rsid w:val="4E357A8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sdException w:qFormat="1"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unhideWhenUsed/>
    <w:qFormat/>
    <w:uiPriority w:val="0"/>
    <w:pPr>
      <w:widowControl/>
      <w:adjustRightInd w:val="0"/>
      <w:snapToGrid w:val="0"/>
      <w:spacing w:beforeAutospacing="1" w:afterAutospacing="1"/>
      <w:jc w:val="left"/>
      <w:outlineLvl w:val="2"/>
    </w:pPr>
    <w:rPr>
      <w:rFonts w:hint="eastAsia" w:ascii="宋体" w:hAnsi="宋体"/>
      <w:b/>
      <w:kern w:val="0"/>
      <w:sz w:val="27"/>
      <w:szCs w:val="27"/>
    </w:rPr>
  </w:style>
  <w:style w:type="paragraph" w:styleId="3">
    <w:name w:val="heading 4"/>
    <w:basedOn w:val="1"/>
    <w:next w:val="1"/>
    <w:link w:val="14"/>
    <w:unhideWhenUsed/>
    <w:qFormat/>
    <w:uiPriority w:val="0"/>
    <w:pPr>
      <w:widowControl/>
      <w:adjustRightInd w:val="0"/>
      <w:snapToGrid w:val="0"/>
      <w:spacing w:beforeAutospacing="1" w:afterAutospacing="1"/>
      <w:jc w:val="left"/>
      <w:outlineLvl w:val="3"/>
    </w:pPr>
    <w:rPr>
      <w:rFonts w:hint="eastAsia" w:ascii="宋体" w:hAnsi="宋体"/>
      <w:b/>
      <w:kern w:val="0"/>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Plain Text"/>
    <w:basedOn w:val="1"/>
    <w:link w:val="16"/>
    <w:qFormat/>
    <w:uiPriority w:val="99"/>
    <w:rPr>
      <w:rFonts w:ascii="宋体" w:hAnsi="Courier New" w:cs="Courier New"/>
      <w:kern w:val="0"/>
      <w:sz w:val="20"/>
      <w:szCs w:val="21"/>
    </w:rPr>
  </w:style>
  <w:style w:type="paragraph" w:styleId="6">
    <w:name w:val="Balloon Text"/>
    <w:basedOn w:val="1"/>
    <w:link w:val="19"/>
    <w:semiHidden/>
    <w:unhideWhenUsed/>
    <w:uiPriority w:val="99"/>
    <w:rPr>
      <w:sz w:val="18"/>
      <w:szCs w:val="18"/>
    </w:rPr>
  </w:style>
  <w:style w:type="paragraph" w:styleId="7">
    <w:name w:val="Normal (Web)"/>
    <w:basedOn w:val="1"/>
    <w:unhideWhenUsed/>
    <w:qFormat/>
    <w:uiPriority w:val="0"/>
    <w:pPr>
      <w:widowControl/>
      <w:adjustRightInd w:val="0"/>
      <w:snapToGrid w:val="0"/>
      <w:spacing w:beforeAutospacing="1" w:afterAutospacing="1"/>
      <w:jc w:val="left"/>
    </w:pPr>
    <w:rPr>
      <w:rFonts w:ascii="Tahoma" w:hAnsi="Tahoma" w:eastAsia="微软雅黑"/>
      <w:kern w:val="0"/>
      <w:sz w:val="24"/>
      <w:szCs w:val="22"/>
    </w:rPr>
  </w:style>
  <w:style w:type="paragraph" w:styleId="8">
    <w:name w:val="Title"/>
    <w:basedOn w:val="1"/>
    <w:next w:val="1"/>
    <w:link w:val="15"/>
    <w:qFormat/>
    <w:uiPriority w:val="0"/>
    <w:pPr>
      <w:widowControl/>
      <w:adjustRightInd w:val="0"/>
      <w:snapToGrid w:val="0"/>
      <w:spacing w:before="240" w:after="60"/>
      <w:jc w:val="center"/>
      <w:outlineLvl w:val="0"/>
    </w:pPr>
    <w:rPr>
      <w:rFonts w:asciiTheme="majorHAnsi" w:hAnsiTheme="majorHAnsi" w:cstheme="majorBidi"/>
      <w:b/>
      <w:bCs/>
      <w:kern w:val="0"/>
      <w:sz w:val="32"/>
      <w:szCs w:val="32"/>
    </w:rPr>
  </w:style>
  <w:style w:type="character" w:styleId="11">
    <w:name w:val="Hyperlink"/>
    <w:basedOn w:val="10"/>
    <w:unhideWhenUsed/>
    <w:qFormat/>
    <w:uiPriority w:val="99"/>
    <w:rPr>
      <w:color w:val="0000FF"/>
      <w:u w:val="single"/>
    </w:rPr>
  </w:style>
  <w:style w:type="character" w:styleId="12">
    <w:name w:val="annotation reference"/>
    <w:basedOn w:val="10"/>
    <w:qFormat/>
    <w:uiPriority w:val="0"/>
    <w:rPr>
      <w:sz w:val="21"/>
      <w:szCs w:val="21"/>
    </w:rPr>
  </w:style>
  <w:style w:type="character" w:customStyle="1" w:styleId="13">
    <w:name w:val="标题 3 Char"/>
    <w:basedOn w:val="10"/>
    <w:link w:val="2"/>
    <w:uiPriority w:val="0"/>
    <w:rPr>
      <w:rFonts w:ascii="宋体" w:hAnsi="宋体"/>
      <w:b/>
      <w:sz w:val="27"/>
      <w:szCs w:val="27"/>
    </w:rPr>
  </w:style>
  <w:style w:type="character" w:customStyle="1" w:styleId="14">
    <w:name w:val="标题 4 Char"/>
    <w:basedOn w:val="10"/>
    <w:link w:val="3"/>
    <w:uiPriority w:val="0"/>
    <w:rPr>
      <w:rFonts w:ascii="宋体" w:hAnsi="宋体"/>
      <w:b/>
      <w:sz w:val="24"/>
      <w:szCs w:val="24"/>
    </w:rPr>
  </w:style>
  <w:style w:type="character" w:customStyle="1" w:styleId="15">
    <w:name w:val="标题 Char"/>
    <w:basedOn w:val="10"/>
    <w:link w:val="8"/>
    <w:uiPriority w:val="0"/>
    <w:rPr>
      <w:rFonts w:asciiTheme="majorHAnsi" w:hAnsiTheme="majorHAnsi" w:cstheme="majorBidi"/>
      <w:b/>
      <w:bCs/>
      <w:sz w:val="32"/>
      <w:szCs w:val="32"/>
    </w:rPr>
  </w:style>
  <w:style w:type="character" w:customStyle="1" w:styleId="16">
    <w:name w:val="纯文本 Char"/>
    <w:basedOn w:val="10"/>
    <w:link w:val="5"/>
    <w:qFormat/>
    <w:uiPriority w:val="99"/>
    <w:rPr>
      <w:rFonts w:ascii="宋体" w:hAnsi="Courier New" w:cs="Courier New"/>
      <w:kern w:val="0"/>
      <w:szCs w:val="21"/>
    </w:rPr>
  </w:style>
  <w:style w:type="character" w:customStyle="1" w:styleId="17">
    <w:name w:val="批注文字 Char"/>
    <w:basedOn w:val="10"/>
    <w:link w:val="4"/>
    <w:uiPriority w:val="0"/>
    <w:rPr>
      <w:kern w:val="2"/>
      <w:sz w:val="21"/>
      <w:szCs w:val="24"/>
    </w:rPr>
  </w:style>
  <w:style w:type="paragraph" w:styleId="18">
    <w:name w:val="List Paragraph"/>
    <w:basedOn w:val="1"/>
    <w:qFormat/>
    <w:uiPriority w:val="34"/>
    <w:pPr>
      <w:ind w:firstLine="420" w:firstLineChars="200"/>
    </w:pPr>
  </w:style>
  <w:style w:type="character" w:customStyle="1" w:styleId="19">
    <w:name w:val="批注框文本 Char"/>
    <w:basedOn w:val="10"/>
    <w:link w:val="6"/>
    <w:semiHidden/>
    <w:uiPriority w:val="99"/>
    <w:rPr>
      <w:kern w:val="2"/>
      <w:sz w:val="18"/>
      <w:szCs w:val="18"/>
    </w:r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6521</Words>
  <Characters>6966</Characters>
  <Lines>62</Lines>
  <Paragraphs>17</Paragraphs>
  <TotalTime>132</TotalTime>
  <ScaleCrop>false</ScaleCrop>
  <LinksUpToDate>false</LinksUpToDate>
  <CharactersWithSpaces>8090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2019-05-28T07:11:00Z</dcterms:created>
  <dc:creator>Microsoft</dc:creator>
  <cp:lastModifiedBy>邓婷</cp:lastModifiedBy>
  <cp:lastPrinted>2019-05-28T09:26:00Z</cp:lastPrinted>
  <dcterms:modified xsi:type="dcterms:W3CDTF">2025-01-17T07:35:02Z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eyJoZGlkIjoiNWMyNjllMmU0YTcwZjNhMTY0NmE1Zjk3MGY5NmI4MWYiLCJ1c2VySWQiOiIxMDY5MjgzMDcxIn0=</vt:lpwstr>
  </property>
  <property fmtid="{D5CDD505-2E9C-101B-9397-08002B2CF9AE}" pid="3" name="KSOProductBuildVer">
    <vt:lpwstr>2052-12.1.0.19770</vt:lpwstr>
  </property>
  <property fmtid="{D5CDD505-2E9C-101B-9397-08002B2CF9AE}" pid="4" name="ICV">
    <vt:lpwstr>EE414E637F554CD9ADD2A1B4E5DF4CE0_12</vt:lpwstr>
  </property>
</Properties>
</file>