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2018年县市区电子政务外网及政务云应用绩效评估指标体系</w:t>
      </w:r>
    </w:p>
    <w:tbl>
      <w:tblPr>
        <w:tblStyle w:val="6"/>
        <w:tblW w:w="141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110"/>
        <w:gridCol w:w="1134"/>
        <w:gridCol w:w="5529"/>
        <w:gridCol w:w="173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考核内容</w:t>
            </w:r>
          </w:p>
        </w:tc>
        <w:tc>
          <w:tcPr>
            <w:tcW w:w="4110" w:type="dxa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考核指标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分值(%)</w:t>
            </w:r>
          </w:p>
        </w:tc>
        <w:tc>
          <w:tcPr>
            <w:tcW w:w="552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计分标准</w:t>
            </w:r>
          </w:p>
        </w:tc>
        <w:tc>
          <w:tcPr>
            <w:tcW w:w="173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方正小标宋简体" w:hAnsi="仿宋" w:eastAsia="方正小标宋简体"/>
                <w:sz w:val="24"/>
                <w:szCs w:val="24"/>
              </w:rPr>
            </w:pPr>
            <w:r>
              <w:rPr>
                <w:rFonts w:hint="eastAsia" w:ascii="方正小标宋简体" w:hAnsi="仿宋" w:eastAsia="方正小标宋简体"/>
                <w:sz w:val="24"/>
                <w:szCs w:val="24"/>
              </w:rPr>
              <w:t>备注说明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电子政务外网建设管理</w:t>
            </w: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按照省市最新要求及标准联通市电子政务外网平台，配合省、市完成电子政务外网主干网建设，未经批准不单独建设专网。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按照电子政务外网建设相关时间节点要求完成电子政务外网建设，未按时间节点要求完成酌情扣分。</w:t>
            </w:r>
          </w:p>
        </w:tc>
        <w:tc>
          <w:tcPr>
            <w:tcW w:w="1733" w:type="dxa"/>
            <w:tcBorders>
              <w:left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电子政务外网向所属二级部门及下属部门延伸，带宽不少于50M。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未完成纵、横向线路覆盖按照未完成量比例扣分，带宽低于要求酌情扣分。</w:t>
            </w:r>
          </w:p>
        </w:tc>
        <w:tc>
          <w:tcPr>
            <w:tcW w:w="173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检查台账及相关线路合同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配合国、省、市要求做好纵向互联和应用部署；整合本级资源及应用；配合做好横向互联及应用。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未按照国省市相关要求完成纵向互联应用部署，每次扣2-5分。</w:t>
            </w:r>
          </w:p>
        </w:tc>
        <w:tc>
          <w:tcPr>
            <w:tcW w:w="173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检查台账及相关线路合同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本级电子政务外网管理、运维、应急、安全保障制度完善，日常运维、监管到位。本级电子政务外网安全达到等级标准。不发生网络安全事故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制度不完善扣1-5分，发生重大网络安全责任事故，每次扣5-10分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73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检查相关台帐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按省、市要求统筹政务云建设与应用，部门不新建政务云，未经审核不再单独新建机房。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出现一次违规，扣2-5分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1668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加强网络、政务云等基础设施整合共享，逐步推进基础数据库、政务信息库整合共享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未推进，酌情扣分。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仿宋" w:hAnsi="仿宋" w:eastAsia="仿宋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4F"/>
    <w:rsid w:val="00011140"/>
    <w:rsid w:val="00034419"/>
    <w:rsid w:val="0008728B"/>
    <w:rsid w:val="00087ECF"/>
    <w:rsid w:val="0009386F"/>
    <w:rsid w:val="000E0AA2"/>
    <w:rsid w:val="000E5746"/>
    <w:rsid w:val="000E7AD6"/>
    <w:rsid w:val="000F5F42"/>
    <w:rsid w:val="001A135D"/>
    <w:rsid w:val="002002BC"/>
    <w:rsid w:val="00266CAC"/>
    <w:rsid w:val="00267D95"/>
    <w:rsid w:val="002734D2"/>
    <w:rsid w:val="00284288"/>
    <w:rsid w:val="0028742A"/>
    <w:rsid w:val="002D2CC7"/>
    <w:rsid w:val="00324264"/>
    <w:rsid w:val="00342399"/>
    <w:rsid w:val="00344772"/>
    <w:rsid w:val="00352B5F"/>
    <w:rsid w:val="00397FB5"/>
    <w:rsid w:val="003C48CC"/>
    <w:rsid w:val="003F4A5A"/>
    <w:rsid w:val="00410FCB"/>
    <w:rsid w:val="00467745"/>
    <w:rsid w:val="0047576E"/>
    <w:rsid w:val="00495BBB"/>
    <w:rsid w:val="0049609D"/>
    <w:rsid w:val="0049783B"/>
    <w:rsid w:val="004C2C4C"/>
    <w:rsid w:val="004E0834"/>
    <w:rsid w:val="004E427C"/>
    <w:rsid w:val="00561B4F"/>
    <w:rsid w:val="00571B45"/>
    <w:rsid w:val="005D3B13"/>
    <w:rsid w:val="005E76E4"/>
    <w:rsid w:val="005F3706"/>
    <w:rsid w:val="00646BED"/>
    <w:rsid w:val="006474F4"/>
    <w:rsid w:val="00663975"/>
    <w:rsid w:val="006A04B6"/>
    <w:rsid w:val="006C2686"/>
    <w:rsid w:val="006C6EA7"/>
    <w:rsid w:val="007054B1"/>
    <w:rsid w:val="007145E3"/>
    <w:rsid w:val="00716610"/>
    <w:rsid w:val="00735E3B"/>
    <w:rsid w:val="007816A9"/>
    <w:rsid w:val="007E622B"/>
    <w:rsid w:val="00807BC0"/>
    <w:rsid w:val="00810466"/>
    <w:rsid w:val="00871776"/>
    <w:rsid w:val="0088165D"/>
    <w:rsid w:val="008859AB"/>
    <w:rsid w:val="0089331A"/>
    <w:rsid w:val="008A1C93"/>
    <w:rsid w:val="008B13CD"/>
    <w:rsid w:val="008C6982"/>
    <w:rsid w:val="008E2C85"/>
    <w:rsid w:val="008E3E27"/>
    <w:rsid w:val="00901BC8"/>
    <w:rsid w:val="00917912"/>
    <w:rsid w:val="00926966"/>
    <w:rsid w:val="0093122A"/>
    <w:rsid w:val="009409DA"/>
    <w:rsid w:val="00952160"/>
    <w:rsid w:val="00961A6A"/>
    <w:rsid w:val="0098673B"/>
    <w:rsid w:val="00996B01"/>
    <w:rsid w:val="009B2877"/>
    <w:rsid w:val="009B2B39"/>
    <w:rsid w:val="009E50EF"/>
    <w:rsid w:val="00A621AB"/>
    <w:rsid w:val="00A70452"/>
    <w:rsid w:val="00A876A1"/>
    <w:rsid w:val="00AC6BEA"/>
    <w:rsid w:val="00AE7791"/>
    <w:rsid w:val="00AF024D"/>
    <w:rsid w:val="00B21F35"/>
    <w:rsid w:val="00B919BA"/>
    <w:rsid w:val="00BA7126"/>
    <w:rsid w:val="00BB229B"/>
    <w:rsid w:val="00BB404D"/>
    <w:rsid w:val="00C65CD4"/>
    <w:rsid w:val="00C801EF"/>
    <w:rsid w:val="00C95F33"/>
    <w:rsid w:val="00D451C3"/>
    <w:rsid w:val="00D65B9C"/>
    <w:rsid w:val="00D97352"/>
    <w:rsid w:val="00DB65CE"/>
    <w:rsid w:val="00DC2E1A"/>
    <w:rsid w:val="00DC54DB"/>
    <w:rsid w:val="00DE1863"/>
    <w:rsid w:val="00E31153"/>
    <w:rsid w:val="00E4734F"/>
    <w:rsid w:val="00EC5D14"/>
    <w:rsid w:val="00ED1208"/>
    <w:rsid w:val="00ED7276"/>
    <w:rsid w:val="00ED73C2"/>
    <w:rsid w:val="00F143E3"/>
    <w:rsid w:val="00F55B8D"/>
    <w:rsid w:val="00F7275D"/>
    <w:rsid w:val="00F87FC6"/>
    <w:rsid w:val="00FF3D56"/>
    <w:rsid w:val="110919CF"/>
    <w:rsid w:val="163179F7"/>
    <w:rsid w:val="1CEB0521"/>
    <w:rsid w:val="28523C27"/>
    <w:rsid w:val="2E85068C"/>
    <w:rsid w:val="4B9674D7"/>
    <w:rsid w:val="532C4989"/>
    <w:rsid w:val="53F755C6"/>
    <w:rsid w:val="66DC6A9F"/>
    <w:rsid w:val="7342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</Words>
  <Characters>488</Characters>
  <Lines>4</Lines>
  <Paragraphs>1</Paragraphs>
  <ScaleCrop>false</ScaleCrop>
  <LinksUpToDate>false</LinksUpToDate>
  <CharactersWithSpaces>572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2018-04-11T02:23:00Z</dcterms:created>
  <dc:creator>Microsoft</dc:creator>
  <cp:lastModifiedBy>肖胜华</cp:lastModifiedBy>
  <cp:lastPrinted>2018-04-11T02:44:00Z</cp:lastPrinted>
  <dcterms:modified xsi:type="dcterms:W3CDTF">2018-04-19T02:12:21Z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