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08C" w:rsidRPr="00944F7E" w:rsidRDefault="006C008C" w:rsidP="006C008C">
      <w:pPr>
        <w:spacing w:line="560" w:lineRule="exact"/>
        <w:rPr>
          <w:rFonts w:ascii="仿宋" w:eastAsia="仿宋" w:hAnsi="仿宋" w:hint="eastAsia"/>
          <w:sz w:val="32"/>
          <w:szCs w:val="32"/>
        </w:rPr>
      </w:pPr>
      <w:r w:rsidRPr="00944F7E">
        <w:rPr>
          <w:rFonts w:ascii="仿宋" w:eastAsia="仿宋" w:hAnsi="仿宋" w:hint="eastAsia"/>
          <w:sz w:val="32"/>
          <w:szCs w:val="32"/>
        </w:rPr>
        <w:t>附件</w:t>
      </w:r>
      <w:r>
        <w:rPr>
          <w:rFonts w:ascii="仿宋" w:eastAsia="仿宋" w:hAnsi="仿宋" w:hint="eastAsia"/>
          <w:sz w:val="32"/>
          <w:szCs w:val="32"/>
        </w:rPr>
        <w:t>1</w:t>
      </w:r>
      <w:r w:rsidRPr="00944F7E">
        <w:rPr>
          <w:rFonts w:ascii="仿宋" w:eastAsia="仿宋" w:hAnsi="仿宋" w:hint="eastAsia"/>
          <w:sz w:val="32"/>
          <w:szCs w:val="32"/>
        </w:rPr>
        <w:t>：</w:t>
      </w:r>
    </w:p>
    <w:p w:rsidR="006C008C" w:rsidRPr="00AB3E87" w:rsidRDefault="006C008C" w:rsidP="006C008C">
      <w:pPr>
        <w:spacing w:line="560" w:lineRule="exact"/>
        <w:jc w:val="center"/>
        <w:rPr>
          <w:rFonts w:ascii="宋体" w:hAnsi="宋体"/>
          <w:bCs/>
          <w:sz w:val="44"/>
          <w:szCs w:val="44"/>
        </w:rPr>
      </w:pPr>
      <w:r w:rsidRPr="00AB3E87">
        <w:rPr>
          <w:rFonts w:ascii="宋体" w:hAnsi="宋体"/>
          <w:bCs/>
          <w:sz w:val="44"/>
          <w:szCs w:val="44"/>
        </w:rPr>
        <w:t>衡阳市重点企业纳税考核奖励实施办法</w:t>
      </w:r>
    </w:p>
    <w:p w:rsidR="006C008C" w:rsidRPr="00AB3E87" w:rsidRDefault="006C008C" w:rsidP="006C008C">
      <w:pPr>
        <w:spacing w:line="560" w:lineRule="exact"/>
        <w:jc w:val="center"/>
        <w:rPr>
          <w:rFonts w:ascii="宋体" w:hAnsi="宋体" w:hint="eastAsia"/>
          <w:sz w:val="44"/>
          <w:szCs w:val="44"/>
        </w:rPr>
      </w:pP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为优化纳税环境，鼓励企业做大做强，增加财政收入，促进地方经济快速发展，特制定本办法。</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一、考核范围</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坐落在衡阳市范围内，</w:t>
      </w:r>
      <w:proofErr w:type="gramStart"/>
      <w:r w:rsidRPr="00AB3E87">
        <w:rPr>
          <w:rFonts w:ascii="仿宋" w:eastAsia="仿宋" w:hAnsi="仿宋"/>
          <w:sz w:val="32"/>
          <w:szCs w:val="32"/>
        </w:rPr>
        <w:t>且上年</w:t>
      </w:r>
      <w:proofErr w:type="gramEnd"/>
      <w:r w:rsidRPr="00AB3E87">
        <w:rPr>
          <w:rFonts w:ascii="仿宋" w:eastAsia="仿宋" w:hAnsi="仿宋"/>
          <w:sz w:val="32"/>
          <w:szCs w:val="32"/>
        </w:rPr>
        <w:t>上缴市本级地方税收在200万元以上的工业企业和中央、省属国有控股企业。</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二、考核指标</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（一）税收指标</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全年上交衡阳市地方财政收入的各项税收总额</w:t>
      </w:r>
      <w:r w:rsidRPr="00AB3E87">
        <w:rPr>
          <w:rFonts w:ascii="仿宋" w:eastAsia="仿宋" w:hAnsi="仿宋" w:hint="eastAsia"/>
          <w:sz w:val="32"/>
          <w:szCs w:val="32"/>
        </w:rPr>
        <w:t>（</w:t>
      </w:r>
      <w:r w:rsidRPr="00AB3E87">
        <w:rPr>
          <w:rFonts w:ascii="仿宋" w:eastAsia="仿宋" w:hAnsi="仿宋"/>
          <w:sz w:val="32"/>
          <w:szCs w:val="32"/>
        </w:rPr>
        <w:t>含增值税</w:t>
      </w:r>
      <w:r w:rsidRPr="00AB3E87">
        <w:rPr>
          <w:rFonts w:ascii="仿宋" w:eastAsia="仿宋" w:hAnsi="仿宋" w:hint="eastAsia"/>
          <w:sz w:val="32"/>
          <w:szCs w:val="32"/>
        </w:rPr>
        <w:t>18.75</w:t>
      </w:r>
      <w:r w:rsidRPr="00AB3E87">
        <w:rPr>
          <w:rFonts w:ascii="仿宋" w:eastAsia="仿宋" w:hAnsi="仿宋"/>
          <w:sz w:val="32"/>
          <w:szCs w:val="32"/>
        </w:rPr>
        <w:t>%部分、企业所得税28%部分、</w:t>
      </w:r>
      <w:r w:rsidRPr="00AB3E87">
        <w:rPr>
          <w:rFonts w:ascii="仿宋" w:eastAsia="仿宋" w:hAnsi="仿宋" w:hint="eastAsia"/>
          <w:sz w:val="32"/>
          <w:szCs w:val="32"/>
        </w:rPr>
        <w:t>个人</w:t>
      </w:r>
      <w:r w:rsidRPr="00AB3E87">
        <w:rPr>
          <w:rFonts w:ascii="仿宋" w:eastAsia="仿宋" w:hAnsi="仿宋"/>
          <w:sz w:val="32"/>
          <w:szCs w:val="32"/>
        </w:rPr>
        <w:t>所得税28%部分、营业税</w:t>
      </w:r>
      <w:r w:rsidRPr="00AB3E87">
        <w:rPr>
          <w:rFonts w:ascii="仿宋" w:eastAsia="仿宋" w:hAnsi="仿宋" w:hint="eastAsia"/>
          <w:sz w:val="32"/>
          <w:szCs w:val="32"/>
        </w:rPr>
        <w:t>75%部分</w:t>
      </w:r>
      <w:r w:rsidRPr="00AB3E87">
        <w:rPr>
          <w:rFonts w:ascii="仿宋" w:eastAsia="仿宋" w:hAnsi="仿宋"/>
          <w:sz w:val="32"/>
          <w:szCs w:val="32"/>
        </w:rPr>
        <w:t>、资源税、城建税、教育</w:t>
      </w:r>
      <w:r w:rsidRPr="00AB3E87">
        <w:rPr>
          <w:rFonts w:ascii="仿宋" w:eastAsia="仿宋" w:hAnsi="仿宋" w:hint="eastAsia"/>
          <w:sz w:val="32"/>
          <w:szCs w:val="32"/>
        </w:rPr>
        <w:t>费</w:t>
      </w:r>
      <w:r w:rsidRPr="00AB3E87">
        <w:rPr>
          <w:rFonts w:ascii="仿宋" w:eastAsia="仿宋" w:hAnsi="仿宋"/>
          <w:sz w:val="32"/>
          <w:szCs w:val="32"/>
        </w:rPr>
        <w:t>附加、车船使用税、土地使用税、土地增值税、房产税以及印花税等各项税收总和</w:t>
      </w:r>
      <w:r w:rsidRPr="00AB3E87">
        <w:rPr>
          <w:rFonts w:ascii="仿宋" w:eastAsia="仿宋" w:hAnsi="仿宋" w:hint="eastAsia"/>
          <w:sz w:val="32"/>
          <w:szCs w:val="32"/>
        </w:rPr>
        <w:t>）</w:t>
      </w:r>
      <w:r w:rsidRPr="00AB3E87">
        <w:rPr>
          <w:rFonts w:ascii="仿宋" w:eastAsia="仿宋" w:hAnsi="仿宋"/>
          <w:sz w:val="32"/>
          <w:szCs w:val="32"/>
        </w:rPr>
        <w:t>扣除税收优惠政策减免后的净额。</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（二）附加指标</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1、全年无偷、逃、抗税行为。</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2、当年无欠税，有老欠税款的应确保当年无新欠且老欠消化10%以上。</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三、考核办法</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（一）基数确定</w:t>
      </w:r>
    </w:p>
    <w:p w:rsidR="006C008C" w:rsidRPr="00AB3E87" w:rsidRDefault="006C008C" w:rsidP="006C008C">
      <w:pPr>
        <w:spacing w:line="560" w:lineRule="exact"/>
        <w:ind w:firstLineChars="200" w:firstLine="640"/>
        <w:rPr>
          <w:rFonts w:ascii="仿宋" w:eastAsia="仿宋" w:hAnsi="仿宋" w:hint="eastAsia"/>
          <w:sz w:val="32"/>
          <w:szCs w:val="32"/>
        </w:rPr>
      </w:pPr>
      <w:r w:rsidRPr="00AB3E87">
        <w:rPr>
          <w:rFonts w:ascii="仿宋" w:eastAsia="仿宋" w:hAnsi="仿宋"/>
          <w:sz w:val="32"/>
          <w:szCs w:val="32"/>
        </w:rPr>
        <w:t>按上年入库税收增长20%</w:t>
      </w:r>
      <w:r w:rsidRPr="00AB3E87">
        <w:rPr>
          <w:rFonts w:ascii="仿宋" w:eastAsia="仿宋" w:hAnsi="仿宋" w:hint="eastAsia"/>
          <w:sz w:val="32"/>
          <w:szCs w:val="32"/>
        </w:rPr>
        <w:t>作</w:t>
      </w:r>
      <w:r w:rsidRPr="00AB3E87">
        <w:rPr>
          <w:rFonts w:ascii="仿宋" w:eastAsia="仿宋" w:hAnsi="仿宋"/>
          <w:sz w:val="32"/>
          <w:szCs w:val="32"/>
        </w:rPr>
        <w:t>为当年的考核基数</w:t>
      </w:r>
      <w:r w:rsidRPr="00AB3E87">
        <w:rPr>
          <w:rFonts w:ascii="仿宋" w:eastAsia="仿宋" w:hAnsi="仿宋" w:hint="eastAsia"/>
          <w:sz w:val="32"/>
          <w:szCs w:val="32"/>
        </w:rPr>
        <w:t>。</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（二）奖励标准</w:t>
      </w:r>
    </w:p>
    <w:p w:rsidR="006C008C" w:rsidRPr="00AB3E87" w:rsidRDefault="006C008C" w:rsidP="006C008C">
      <w:pPr>
        <w:spacing w:line="560" w:lineRule="exact"/>
        <w:ind w:firstLineChars="200" w:firstLine="640"/>
        <w:rPr>
          <w:rFonts w:ascii="仿宋" w:eastAsia="仿宋" w:hAnsi="仿宋" w:hint="eastAsia"/>
          <w:sz w:val="32"/>
          <w:szCs w:val="32"/>
        </w:rPr>
      </w:pPr>
      <w:r w:rsidRPr="00AB3E87">
        <w:rPr>
          <w:rFonts w:ascii="仿宋" w:eastAsia="仿宋" w:hAnsi="仿宋"/>
          <w:sz w:val="32"/>
          <w:szCs w:val="32"/>
        </w:rPr>
        <w:t>1、完成基数任务的设保底奖</w:t>
      </w:r>
      <w:r w:rsidRPr="00AB3E87">
        <w:rPr>
          <w:rFonts w:ascii="仿宋" w:eastAsia="仿宋" w:hAnsi="仿宋" w:hint="eastAsia"/>
          <w:sz w:val="32"/>
          <w:szCs w:val="32"/>
        </w:rPr>
        <w:t>。</w:t>
      </w:r>
      <w:r w:rsidRPr="00AB3E87">
        <w:rPr>
          <w:rFonts w:ascii="仿宋" w:eastAsia="仿宋" w:hAnsi="仿宋"/>
          <w:sz w:val="32"/>
          <w:szCs w:val="32"/>
        </w:rPr>
        <w:t>入库地方税收在200-500万元的设保底奖5万元，入库地方税收在500万元以上的</w:t>
      </w:r>
      <w:r w:rsidRPr="00AB3E87">
        <w:rPr>
          <w:rFonts w:ascii="仿宋" w:eastAsia="仿宋" w:hAnsi="仿宋" w:hint="eastAsia"/>
          <w:sz w:val="32"/>
          <w:szCs w:val="32"/>
        </w:rPr>
        <w:t>，</w:t>
      </w:r>
      <w:r w:rsidRPr="00AB3E87">
        <w:rPr>
          <w:rFonts w:ascii="仿宋" w:eastAsia="仿宋" w:hAnsi="仿宋"/>
          <w:sz w:val="32"/>
          <w:szCs w:val="32"/>
        </w:rPr>
        <w:lastRenderedPageBreak/>
        <w:t>设保底奖10万元，</w:t>
      </w:r>
      <w:proofErr w:type="gramStart"/>
      <w:r w:rsidRPr="00AB3E87">
        <w:rPr>
          <w:rFonts w:ascii="仿宋" w:eastAsia="仿宋" w:hAnsi="仿宋"/>
          <w:sz w:val="32"/>
          <w:szCs w:val="32"/>
        </w:rPr>
        <w:t>超考核</w:t>
      </w:r>
      <w:proofErr w:type="gramEnd"/>
      <w:r w:rsidRPr="00AB3E87">
        <w:rPr>
          <w:rFonts w:ascii="仿宋" w:eastAsia="仿宋" w:hAnsi="仿宋"/>
          <w:sz w:val="32"/>
          <w:szCs w:val="32"/>
        </w:rPr>
        <w:t>基数部分按以下分档分级提取奖励</w:t>
      </w:r>
      <w:r w:rsidRPr="00AB3E87">
        <w:rPr>
          <w:rFonts w:ascii="仿宋" w:eastAsia="仿宋" w:hAnsi="仿宋" w:hint="eastAsia"/>
          <w:sz w:val="32"/>
          <w:szCs w:val="32"/>
        </w:rPr>
        <w:t>。</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（1）</w:t>
      </w:r>
      <w:proofErr w:type="gramStart"/>
      <w:r w:rsidRPr="00AB3E87">
        <w:rPr>
          <w:rFonts w:ascii="仿宋" w:eastAsia="仿宋" w:hAnsi="仿宋"/>
          <w:sz w:val="32"/>
          <w:szCs w:val="32"/>
        </w:rPr>
        <w:t>超考核</w:t>
      </w:r>
      <w:proofErr w:type="gramEnd"/>
      <w:r w:rsidRPr="00AB3E87">
        <w:rPr>
          <w:rFonts w:ascii="仿宋" w:eastAsia="仿宋" w:hAnsi="仿宋"/>
          <w:sz w:val="32"/>
          <w:szCs w:val="32"/>
        </w:rPr>
        <w:t>基数500万元以内部分（含500万元），提奖比例为3％。</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（2）</w:t>
      </w:r>
      <w:proofErr w:type="gramStart"/>
      <w:r w:rsidRPr="00AB3E87">
        <w:rPr>
          <w:rFonts w:ascii="仿宋" w:eastAsia="仿宋" w:hAnsi="仿宋"/>
          <w:sz w:val="32"/>
          <w:szCs w:val="32"/>
        </w:rPr>
        <w:t>超考核</w:t>
      </w:r>
      <w:proofErr w:type="gramEnd"/>
      <w:r w:rsidRPr="00AB3E87">
        <w:rPr>
          <w:rFonts w:ascii="仿宋" w:eastAsia="仿宋" w:hAnsi="仿宋"/>
          <w:sz w:val="32"/>
          <w:szCs w:val="32"/>
        </w:rPr>
        <w:t>基数500－1000万元以内部分（含1000万元），提奖比例为2％。</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（3）</w:t>
      </w:r>
      <w:proofErr w:type="gramStart"/>
      <w:r w:rsidRPr="00AB3E87">
        <w:rPr>
          <w:rFonts w:ascii="仿宋" w:eastAsia="仿宋" w:hAnsi="仿宋"/>
          <w:sz w:val="32"/>
          <w:szCs w:val="32"/>
        </w:rPr>
        <w:t>超考核</w:t>
      </w:r>
      <w:proofErr w:type="gramEnd"/>
      <w:r w:rsidRPr="00AB3E87">
        <w:rPr>
          <w:rFonts w:ascii="仿宋" w:eastAsia="仿宋" w:hAnsi="仿宋"/>
          <w:sz w:val="32"/>
          <w:szCs w:val="32"/>
        </w:rPr>
        <w:t>基数1000万元以上部分，提奖比例为1％。</w:t>
      </w:r>
    </w:p>
    <w:p w:rsidR="006C008C" w:rsidRPr="00AB3E87" w:rsidRDefault="006C008C" w:rsidP="006C008C">
      <w:pPr>
        <w:spacing w:line="560" w:lineRule="exact"/>
        <w:ind w:firstLineChars="200" w:firstLine="640"/>
        <w:rPr>
          <w:rFonts w:ascii="仿宋" w:eastAsia="仿宋" w:hAnsi="仿宋" w:hint="eastAsia"/>
          <w:sz w:val="32"/>
          <w:szCs w:val="32"/>
        </w:rPr>
      </w:pPr>
      <w:r w:rsidRPr="00AB3E87">
        <w:rPr>
          <w:rFonts w:ascii="仿宋" w:eastAsia="仿宋" w:hAnsi="仿宋" w:hint="eastAsia"/>
          <w:sz w:val="32"/>
          <w:szCs w:val="32"/>
        </w:rPr>
        <w:t>（三）设立上</w:t>
      </w:r>
      <w:proofErr w:type="gramStart"/>
      <w:r w:rsidRPr="00AB3E87">
        <w:rPr>
          <w:rFonts w:ascii="仿宋" w:eastAsia="仿宋" w:hAnsi="仿宋" w:hint="eastAsia"/>
          <w:sz w:val="32"/>
          <w:szCs w:val="32"/>
        </w:rPr>
        <w:t>台阶奖</w:t>
      </w:r>
      <w:proofErr w:type="gramEnd"/>
      <w:r w:rsidRPr="00AB3E87">
        <w:rPr>
          <w:rFonts w:ascii="仿宋" w:eastAsia="仿宋" w:hAnsi="仿宋" w:hint="eastAsia"/>
          <w:sz w:val="32"/>
          <w:szCs w:val="32"/>
        </w:rPr>
        <w:t>和贡献奖。</w:t>
      </w:r>
    </w:p>
    <w:p w:rsidR="006C008C" w:rsidRPr="00AB3E87" w:rsidRDefault="006C008C" w:rsidP="006C008C">
      <w:pPr>
        <w:spacing w:line="560" w:lineRule="exact"/>
        <w:ind w:firstLineChars="200" w:firstLine="640"/>
        <w:rPr>
          <w:rFonts w:ascii="仿宋" w:eastAsia="仿宋" w:hAnsi="仿宋" w:hint="eastAsia"/>
          <w:sz w:val="32"/>
          <w:szCs w:val="32"/>
        </w:rPr>
      </w:pPr>
      <w:r w:rsidRPr="00AB3E87">
        <w:rPr>
          <w:rFonts w:ascii="仿宋" w:eastAsia="仿宋" w:hAnsi="仿宋" w:hint="eastAsia"/>
          <w:sz w:val="32"/>
          <w:szCs w:val="32"/>
        </w:rPr>
        <w:t>1、上台阶奖：对年上缴地方财政收入新上500万元、1000万元、2000万元的重点企业，分别奖励10万元、15万元、20万元。进一个档次奖励一次，退档再进不予奖励。</w:t>
      </w:r>
    </w:p>
    <w:p w:rsidR="006C008C" w:rsidRPr="00AB3E87" w:rsidRDefault="006C008C" w:rsidP="006C008C">
      <w:pPr>
        <w:spacing w:line="560" w:lineRule="exact"/>
        <w:ind w:firstLineChars="200" w:firstLine="640"/>
        <w:rPr>
          <w:rFonts w:ascii="仿宋" w:eastAsia="仿宋" w:hAnsi="仿宋" w:hint="eastAsia"/>
          <w:sz w:val="32"/>
          <w:szCs w:val="32"/>
        </w:rPr>
      </w:pPr>
      <w:r w:rsidRPr="00AB3E87">
        <w:rPr>
          <w:rFonts w:ascii="仿宋" w:eastAsia="仿宋" w:hAnsi="仿宋" w:hint="eastAsia"/>
          <w:sz w:val="32"/>
          <w:szCs w:val="32"/>
        </w:rPr>
        <w:t>2、贡献奖：对上缴地方财政收入3000万元以上的企业，给予奖励30万元，上缴地方财政收入5000万元以上的企业，给予奖励40万元，上缴地方财政收入1亿元以上的企业，给予奖励50万元。</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hint="eastAsia"/>
          <w:sz w:val="32"/>
          <w:szCs w:val="32"/>
        </w:rPr>
        <w:t>3、享受上</w:t>
      </w:r>
      <w:proofErr w:type="gramStart"/>
      <w:r w:rsidRPr="00AB3E87">
        <w:rPr>
          <w:rFonts w:ascii="仿宋" w:eastAsia="仿宋" w:hAnsi="仿宋" w:hint="eastAsia"/>
          <w:sz w:val="32"/>
          <w:szCs w:val="32"/>
        </w:rPr>
        <w:t>台阶奖</w:t>
      </w:r>
      <w:proofErr w:type="gramEnd"/>
      <w:r w:rsidRPr="00AB3E87">
        <w:rPr>
          <w:rFonts w:ascii="仿宋" w:eastAsia="仿宋" w:hAnsi="仿宋" w:hint="eastAsia"/>
          <w:sz w:val="32"/>
          <w:szCs w:val="32"/>
        </w:rPr>
        <w:t>和贡献奖的企业如符合比上年同期增长20%这个条件的，则可以按</w:t>
      </w:r>
      <w:proofErr w:type="gramStart"/>
      <w:r w:rsidRPr="00AB3E87">
        <w:rPr>
          <w:rFonts w:ascii="仿宋" w:eastAsia="仿宋" w:hAnsi="仿宋"/>
          <w:sz w:val="32"/>
          <w:szCs w:val="32"/>
        </w:rPr>
        <w:t>超考核</w:t>
      </w:r>
      <w:proofErr w:type="gramEnd"/>
      <w:r w:rsidRPr="00AB3E87">
        <w:rPr>
          <w:rFonts w:ascii="仿宋" w:eastAsia="仿宋" w:hAnsi="仿宋"/>
          <w:sz w:val="32"/>
          <w:szCs w:val="32"/>
        </w:rPr>
        <w:t>基数部分分档分级提取奖励。</w:t>
      </w:r>
    </w:p>
    <w:p w:rsidR="006C008C" w:rsidRPr="00AB3E87" w:rsidRDefault="006C008C" w:rsidP="006C008C">
      <w:pPr>
        <w:spacing w:line="560" w:lineRule="exact"/>
        <w:ind w:firstLineChars="150" w:firstLine="480"/>
        <w:rPr>
          <w:rFonts w:ascii="仿宋" w:eastAsia="仿宋" w:hAnsi="仿宋"/>
          <w:sz w:val="32"/>
          <w:szCs w:val="32"/>
        </w:rPr>
      </w:pPr>
      <w:r w:rsidRPr="00AB3E87">
        <w:rPr>
          <w:rFonts w:ascii="仿宋" w:eastAsia="仿宋" w:hAnsi="仿宋"/>
          <w:sz w:val="32"/>
          <w:szCs w:val="32"/>
        </w:rPr>
        <w:t>（三）奖励方式</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按照完成税收情况给予奖金，主要奖励在衡企业法人代表（或主要负责人）及领导班子成员, 其中在衡企业法人代表（或主要负责人）奖励原则上不低于奖金的30%。</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四、奖金来源</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市财政专项安排奖励经费列入年度财政预算。</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五、考核要求</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lastRenderedPageBreak/>
        <w:t>（一）申报时间：达到奖励条件的企业于次年</w:t>
      </w:r>
      <w:r w:rsidRPr="00AB3E87">
        <w:rPr>
          <w:rFonts w:ascii="仿宋" w:eastAsia="仿宋" w:hAnsi="仿宋" w:hint="eastAsia"/>
          <w:sz w:val="32"/>
          <w:szCs w:val="32"/>
        </w:rPr>
        <w:t>2</w:t>
      </w:r>
      <w:r w:rsidRPr="00AB3E87">
        <w:rPr>
          <w:rFonts w:ascii="仿宋" w:eastAsia="仿宋" w:hAnsi="仿宋"/>
          <w:sz w:val="32"/>
          <w:szCs w:val="32"/>
        </w:rPr>
        <w:t>月</w:t>
      </w:r>
      <w:r w:rsidRPr="00AB3E87">
        <w:rPr>
          <w:rFonts w:ascii="仿宋" w:eastAsia="仿宋" w:hAnsi="仿宋" w:hint="eastAsia"/>
          <w:sz w:val="32"/>
          <w:szCs w:val="32"/>
        </w:rPr>
        <w:t>底</w:t>
      </w:r>
      <w:r w:rsidRPr="00AB3E87">
        <w:rPr>
          <w:rFonts w:ascii="仿宋" w:eastAsia="仿宋" w:hAnsi="仿宋"/>
          <w:sz w:val="32"/>
          <w:szCs w:val="32"/>
        </w:rPr>
        <w:t>前主动向市财政局申报，过期不予受理。</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（二）申报资料：</w:t>
      </w:r>
    </w:p>
    <w:p w:rsidR="006C008C" w:rsidRPr="00AB3E87" w:rsidRDefault="006C008C" w:rsidP="006C008C">
      <w:pPr>
        <w:spacing w:line="560" w:lineRule="exact"/>
        <w:ind w:firstLineChars="200" w:firstLine="640"/>
        <w:rPr>
          <w:rFonts w:ascii="仿宋" w:eastAsia="仿宋" w:hAnsi="仿宋" w:hint="eastAsia"/>
          <w:sz w:val="32"/>
          <w:szCs w:val="32"/>
        </w:rPr>
      </w:pPr>
      <w:r w:rsidRPr="00AB3E87">
        <w:rPr>
          <w:rFonts w:ascii="仿宋" w:eastAsia="仿宋" w:hAnsi="仿宋"/>
          <w:sz w:val="32"/>
          <w:szCs w:val="32"/>
        </w:rPr>
        <w:t>1、报送企业申请奖励报告</w:t>
      </w:r>
      <w:r w:rsidRPr="00AB3E87">
        <w:rPr>
          <w:rFonts w:ascii="仿宋" w:eastAsia="仿宋" w:hAnsi="仿宋" w:hint="eastAsia"/>
          <w:sz w:val="32"/>
          <w:szCs w:val="32"/>
        </w:rPr>
        <w:t>；</w:t>
      </w:r>
    </w:p>
    <w:p w:rsidR="006C008C" w:rsidRPr="00AB3E87" w:rsidRDefault="006C008C" w:rsidP="006C008C">
      <w:pPr>
        <w:spacing w:line="560" w:lineRule="exact"/>
        <w:ind w:firstLineChars="200" w:firstLine="640"/>
        <w:rPr>
          <w:rFonts w:ascii="仿宋" w:eastAsia="仿宋" w:hAnsi="仿宋" w:hint="eastAsia"/>
          <w:sz w:val="32"/>
          <w:szCs w:val="32"/>
        </w:rPr>
      </w:pPr>
      <w:r w:rsidRPr="00AB3E87">
        <w:rPr>
          <w:rFonts w:ascii="仿宋" w:eastAsia="仿宋" w:hAnsi="仿宋"/>
          <w:sz w:val="32"/>
          <w:szCs w:val="32"/>
        </w:rPr>
        <w:t>2、报送奖励申报表</w:t>
      </w:r>
      <w:r w:rsidRPr="00AB3E87">
        <w:rPr>
          <w:rFonts w:ascii="仿宋" w:eastAsia="仿宋" w:hAnsi="仿宋" w:hint="eastAsia"/>
          <w:sz w:val="32"/>
          <w:szCs w:val="32"/>
        </w:rPr>
        <w:t>；</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3、附送企业当年度和上年度会计报表、当年的纳税凭证</w:t>
      </w:r>
      <w:r w:rsidRPr="00AB3E87">
        <w:rPr>
          <w:rFonts w:ascii="仿宋" w:eastAsia="仿宋" w:hAnsi="仿宋" w:hint="eastAsia"/>
          <w:sz w:val="32"/>
          <w:szCs w:val="32"/>
        </w:rPr>
        <w:t>（</w:t>
      </w:r>
      <w:r w:rsidRPr="00AB3E87">
        <w:rPr>
          <w:rFonts w:ascii="仿宋" w:eastAsia="仿宋" w:hAnsi="仿宋"/>
          <w:sz w:val="32"/>
          <w:szCs w:val="32"/>
        </w:rPr>
        <w:t>复印件</w:t>
      </w:r>
      <w:r w:rsidRPr="00AB3E87">
        <w:rPr>
          <w:rFonts w:ascii="仿宋" w:eastAsia="仿宋" w:hAnsi="仿宋" w:hint="eastAsia"/>
          <w:sz w:val="32"/>
          <w:szCs w:val="32"/>
        </w:rPr>
        <w:t>）</w:t>
      </w:r>
      <w:r w:rsidRPr="00AB3E87">
        <w:rPr>
          <w:rFonts w:ascii="仿宋" w:eastAsia="仿宋" w:hAnsi="仿宋"/>
          <w:sz w:val="32"/>
          <w:szCs w:val="32"/>
        </w:rPr>
        <w:t>及税务部门核实出具的纳税证明整理成册报市财政局。</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六、考核程序</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考核奖励每年进行一次，由市财政局在每年年初对申报企业进行考核，考核结果报市政府批准后</w:t>
      </w:r>
      <w:r w:rsidRPr="00AB3E87">
        <w:rPr>
          <w:rFonts w:ascii="仿宋" w:eastAsia="仿宋" w:hAnsi="仿宋" w:hint="eastAsia"/>
          <w:sz w:val="32"/>
          <w:szCs w:val="32"/>
        </w:rPr>
        <w:t>，</w:t>
      </w:r>
      <w:r w:rsidRPr="00AB3E87">
        <w:rPr>
          <w:rFonts w:ascii="仿宋" w:eastAsia="仿宋" w:hAnsi="仿宋"/>
          <w:sz w:val="32"/>
          <w:szCs w:val="32"/>
        </w:rPr>
        <w:t>进行</w:t>
      </w:r>
      <w:r w:rsidRPr="00AB3E87">
        <w:rPr>
          <w:rFonts w:ascii="仿宋" w:eastAsia="仿宋" w:hAnsi="仿宋" w:hint="eastAsia"/>
          <w:sz w:val="32"/>
          <w:szCs w:val="32"/>
        </w:rPr>
        <w:t>奖励</w:t>
      </w:r>
      <w:r w:rsidRPr="00AB3E87">
        <w:rPr>
          <w:rFonts w:ascii="仿宋" w:eastAsia="仿宋" w:hAnsi="仿宋"/>
          <w:sz w:val="32"/>
          <w:szCs w:val="32"/>
        </w:rPr>
        <w:t>兑现。</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七、其它事项</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（一）经考核，达到考核指标要求的企业才能给予奖励，未达到考核指标中任意一项的，均取消计奖资格。</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（二）未向财政</w:t>
      </w:r>
      <w:r w:rsidRPr="00AB3E87">
        <w:rPr>
          <w:rFonts w:ascii="仿宋" w:eastAsia="仿宋" w:hAnsi="仿宋" w:hint="eastAsia"/>
          <w:sz w:val="32"/>
          <w:szCs w:val="32"/>
        </w:rPr>
        <w:t>部门</w:t>
      </w:r>
      <w:r w:rsidRPr="00AB3E87">
        <w:rPr>
          <w:rFonts w:ascii="仿宋" w:eastAsia="仿宋" w:hAnsi="仿宋"/>
          <w:sz w:val="32"/>
          <w:szCs w:val="32"/>
        </w:rPr>
        <w:t>报送企业月度快报和年度决算报表的企业，不纳入奖励范围。</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（三）如发现企业有虚增虚报税额，骗取奖金的行为，除追回以前年度获取的奖金外，取消其以后年度的评奖资格，并依法追究有关人员的责任。</w:t>
      </w:r>
    </w:p>
    <w:p w:rsidR="006C008C" w:rsidRPr="00AB3E87" w:rsidRDefault="006C008C" w:rsidP="006C008C">
      <w:pPr>
        <w:spacing w:line="560" w:lineRule="exact"/>
        <w:ind w:firstLineChars="200" w:firstLine="640"/>
        <w:rPr>
          <w:rFonts w:ascii="仿宋" w:eastAsia="仿宋" w:hAnsi="仿宋"/>
          <w:sz w:val="32"/>
          <w:szCs w:val="32"/>
        </w:rPr>
      </w:pPr>
      <w:r w:rsidRPr="00AB3E87">
        <w:rPr>
          <w:rFonts w:ascii="仿宋" w:eastAsia="仿宋" w:hAnsi="仿宋"/>
          <w:sz w:val="32"/>
          <w:szCs w:val="32"/>
        </w:rPr>
        <w:t>（四）本办法适用于入库税收在市本级和各城区的企业</w:t>
      </w:r>
      <w:r w:rsidRPr="00AB3E87">
        <w:rPr>
          <w:rFonts w:ascii="仿宋" w:eastAsia="仿宋" w:hAnsi="仿宋" w:hint="eastAsia"/>
          <w:sz w:val="32"/>
          <w:szCs w:val="32"/>
        </w:rPr>
        <w:t>。</w:t>
      </w:r>
      <w:r w:rsidRPr="00AB3E87">
        <w:rPr>
          <w:rFonts w:ascii="仿宋" w:eastAsia="仿宋" w:hAnsi="仿宋"/>
          <w:sz w:val="32"/>
          <w:szCs w:val="32"/>
        </w:rPr>
        <w:t>各县市</w:t>
      </w:r>
      <w:r w:rsidRPr="00AB3E87">
        <w:rPr>
          <w:rFonts w:ascii="仿宋" w:eastAsia="仿宋" w:hAnsi="仿宋" w:hint="eastAsia"/>
          <w:sz w:val="32"/>
          <w:szCs w:val="32"/>
        </w:rPr>
        <w:t>区</w:t>
      </w:r>
      <w:r w:rsidRPr="00AB3E87">
        <w:rPr>
          <w:rFonts w:ascii="仿宋" w:eastAsia="仿宋" w:hAnsi="仿宋"/>
          <w:sz w:val="32"/>
          <w:szCs w:val="32"/>
        </w:rPr>
        <w:t>可参照</w:t>
      </w:r>
      <w:r w:rsidRPr="00AB3E87">
        <w:rPr>
          <w:rFonts w:ascii="仿宋" w:eastAsia="仿宋" w:hAnsi="仿宋" w:hint="eastAsia"/>
          <w:sz w:val="32"/>
          <w:szCs w:val="32"/>
        </w:rPr>
        <w:t>制定相应的奖励办法</w:t>
      </w:r>
      <w:r w:rsidRPr="00AB3E87">
        <w:rPr>
          <w:rFonts w:ascii="仿宋" w:eastAsia="仿宋" w:hAnsi="仿宋"/>
          <w:sz w:val="32"/>
          <w:szCs w:val="32"/>
        </w:rPr>
        <w:t>。</w:t>
      </w:r>
    </w:p>
    <w:p w:rsidR="006C008C" w:rsidRPr="005D5CFE" w:rsidRDefault="006C008C" w:rsidP="006C008C">
      <w:pPr>
        <w:spacing w:line="560" w:lineRule="exact"/>
        <w:ind w:firstLineChars="200" w:firstLine="640"/>
        <w:rPr>
          <w:rFonts w:hint="eastAsia"/>
        </w:rPr>
      </w:pPr>
      <w:r w:rsidRPr="00AB3E87">
        <w:rPr>
          <w:rFonts w:ascii="仿宋" w:eastAsia="仿宋" w:hAnsi="仿宋"/>
          <w:sz w:val="32"/>
          <w:szCs w:val="32"/>
        </w:rPr>
        <w:t>（五）本办法从20</w:t>
      </w:r>
      <w:r w:rsidRPr="00AB3E87">
        <w:rPr>
          <w:rFonts w:ascii="仿宋" w:eastAsia="仿宋" w:hAnsi="仿宋" w:hint="eastAsia"/>
          <w:sz w:val="32"/>
          <w:szCs w:val="32"/>
        </w:rPr>
        <w:t>13</w:t>
      </w:r>
      <w:r w:rsidRPr="00AB3E87">
        <w:rPr>
          <w:rFonts w:ascii="仿宋" w:eastAsia="仿宋" w:hAnsi="仿宋"/>
          <w:sz w:val="32"/>
          <w:szCs w:val="32"/>
        </w:rPr>
        <w:t>年元月1日起执行，由市财政局负责解释。原《衡阳市人民政府办公室关于印发衡阳市重点企业纳税考核奖励实施办法的通知》（</w:t>
      </w:r>
      <w:proofErr w:type="gramStart"/>
      <w:r w:rsidRPr="00AB3E87">
        <w:rPr>
          <w:rFonts w:ascii="仿宋" w:eastAsia="仿宋" w:hAnsi="仿宋"/>
          <w:sz w:val="32"/>
          <w:szCs w:val="32"/>
        </w:rPr>
        <w:t>衡政办</w:t>
      </w:r>
      <w:proofErr w:type="gramEnd"/>
      <w:r w:rsidRPr="00AB3E87">
        <w:rPr>
          <w:rFonts w:ascii="仿宋" w:eastAsia="仿宋" w:hAnsi="仿宋"/>
          <w:sz w:val="32"/>
          <w:szCs w:val="32"/>
        </w:rPr>
        <w:t>函〔20</w:t>
      </w:r>
      <w:r w:rsidRPr="00AB3E87">
        <w:rPr>
          <w:rFonts w:ascii="仿宋" w:eastAsia="仿宋" w:hAnsi="仿宋" w:hint="eastAsia"/>
          <w:sz w:val="32"/>
          <w:szCs w:val="32"/>
        </w:rPr>
        <w:t>07</w:t>
      </w:r>
      <w:r w:rsidRPr="00AB3E87">
        <w:rPr>
          <w:rFonts w:ascii="仿宋" w:eastAsia="仿宋" w:hAnsi="仿宋"/>
          <w:sz w:val="32"/>
          <w:szCs w:val="32"/>
        </w:rPr>
        <w:t>〕</w:t>
      </w:r>
      <w:r w:rsidRPr="00AB3E87">
        <w:rPr>
          <w:rFonts w:ascii="仿宋" w:eastAsia="仿宋" w:hAnsi="仿宋" w:hint="eastAsia"/>
          <w:sz w:val="32"/>
          <w:szCs w:val="32"/>
        </w:rPr>
        <w:t>188</w:t>
      </w:r>
      <w:r w:rsidRPr="00AB3E87">
        <w:rPr>
          <w:rFonts w:ascii="仿宋" w:eastAsia="仿宋" w:hAnsi="仿宋"/>
          <w:sz w:val="32"/>
          <w:szCs w:val="32"/>
        </w:rPr>
        <w:t>号）同时废止。</w:t>
      </w:r>
    </w:p>
    <w:sectPr w:rsidR="006C008C" w:rsidRPr="005D5CFE" w:rsidSect="00AB3E87">
      <w:pgSz w:w="11906" w:h="16838"/>
      <w:pgMar w:top="1361"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C02" w:rsidRDefault="00376C02" w:rsidP="006C008C">
      <w:r>
        <w:separator/>
      </w:r>
    </w:p>
  </w:endnote>
  <w:endnote w:type="continuationSeparator" w:id="0">
    <w:p w:rsidR="00376C02" w:rsidRDefault="00376C02" w:rsidP="006C00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C02" w:rsidRDefault="00376C02" w:rsidP="006C008C">
      <w:r>
        <w:separator/>
      </w:r>
    </w:p>
  </w:footnote>
  <w:footnote w:type="continuationSeparator" w:id="0">
    <w:p w:rsidR="00376C02" w:rsidRDefault="00376C02" w:rsidP="006C00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008C"/>
    <w:rsid w:val="0005468D"/>
    <w:rsid w:val="00376C02"/>
    <w:rsid w:val="00410D9C"/>
    <w:rsid w:val="006C008C"/>
    <w:rsid w:val="00971A8D"/>
    <w:rsid w:val="00DF10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0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00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C008C"/>
    <w:rPr>
      <w:sz w:val="18"/>
      <w:szCs w:val="18"/>
    </w:rPr>
  </w:style>
  <w:style w:type="paragraph" w:styleId="a4">
    <w:name w:val="footer"/>
    <w:basedOn w:val="a"/>
    <w:link w:val="Char0"/>
    <w:uiPriority w:val="99"/>
    <w:semiHidden/>
    <w:unhideWhenUsed/>
    <w:rsid w:val="006C00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C008C"/>
    <w:rPr>
      <w:sz w:val="18"/>
      <w:szCs w:val="18"/>
    </w:rPr>
  </w:style>
  <w:style w:type="paragraph" w:customStyle="1" w:styleId="Char1">
    <w:name w:val=" Char"/>
    <w:basedOn w:val="a"/>
    <w:rsid w:val="006C008C"/>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2017-03-23T00:43:00Z</dcterms:created>
  <dcterms:modified xsi:type="dcterms:W3CDTF">2017-03-23T00:43:00Z</dcterms:modified>
</cp:coreProperties>
</file>