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5" w:type="dxa"/>
        <w:jc w:val="center"/>
        <w:tblInd w:w="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8"/>
        <w:gridCol w:w="555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955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36"/>
                <w:szCs w:val="36"/>
                <w:u w:val="none"/>
                <w:lang w:eastAsia="zh-CN"/>
              </w:rPr>
              <w:t>一般公共预算财政拨款“三公”经费支出决算表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38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2" w:type="dxa"/>
            <w:shd w:val="clear"/>
            <w:vAlign w:val="center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  <w:t>公开</w:t>
            </w: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393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3562" w:type="dxa"/>
            <w:shd w:val="clear"/>
            <w:vAlign w:val="center"/>
          </w:tcPr>
          <w:p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  <w:t>金额单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  <w:t>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55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3562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一、支出合计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1.因公出国（境）费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2.公务用车购置及运行维护费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（1）公务用车购置费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（2）公务用车运行维护费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3.公务接待费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（1）国内接待费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（2）国（境）外接待费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二、相关统计数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1.因公出国（境）团组数（个）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2.因公出国（境）人次数（人）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3.公务用车购置数（辆）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4.公务用车保有量（辆）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5.公务接待批次（批）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6.公务接待人次（人）</w:t>
            </w:r>
          </w:p>
        </w:tc>
        <w:tc>
          <w:tcPr>
            <w:tcW w:w="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050B6C"/>
    <w:rsid w:val="4E83147A"/>
    <w:rsid w:val="5D712AD0"/>
    <w:rsid w:val="61201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2016-09-01T07:40:30Z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