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衡阳市201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年度市本级 “三公”经费决算</w:t>
      </w:r>
      <w:r>
        <w:rPr>
          <w:rFonts w:hint="eastAsia"/>
          <w:b/>
          <w:sz w:val="36"/>
          <w:szCs w:val="36"/>
          <w:lang w:eastAsia="zh-CN"/>
        </w:rPr>
        <w:t>说明</w:t>
      </w:r>
    </w:p>
    <w:p/>
    <w:p>
      <w:pPr>
        <w:rPr>
          <w:rFonts w:hint="eastAsia"/>
        </w:rPr>
      </w:pPr>
      <w:r>
        <w:t xml:space="preserve">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衡阳市本级部门，包括市级行政单位（含参照公务员法管理的事业单位）、事业单位和其他单位使用当年公共财政拨款（包括一般公共财政经费拨款和纳入预算管理的非税收入拨款）201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年度“三公”经费决算为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3671.67</w:t>
      </w:r>
      <w:r>
        <w:rPr>
          <w:rFonts w:hint="eastAsia" w:ascii="仿宋" w:hAnsi="仿宋" w:eastAsia="仿宋"/>
          <w:sz w:val="32"/>
          <w:szCs w:val="32"/>
        </w:rPr>
        <w:t>万元，同口径比上年决算减少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1381.21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其中：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因公出国（境）费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31.37</w:t>
      </w:r>
      <w:r>
        <w:rPr>
          <w:rFonts w:hint="eastAsia" w:ascii="仿宋" w:hAnsi="仿宋" w:eastAsia="仿宋"/>
          <w:sz w:val="32"/>
          <w:szCs w:val="32"/>
        </w:rPr>
        <w:t>万元，比上年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44.22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减少的主要原因是我市从源头抓起，实行预算控制，同时认真执行出国经费先行审核、计划报批等制度。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公务接待费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1023.25</w:t>
      </w:r>
      <w:r>
        <w:rPr>
          <w:rFonts w:hint="eastAsia" w:ascii="仿宋" w:hAnsi="仿宋" w:eastAsia="仿宋"/>
          <w:sz w:val="32"/>
          <w:szCs w:val="32"/>
        </w:rPr>
        <w:t>万元，比上年减少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525.35</w:t>
      </w:r>
      <w:r>
        <w:rPr>
          <w:rFonts w:hint="eastAsia" w:ascii="仿宋" w:hAnsi="仿宋" w:eastAsia="仿宋"/>
          <w:sz w:val="32"/>
          <w:szCs w:val="32"/>
        </w:rPr>
        <w:t>万元，减少的主要原因是我市严格按照中央和省政府相关规定，认真贯彻落实“八项”规定要求，严格控制公务接待数量、规模、接待标准等。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公务用车购置及运行维护费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2617.05</w:t>
      </w:r>
      <w:r>
        <w:rPr>
          <w:rFonts w:hint="eastAsia" w:ascii="仿宋" w:hAnsi="仿宋" w:eastAsia="仿宋"/>
          <w:sz w:val="32"/>
          <w:szCs w:val="32"/>
        </w:rPr>
        <w:t>万元（其中公务用车购置费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万元，公务用车运行维护费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2617.05</w:t>
      </w:r>
      <w:r>
        <w:rPr>
          <w:rFonts w:hint="eastAsia" w:ascii="仿宋" w:hAnsi="仿宋" w:eastAsia="仿宋"/>
          <w:sz w:val="32"/>
          <w:szCs w:val="32"/>
        </w:rPr>
        <w:t>万元）。比上年减少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811.63</w:t>
      </w:r>
      <w:r>
        <w:rPr>
          <w:rFonts w:hint="eastAsia" w:ascii="仿宋" w:hAnsi="仿宋" w:eastAsia="仿宋"/>
          <w:sz w:val="32"/>
          <w:szCs w:val="32"/>
        </w:rPr>
        <w:t>万元，减少的主要原因是我市公务用车制度改革后，加强公务用车管理，公务用车数量减少，运行维护费支出大幅下降。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9045F"/>
    <w:rsid w:val="195246A4"/>
    <w:rsid w:val="19E43F9E"/>
    <w:rsid w:val="4C2047C3"/>
    <w:rsid w:val="4ED05B0D"/>
    <w:rsid w:val="6529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2019-09-12T08:04:00Z</dcterms:created>
  <dc:creator>Administrator</dc:creator>
  <cp:lastModifiedBy>Administrator</cp:lastModifiedBy>
  <cp:lastPrinted>2019-09-12T08:54:00Z</cp:lastPrinted>
  <dcterms:modified xsi:type="dcterms:W3CDTF">2019-09-12T09:48:31Z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