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bCs/>
          <w:color w:val="000000"/>
          <w:sz w:val="40"/>
          <w:szCs w:val="40"/>
        </w:rPr>
        <w:t>招生计划分配表</w:t>
      </w:r>
    </w:p>
    <w:tbl>
      <w:tblPr>
        <w:tblStyle w:val="7"/>
        <w:tblW w:w="9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939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县市区</w:t>
            </w:r>
          </w:p>
        </w:tc>
        <w:tc>
          <w:tcPr>
            <w:tcW w:w="6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计划招生人数（单位：人）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北大班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清华班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衡南县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衡阳县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衡山县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衡东县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祁东县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常宁市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耒阳市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南岳区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雁峰区</w:t>
            </w:r>
            <w:r>
              <w:rPr>
                <w:sz w:val="30"/>
                <w:szCs w:val="30"/>
              </w:rPr>
              <w:t>　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石鼓区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珠晖区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蒸湘区</w:t>
            </w:r>
          </w:p>
        </w:tc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高新技术产业开发区</w:t>
            </w:r>
          </w:p>
        </w:tc>
        <w:tc>
          <w:tcPr>
            <w:tcW w:w="2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松木经济开发区</w:t>
            </w:r>
          </w:p>
        </w:tc>
        <w:tc>
          <w:tcPr>
            <w:tcW w:w="2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白沙洲工业园</w:t>
            </w:r>
          </w:p>
        </w:tc>
        <w:tc>
          <w:tcPr>
            <w:tcW w:w="2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合　计</w:t>
            </w:r>
          </w:p>
        </w:tc>
        <w:tc>
          <w:tcPr>
            <w:tcW w:w="2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5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left"/>
        <w:rPr>
          <w:rFonts w:eastAsia="方正仿宋简体"/>
          <w:sz w:val="24"/>
        </w:rPr>
      </w:pPr>
      <w:r>
        <w:rPr>
          <w:rFonts w:eastAsia="方正仿宋简体"/>
          <w:sz w:val="24"/>
        </w:rPr>
        <w:t>注：实际录用按报名先后顺序，超额人员列入下期计划。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A7098"/>
    <w:rsid w:val="1DFA70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2016-12-07T04:49:00Z</dcterms:created>
  <dc:creator>波波</dc:creator>
  <cp:lastModifiedBy>波波</cp:lastModifiedBy>
  <dcterms:modified xsi:type="dcterms:W3CDTF">2016-12-07T04:56:03Z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