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_GB2312"/>
          <w:sz w:val="24"/>
          <w:szCs w:val="28"/>
        </w:rPr>
      </w:pPr>
    </w:p>
    <w:p>
      <w:pPr>
        <w:widowControl/>
        <w:snapToGrid w:val="0"/>
        <w:jc w:val="left"/>
        <w:rPr>
          <w:rFonts w:ascii="仿宋_GB2312"/>
          <w:sz w:val="24"/>
          <w:szCs w:val="28"/>
        </w:rPr>
      </w:pPr>
      <w:r>
        <w:rPr>
          <w:rFonts w:hint="eastAsia" w:ascii="仿宋_GB2312"/>
          <w:sz w:val="24"/>
          <w:szCs w:val="28"/>
        </w:rPr>
        <w:t>附件1：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2018年利用综合标准推动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落后钢铁产能退出情况公告</w:t>
      </w:r>
    </w:p>
    <w:p>
      <w:pPr>
        <w:widowControl/>
        <w:snapToGrid w:val="0"/>
        <w:rPr>
          <w:rFonts w:ascii="仿宋_GB2312"/>
          <w:sz w:val="24"/>
          <w:szCs w:val="28"/>
        </w:rPr>
      </w:pPr>
    </w:p>
    <w:tbl>
      <w:tblPr>
        <w:tblStyle w:val="4"/>
        <w:tblW w:w="8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756"/>
        <w:gridCol w:w="2520"/>
        <w:gridCol w:w="1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序号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已完成淘汰任务企业名称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行业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淘汰时间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衡阳铅都机电制造有限责任公司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钢铁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2018-11</w:t>
            </w:r>
          </w:p>
        </w:tc>
      </w:tr>
    </w:tbl>
    <w:p>
      <w:pPr>
        <w:rPr>
          <w:rFonts w:ascii="黑体" w:hAnsi="黑体" w:eastAsia="黑体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134" w:left="1531" w:header="851" w:footer="964" w:gutter="0"/>
          <w:pgNumType w:fmt="numberInDash" w:start="1"/>
          <w:cols w:space="425" w:num="1"/>
          <w:titlePg/>
          <w:docGrid w:type="linesAndChars" w:linePitch="636" w:charSpace="-432"/>
        </w:sectPr>
      </w:pPr>
    </w:p>
    <w:p>
      <w:pPr>
        <w:widowControl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附件2：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2018年利用综合标准推动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落后煤炭产能退出情况公告</w:t>
      </w:r>
    </w:p>
    <w:tbl>
      <w:tblPr>
        <w:tblStyle w:val="4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073"/>
        <w:gridCol w:w="1134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序号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煤矿名称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瓦斯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等级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产能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Cs w:val="21"/>
              </w:rPr>
              <w:t>（万吨</w:t>
            </w:r>
            <w:r>
              <w:rPr>
                <w:rFonts w:eastAsia="仿宋_GB2312"/>
                <w:kern w:val="0"/>
                <w:szCs w:val="21"/>
              </w:rPr>
              <w:t>/</w:t>
            </w:r>
            <w:r>
              <w:rPr>
                <w:rFonts w:hint="eastAsia" w:eastAsia="仿宋_GB2312"/>
                <w:kern w:val="0"/>
                <w:szCs w:val="21"/>
              </w:rPr>
              <w:t>年）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验收结论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耒阳市富弘煤业有限公司石界煤矿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高瓦斯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耒阳市富弘煤业有限公司双凤煤矿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耒阳市华亚煤业有限公司宏利煤矿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耒阳市王家井煤业有限公司长冲里煤矿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耒阳市弘利煤业有限责任公司二工区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高瓦斯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湖南开元煤业有限公司新田煤矿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耒阳市南阳镇鸿旭煤业有限公司盐鑫煤矿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耒阳市兴田煤业有限公司群心煤矿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233"/>
        <w:tab w:val="right" w:pos="8901"/>
      </w:tabs>
      <w:wordWrap w:val="0"/>
      <w:jc w:val="right"/>
    </w:pPr>
    <w:r>
      <w:rPr>
        <w:rFonts w:ascii="宋体"/>
        <w:sz w:val="28"/>
        <w:szCs w:val="28"/>
      </w:rPr>
      <w:tab/>
    </w:r>
    <w:r>
      <w:rPr>
        <w:rFonts w:ascii="宋体"/>
        <w:sz w:val="28"/>
        <w:szCs w:val="28"/>
      </w:rPr>
      <w:tab/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D7B62"/>
    <w:rsid w:val="5D2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2019-04-01T01:09:00Z</dcterms:created>
  <dc:creator>老狗</dc:creator>
  <cp:lastModifiedBy>老狗</cp:lastModifiedBy>
  <dcterms:modified xsi:type="dcterms:W3CDTF">2019-04-01T01:09:31Z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