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D7" w:rsidRDefault="00B54DD7" w:rsidP="00B54DD7">
      <w:pPr>
        <w:widowControl/>
        <w:shd w:val="clear" w:color="auto" w:fill="FFFFFF"/>
        <w:spacing w:line="500" w:lineRule="exact"/>
        <w:rPr>
          <w:rFonts w:ascii="仿宋_GB2312" w:eastAsia="仿宋_GB2312" w:hAnsi="宋体"/>
          <w:kern w:val="0"/>
          <w:sz w:val="32"/>
          <w:szCs w:val="32"/>
        </w:rPr>
      </w:pPr>
      <w:r>
        <w:rPr>
          <w:rFonts w:ascii="仿宋_GB2312" w:eastAsia="仿宋_GB2312" w:hAnsi="宋体" w:hint="eastAsia"/>
          <w:kern w:val="0"/>
          <w:sz w:val="32"/>
          <w:szCs w:val="32"/>
        </w:rPr>
        <w:t>附件2</w:t>
      </w:r>
    </w:p>
    <w:p w:rsidR="00B54DD7" w:rsidRDefault="00B54DD7" w:rsidP="00B54DD7">
      <w:pPr>
        <w:widowControl/>
        <w:shd w:val="clear" w:color="auto" w:fill="FFFFFF"/>
        <w:spacing w:line="600" w:lineRule="exact"/>
        <w:jc w:val="center"/>
        <w:rPr>
          <w:rFonts w:eastAsia="微软雅黑"/>
          <w:kern w:val="0"/>
          <w:sz w:val="32"/>
          <w:szCs w:val="32"/>
        </w:rPr>
      </w:pPr>
      <w:r>
        <w:rPr>
          <w:rFonts w:ascii="方正小标宋简体" w:eastAsia="方正小标宋简体" w:hint="eastAsia"/>
          <w:kern w:val="0"/>
          <w:sz w:val="44"/>
          <w:szCs w:val="44"/>
        </w:rPr>
        <w:t>衡阳市国土资源局推行三项制度工作计划</w:t>
      </w:r>
    </w:p>
    <w:p w:rsidR="00B54DD7" w:rsidRDefault="00B54DD7" w:rsidP="00B54DD7">
      <w:pPr>
        <w:widowControl/>
        <w:shd w:val="clear" w:color="auto" w:fill="FFFFFF"/>
        <w:spacing w:line="580" w:lineRule="atLeast"/>
        <w:jc w:val="center"/>
        <w:rPr>
          <w:rFonts w:ascii="方正楷体简体" w:eastAsia="方正楷体简体"/>
          <w:b/>
          <w:kern w:val="0"/>
          <w:sz w:val="32"/>
          <w:szCs w:val="32"/>
        </w:rPr>
      </w:pPr>
      <w:r>
        <w:rPr>
          <w:rFonts w:ascii="方正楷体简体" w:eastAsia="方正楷体简体" w:hint="eastAsia"/>
          <w:b/>
          <w:kern w:val="0"/>
          <w:sz w:val="36"/>
          <w:szCs w:val="36"/>
        </w:rPr>
        <w:t>一、行政执法公示制度</w:t>
      </w:r>
    </w:p>
    <w:tbl>
      <w:tblPr>
        <w:tblW w:w="14624" w:type="dxa"/>
        <w:jc w:val="center"/>
        <w:tblLayout w:type="fixed"/>
        <w:tblCellMar>
          <w:left w:w="0" w:type="dxa"/>
          <w:right w:w="0" w:type="dxa"/>
        </w:tblCellMar>
        <w:tblLook w:val="04A0"/>
      </w:tblPr>
      <w:tblGrid>
        <w:gridCol w:w="657"/>
        <w:gridCol w:w="1063"/>
        <w:gridCol w:w="2150"/>
        <w:gridCol w:w="5961"/>
        <w:gridCol w:w="1755"/>
        <w:gridCol w:w="1670"/>
        <w:gridCol w:w="1368"/>
      </w:tblGrid>
      <w:tr w:rsidR="00B54DD7" w:rsidTr="00241A29">
        <w:trPr>
          <w:trHeight w:val="528"/>
          <w:tblHeader/>
          <w:jc w:val="center"/>
        </w:trPr>
        <w:tc>
          <w:tcPr>
            <w:tcW w:w="657"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序号</w:t>
            </w:r>
          </w:p>
        </w:tc>
        <w:tc>
          <w:tcPr>
            <w:tcW w:w="1063"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工作任务</w:t>
            </w:r>
          </w:p>
        </w:tc>
        <w:tc>
          <w:tcPr>
            <w:tcW w:w="215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具体措施</w:t>
            </w:r>
          </w:p>
        </w:tc>
        <w:tc>
          <w:tcPr>
            <w:tcW w:w="5961"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具体要求</w:t>
            </w:r>
          </w:p>
        </w:tc>
        <w:tc>
          <w:tcPr>
            <w:tcW w:w="1755"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牵头单位</w:t>
            </w:r>
          </w:p>
        </w:tc>
        <w:tc>
          <w:tcPr>
            <w:tcW w:w="167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配合单位</w:t>
            </w:r>
          </w:p>
        </w:tc>
        <w:tc>
          <w:tcPr>
            <w:tcW w:w="1368"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完成时限</w:t>
            </w:r>
          </w:p>
        </w:tc>
      </w:tr>
      <w:tr w:rsidR="00B54DD7" w:rsidTr="00241A29">
        <w:trPr>
          <w:trHeight w:val="1146"/>
          <w:jc w:val="center"/>
        </w:trPr>
        <w:tc>
          <w:tcPr>
            <w:tcW w:w="657"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1</w:t>
            </w:r>
          </w:p>
        </w:tc>
        <w:tc>
          <w:tcPr>
            <w:tcW w:w="1063"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统一建章立制</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1、制定行政执法公示具体办法。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明确执法公示的范围、内容、载体、程序、时限要求、监督方式和保障措施等事项；建立行政执法公示运行、公开信息的审核、纠错机制。报市法制办审核、备案。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807"/>
          <w:jc w:val="center"/>
        </w:trPr>
        <w:tc>
          <w:tcPr>
            <w:tcW w:w="657"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2</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加强事前公开</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2、编制《行政执法事项清单》。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明确行政执法主体、职责、权限、依据等须事前公开的内容。报市法制办审核、备案。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审批科、财务科、执法监察支队</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601"/>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3、网站公示行政执法事项清单。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动态管理，及时更新、维护。</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信息中心</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783"/>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4、编制《随机抽查事项清单》。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明确抽查主体、依据、对象、内容、比例、方式、频次等须事前公开的内容。</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执法监察支队</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863"/>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5、编制各类执法行为流程图。</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明确各类执法行为的具体操作流程，包括各执法环节记录的内容、方式、载体等。报市法制办备案后公示。</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审批科、执法监察支队</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1386"/>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6、编制行政执法服务指南。</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行政执法事项名称、依据、受理机构、审批机构、许可条件、优惠政策、申请材料、办理流程、办理时限、监督方式、责任追究、救济渠道、办公时间、办公地址、办公电话等内容印刷成册。报市法制办备案后公示。</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审批科、执法监察支队</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803"/>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7、编制《行政执法人员清单》。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全局执法人员的姓名、单位、职务、证件编号、执法类别、执法区域等内容，并统一公示、及时更新。</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有关科室、单位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623"/>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8、公开行政执法人员清单。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在厅网站上公布，动态管理，及时更新、维护。</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信息中心</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595"/>
          <w:jc w:val="center"/>
        </w:trPr>
        <w:tc>
          <w:tcPr>
            <w:tcW w:w="657"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3</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规范事中公示</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9、制定各类执法行为须现场出具的执法文书样本。</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统一本系统现场执法文书。报市法制办备案。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665"/>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10、在执法活动中按规定出具执法文书。</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告知行政相对人执法事由、执法依据、权利义务等内容，并做好说明解释工作。</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872"/>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11、行政执法人员开展检查、调查等执法活动主动亮明身份。</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出示省政府统一印制或经备案的行政执法证件。</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785"/>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12、办事大厅明示工作人员信息。</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公示工作人员单位、姓名、职务、执法种类和服务事项等。</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审批科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851"/>
          <w:jc w:val="center"/>
        </w:trPr>
        <w:tc>
          <w:tcPr>
            <w:tcW w:w="657"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4</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推动事后公开</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13、公开行政执法决定、行政检查情况等执法结果。</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按时限要求在门户网站公开。</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信息中心</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820"/>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14、公布“双随机”抽查情况及查处结果。</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及时向社会公布。</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信息中心</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595"/>
          <w:jc w:val="center"/>
        </w:trPr>
        <w:tc>
          <w:tcPr>
            <w:tcW w:w="657"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5</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创新公开方式</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15、拓宽公开渠道。</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加强门户网站、办事大厅、服务窗口建设，探索运用微博、微信、智能手机第三方应用程序等载体，全面、及时、准确公示执法信息。</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办公室、信息中心</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人事科</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595"/>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16、对接行政执法信息公示平台。</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按要求与市行政执法信息公示平台对接，及时报送执法信息。</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信息中心</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2017年11月底前</w:t>
            </w:r>
          </w:p>
        </w:tc>
      </w:tr>
      <w:tr w:rsidR="00B54DD7" w:rsidTr="00241A29">
        <w:trPr>
          <w:trHeight w:val="943"/>
          <w:jc w:val="center"/>
        </w:trPr>
        <w:tc>
          <w:tcPr>
            <w:tcW w:w="657"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17、实现行政执法信息向公示平台即时推送。</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spacing w:line="260" w:lineRule="exact"/>
              <w:rPr>
                <w:rFonts w:eastAsia="微软雅黑"/>
                <w:kern w:val="0"/>
                <w:sz w:val="32"/>
                <w:szCs w:val="32"/>
              </w:rPr>
            </w:pPr>
            <w:r>
              <w:rPr>
                <w:rFonts w:ascii="宋体" w:hAnsi="宋体" w:hint="eastAsia"/>
                <w:kern w:val="0"/>
                <w:szCs w:val="21"/>
              </w:rPr>
              <w:t>探索建立办公自动化系统或执法办案系统与行政执法信息公示平台的数据交换机制。</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信息中心</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办公室等相关部门</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bl>
    <w:p w:rsidR="00B54DD7" w:rsidRDefault="00B54DD7" w:rsidP="00B54DD7">
      <w:pPr>
        <w:widowControl/>
        <w:shd w:val="clear" w:color="auto" w:fill="FFFFFF"/>
        <w:spacing w:line="580" w:lineRule="atLeast"/>
        <w:jc w:val="center"/>
        <w:rPr>
          <w:rFonts w:ascii="方正楷体简体" w:eastAsia="方正楷体简体"/>
          <w:b/>
          <w:kern w:val="0"/>
          <w:sz w:val="36"/>
          <w:szCs w:val="36"/>
        </w:rPr>
      </w:pPr>
      <w:r>
        <w:br w:type="page"/>
      </w:r>
      <w:r>
        <w:rPr>
          <w:rFonts w:ascii="方正楷体简体" w:eastAsia="方正楷体简体" w:hint="eastAsia"/>
          <w:b/>
          <w:kern w:val="0"/>
          <w:sz w:val="36"/>
          <w:szCs w:val="36"/>
        </w:rPr>
        <w:lastRenderedPageBreak/>
        <w:t>二、执法全过程记录制度</w:t>
      </w:r>
    </w:p>
    <w:tbl>
      <w:tblPr>
        <w:tblW w:w="14597" w:type="dxa"/>
        <w:jc w:val="center"/>
        <w:tblLayout w:type="fixed"/>
        <w:tblCellMar>
          <w:left w:w="0" w:type="dxa"/>
          <w:right w:w="0" w:type="dxa"/>
        </w:tblCellMar>
        <w:tblLook w:val="04A0"/>
      </w:tblPr>
      <w:tblGrid>
        <w:gridCol w:w="630"/>
        <w:gridCol w:w="1063"/>
        <w:gridCol w:w="2150"/>
        <w:gridCol w:w="5961"/>
        <w:gridCol w:w="1755"/>
        <w:gridCol w:w="1670"/>
        <w:gridCol w:w="1368"/>
      </w:tblGrid>
      <w:tr w:rsidR="00B54DD7" w:rsidTr="00241A29">
        <w:trPr>
          <w:trHeight w:val="375"/>
          <w:jc w:val="center"/>
        </w:trPr>
        <w:tc>
          <w:tcPr>
            <w:tcW w:w="630"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序号</w:t>
            </w:r>
          </w:p>
        </w:tc>
        <w:tc>
          <w:tcPr>
            <w:tcW w:w="1063"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工作任务</w:t>
            </w:r>
          </w:p>
        </w:tc>
        <w:tc>
          <w:tcPr>
            <w:tcW w:w="215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具体措施</w:t>
            </w:r>
          </w:p>
        </w:tc>
        <w:tc>
          <w:tcPr>
            <w:tcW w:w="5961"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具体要求</w:t>
            </w:r>
          </w:p>
        </w:tc>
        <w:tc>
          <w:tcPr>
            <w:tcW w:w="1755"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牵头单位</w:t>
            </w:r>
          </w:p>
        </w:tc>
        <w:tc>
          <w:tcPr>
            <w:tcW w:w="167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配合单位</w:t>
            </w:r>
          </w:p>
        </w:tc>
        <w:tc>
          <w:tcPr>
            <w:tcW w:w="1368"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完成时限</w:t>
            </w:r>
          </w:p>
        </w:tc>
      </w:tr>
      <w:tr w:rsidR="00B54DD7" w:rsidTr="00241A29">
        <w:trPr>
          <w:trHeight w:val="1172"/>
          <w:jc w:val="center"/>
        </w:trPr>
        <w:tc>
          <w:tcPr>
            <w:tcW w:w="630"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1</w:t>
            </w:r>
          </w:p>
        </w:tc>
        <w:tc>
          <w:tcPr>
            <w:tcW w:w="1063"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制订制度</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1、制订各类行政执法全过程记录具体办法。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依据《衡阳市行政执法全过程记录实施办法》，按行政许可、行政处罚、行政强制、行政征收、行政收费、行政检查的执法类别，制定本部门具体办法，完善执法全过程记录信息采集、存储、分析、归档等制度。报市法制办审核、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1003"/>
          <w:jc w:val="center"/>
        </w:trPr>
        <w:tc>
          <w:tcPr>
            <w:tcW w:w="630"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2</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规范文字记录</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2、制定各类执法文书范本。</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依据相关法律法规，参照上级有关标准，制定本系统各类执法文书范本和电子信息格式，规范执法文书制作。报市法制办备案。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审批科、执法监察支队</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776"/>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3、按要求规范开展文字记录工作。</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严格按执法案卷标准制作、管理和保存执法卷宗。积极推行执法文书和执法案卷电子化。</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有行政执法职能的处室、单位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615"/>
          <w:jc w:val="center"/>
        </w:trPr>
        <w:tc>
          <w:tcPr>
            <w:tcW w:w="630"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3</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推行音像记录</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4、编制《音像记录事项清单》。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明确进行音像记录的关键环节、记录方式以及应进行全过程音像记录的现场执法活动和执法场所。报市法制办备案。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765"/>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5、按要求规范开展音像记录工作。</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规范开展录音、录相、照相、视频监控等音像记录和全过程音像记录工作，并将音像资料及时归档保存。</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680"/>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6、制定音像记录设备配备具体办法。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根据本系统的执法类别、执法特点、执法工作量，确定本系统音像记录设备配备比例和标准。报市法制办备案。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办公室</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570"/>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7、制定音像记录设备的使用、管理和监督规则。</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对音像记录设备的使用、管理和监督等进行规范。报市法制办备案。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办公室</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570"/>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8、配备音像记录设备。</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按要求配备执法记录仪或手持执法终端等。</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 xml:space="preserve">　</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2017年11月底前</w:t>
            </w:r>
          </w:p>
        </w:tc>
      </w:tr>
      <w:tr w:rsidR="00B54DD7" w:rsidTr="00241A29">
        <w:trPr>
          <w:trHeight w:val="1009"/>
          <w:jc w:val="center"/>
        </w:trPr>
        <w:tc>
          <w:tcPr>
            <w:tcW w:w="630"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4</w:t>
            </w:r>
          </w:p>
        </w:tc>
        <w:tc>
          <w:tcPr>
            <w:tcW w:w="1063"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强化记录实效</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9、建立健全执法全过程记录信息收集、保存、管理、使用等工作制度。</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bl>
    <w:p w:rsidR="00B54DD7" w:rsidRDefault="00B54DD7" w:rsidP="00B54DD7">
      <w:pPr>
        <w:widowControl/>
        <w:shd w:val="clear" w:color="auto" w:fill="FFFFFF"/>
        <w:spacing w:line="580" w:lineRule="atLeast"/>
        <w:jc w:val="center"/>
        <w:rPr>
          <w:rFonts w:ascii="方正楷体简体" w:eastAsia="方正楷体简体"/>
          <w:b/>
          <w:kern w:val="0"/>
          <w:sz w:val="36"/>
          <w:szCs w:val="36"/>
        </w:rPr>
      </w:pPr>
      <w:r>
        <w:rPr>
          <w:rFonts w:ascii="方正楷体简体" w:eastAsia="方正楷体简体" w:hint="eastAsia"/>
          <w:b/>
          <w:kern w:val="0"/>
          <w:sz w:val="36"/>
          <w:szCs w:val="36"/>
        </w:rPr>
        <w:t>三、重大执法决定法制审核制度</w:t>
      </w:r>
    </w:p>
    <w:tbl>
      <w:tblPr>
        <w:tblW w:w="14597" w:type="dxa"/>
        <w:jc w:val="center"/>
        <w:tblInd w:w="27" w:type="dxa"/>
        <w:tblLayout w:type="fixed"/>
        <w:tblCellMar>
          <w:left w:w="0" w:type="dxa"/>
          <w:right w:w="0" w:type="dxa"/>
        </w:tblCellMar>
        <w:tblLook w:val="04A0"/>
      </w:tblPr>
      <w:tblGrid>
        <w:gridCol w:w="630"/>
        <w:gridCol w:w="1063"/>
        <w:gridCol w:w="2150"/>
        <w:gridCol w:w="5961"/>
        <w:gridCol w:w="1755"/>
        <w:gridCol w:w="1670"/>
        <w:gridCol w:w="1368"/>
      </w:tblGrid>
      <w:tr w:rsidR="00B54DD7" w:rsidTr="00241A29">
        <w:trPr>
          <w:trHeight w:val="375"/>
          <w:jc w:val="center"/>
        </w:trPr>
        <w:tc>
          <w:tcPr>
            <w:tcW w:w="630"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序号</w:t>
            </w:r>
          </w:p>
        </w:tc>
        <w:tc>
          <w:tcPr>
            <w:tcW w:w="1063"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工作任务</w:t>
            </w:r>
          </w:p>
        </w:tc>
        <w:tc>
          <w:tcPr>
            <w:tcW w:w="215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具体措施</w:t>
            </w:r>
          </w:p>
        </w:tc>
        <w:tc>
          <w:tcPr>
            <w:tcW w:w="5961"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具体要求</w:t>
            </w:r>
          </w:p>
        </w:tc>
        <w:tc>
          <w:tcPr>
            <w:tcW w:w="1755"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牵头单位</w:t>
            </w:r>
          </w:p>
        </w:tc>
        <w:tc>
          <w:tcPr>
            <w:tcW w:w="1670"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配合单位</w:t>
            </w:r>
          </w:p>
        </w:tc>
        <w:tc>
          <w:tcPr>
            <w:tcW w:w="1368"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b/>
                <w:kern w:val="0"/>
                <w:sz w:val="32"/>
                <w:szCs w:val="32"/>
              </w:rPr>
            </w:pPr>
            <w:r>
              <w:rPr>
                <w:rFonts w:ascii="宋体" w:hAnsi="宋体" w:hint="eastAsia"/>
                <w:b/>
                <w:kern w:val="0"/>
                <w:szCs w:val="21"/>
              </w:rPr>
              <w:t>完成时限</w:t>
            </w:r>
          </w:p>
        </w:tc>
      </w:tr>
      <w:tr w:rsidR="00B54DD7" w:rsidTr="00241A29">
        <w:trPr>
          <w:trHeight w:val="1032"/>
          <w:jc w:val="center"/>
        </w:trPr>
        <w:tc>
          <w:tcPr>
            <w:tcW w:w="630"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1</w:t>
            </w:r>
          </w:p>
        </w:tc>
        <w:tc>
          <w:tcPr>
            <w:tcW w:w="1063"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健全审核制度</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1、制定或修订重大执法决定法制审核具体办法。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依据《衡阳市重大行政执法决定法制审核办法》，明确审核主体、范围、内容和程序等。报市法制办审核、备案。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900"/>
          <w:jc w:val="center"/>
        </w:trPr>
        <w:tc>
          <w:tcPr>
            <w:tcW w:w="630"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2</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落实审核主体</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2、按要求配备法制审核人员。</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按要求配备和充实政治素质高、业务能力强、具有法律专业背景的法制审核人员，确保法制审核人员数量能够满足工作需要。</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人事科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2017年11月底前</w:t>
            </w:r>
          </w:p>
        </w:tc>
      </w:tr>
      <w:tr w:rsidR="00B54DD7" w:rsidTr="00241A29">
        <w:trPr>
          <w:trHeight w:val="1069"/>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3、建立法制审核人员定期培训制度。</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积极推行“互联网+培训”、案例教学等多种培训方式，不断提高法制审核人员法律素养和业务能力。培训制度报市法制办备案。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人事科、法规科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1096"/>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4、建立健全政府法律顾问和公职律师制度。</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充分发挥政府法律顾问和公职律师在法制审核工作中的作用。对重大复杂疑难法律事务，组织法律顾问和公职律师协助进行研究，提出意见建议。</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1380"/>
          <w:jc w:val="center"/>
        </w:trPr>
        <w:tc>
          <w:tcPr>
            <w:tcW w:w="630" w:type="dxa"/>
            <w:vMerge w:val="restart"/>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3</w:t>
            </w:r>
          </w:p>
        </w:tc>
        <w:tc>
          <w:tcPr>
            <w:tcW w:w="1063" w:type="dxa"/>
            <w:vMerge w:val="restart"/>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确定审核范围</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5、编制《重大执法决定法制审核目录清单》。</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根据部门特点，结合执法层级、所属领域、涉案金额、社会影响等因素，明确界定行政许可、行政处罚、行政强制、行政征收四类执法行为的重大执法决定法制审核范围。报市法制办备案。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r w:rsidR="00B54DD7" w:rsidTr="00241A29">
        <w:trPr>
          <w:trHeight w:val="769"/>
          <w:jc w:val="center"/>
        </w:trPr>
        <w:tc>
          <w:tcPr>
            <w:tcW w:w="630" w:type="dxa"/>
            <w:vMerge/>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left"/>
              <w:rPr>
                <w:rFonts w:eastAsia="微软雅黑"/>
                <w:kern w:val="0"/>
                <w:sz w:val="32"/>
                <w:szCs w:val="32"/>
              </w:rPr>
            </w:pPr>
          </w:p>
        </w:tc>
        <w:tc>
          <w:tcPr>
            <w:tcW w:w="1063" w:type="dxa"/>
            <w:vMerge/>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6、积极扩展法制审核范围。</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探索对法定简易程序以外的所有执法决定进行法制审核。</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长期执行</w:t>
            </w:r>
          </w:p>
        </w:tc>
      </w:tr>
      <w:tr w:rsidR="00B54DD7" w:rsidTr="00241A29">
        <w:trPr>
          <w:trHeight w:val="1380"/>
          <w:jc w:val="center"/>
        </w:trPr>
        <w:tc>
          <w:tcPr>
            <w:tcW w:w="630"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4</w:t>
            </w:r>
          </w:p>
        </w:tc>
        <w:tc>
          <w:tcPr>
            <w:tcW w:w="1063"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jc w:val="center"/>
              <w:rPr>
                <w:rFonts w:eastAsia="微软雅黑"/>
                <w:kern w:val="0"/>
                <w:sz w:val="32"/>
                <w:szCs w:val="32"/>
              </w:rPr>
            </w:pPr>
            <w:r>
              <w:rPr>
                <w:rFonts w:ascii="宋体" w:hAnsi="宋体" w:hint="eastAsia"/>
                <w:kern w:val="0"/>
                <w:szCs w:val="21"/>
              </w:rPr>
              <w:t>细化审核程序</w:t>
            </w:r>
          </w:p>
        </w:tc>
        <w:tc>
          <w:tcPr>
            <w:tcW w:w="215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7、编制《重大执法决定法制审核流程图》。</w:t>
            </w:r>
          </w:p>
        </w:tc>
        <w:tc>
          <w:tcPr>
            <w:tcW w:w="5961"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明确法制审核送审材料，规范审核程序、审核载体、时限要求、法制审核意见与拟处理意见不一致的协调决策机制、责任追究机制等，规范法制审核行为。报省法制办备案。</w:t>
            </w:r>
          </w:p>
        </w:tc>
        <w:tc>
          <w:tcPr>
            <w:tcW w:w="1755"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法规科</w:t>
            </w:r>
          </w:p>
        </w:tc>
        <w:tc>
          <w:tcPr>
            <w:tcW w:w="1670"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有行政执法职能的科室、单位</w:t>
            </w:r>
          </w:p>
        </w:tc>
        <w:tc>
          <w:tcPr>
            <w:tcW w:w="1368" w:type="dxa"/>
            <w:tcBorders>
              <w:top w:val="nil"/>
              <w:left w:val="nil"/>
              <w:bottom w:val="single" w:sz="8" w:space="0" w:color="auto"/>
              <w:right w:val="single" w:sz="8" w:space="0" w:color="auto"/>
            </w:tcBorders>
            <w:tcMar>
              <w:top w:w="0" w:type="dxa"/>
              <w:left w:w="85" w:type="dxa"/>
              <w:bottom w:w="0" w:type="dxa"/>
              <w:right w:w="85" w:type="dxa"/>
            </w:tcMar>
            <w:vAlign w:val="center"/>
          </w:tcPr>
          <w:p w:rsidR="00B54DD7" w:rsidRDefault="00B54DD7" w:rsidP="00241A29">
            <w:pPr>
              <w:widowControl/>
              <w:rPr>
                <w:rFonts w:eastAsia="微软雅黑"/>
                <w:kern w:val="0"/>
                <w:sz w:val="32"/>
                <w:szCs w:val="32"/>
              </w:rPr>
            </w:pPr>
            <w:r>
              <w:rPr>
                <w:rFonts w:ascii="宋体" w:hAnsi="宋体" w:hint="eastAsia"/>
                <w:kern w:val="0"/>
                <w:szCs w:val="21"/>
              </w:rPr>
              <w:t>2017年8月底前完成</w:t>
            </w:r>
          </w:p>
        </w:tc>
      </w:tr>
    </w:tbl>
    <w:p w:rsidR="00095EE3" w:rsidRDefault="00095EE3"/>
    <w:sectPr w:rsidR="00095EE3" w:rsidSect="00B54DD7">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EE3" w:rsidRDefault="00095EE3" w:rsidP="00B54DD7">
      <w:r>
        <w:separator/>
      </w:r>
    </w:p>
  </w:endnote>
  <w:endnote w:type="continuationSeparator" w:id="1">
    <w:p w:rsidR="00095EE3" w:rsidRDefault="00095EE3" w:rsidP="00B54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EE3" w:rsidRDefault="00095EE3" w:rsidP="00B54DD7">
      <w:r>
        <w:separator/>
      </w:r>
    </w:p>
  </w:footnote>
  <w:footnote w:type="continuationSeparator" w:id="1">
    <w:p w:rsidR="00095EE3" w:rsidRDefault="00095EE3" w:rsidP="00B54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DD7"/>
    <w:rsid w:val="00095EE3"/>
    <w:rsid w:val="00B54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D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D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4DD7"/>
    <w:rPr>
      <w:sz w:val="18"/>
      <w:szCs w:val="18"/>
    </w:rPr>
  </w:style>
  <w:style w:type="paragraph" w:styleId="a4">
    <w:name w:val="footer"/>
    <w:basedOn w:val="a"/>
    <w:link w:val="Char0"/>
    <w:uiPriority w:val="99"/>
    <w:semiHidden/>
    <w:unhideWhenUsed/>
    <w:rsid w:val="00B54D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4D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China</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2017-10-30T10:27:00Z</dcterms:created>
  <dcterms:modified xsi:type="dcterms:W3CDTF">2017-10-30T10:27:00Z</dcterms:modified>
</cp:coreProperties>
</file>